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51b88" w14:textId="4951b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30 апреля 2011 года № 473 "Об утверждении Программы модернизации жилищно-коммунального хозяйства Республики Казахстан
на 2011 - 2020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февраля 2013 года № 200. Утратило силу постановлением Правительства Республики Казахстан от 28 июня 2014 года № 728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28.06.2014 </w:t>
      </w:r>
      <w:r>
        <w:rPr>
          <w:rFonts w:ascii="Times New Roman"/>
          <w:b w:val="false"/>
          <w:i w:val="false"/>
          <w:color w:val="ff0000"/>
          <w:sz w:val="28"/>
        </w:rPr>
        <w:t>№ 728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апреля 2011 года № 473 «Об утверждении Программы модернизации жилищно-коммунального хозяйства Республики Казахстан на 2011 – 2020 годы»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модернизации жилищно-коммунального хозяйства Республики Казахстан на 2011 – 2020 годы,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 xml:space="preserve"> «Анализ текущей ситуации»: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1</w:t>
      </w:r>
      <w:r>
        <w:rPr>
          <w:rFonts w:ascii="Times New Roman"/>
          <w:b w:val="false"/>
          <w:i w:val="false"/>
          <w:color w:val="000000"/>
          <w:sz w:val="28"/>
        </w:rPr>
        <w:t xml:space="preserve"> «Жилищный фонд и жилищные отношения»: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 данным местных исполнительных органов (далее - МИО) в 2010 году 50,1 млн. кв. метров или 32 % от жилищного фонда, относящегося к МЖД, требуют проведения отдельных видов ремонта, а 3,8 млн. кв. метров (2 %) - это аварийное жилье, подлежащее сносу, как непригодное для дальнейшей эксплуатации.»;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седьмую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«низкая инвестиционная привлекательность;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дисбаланс имеющихся мощностей и технико-технологических решений.»;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4</w:t>
      </w:r>
      <w:r>
        <w:rPr>
          <w:rFonts w:ascii="Times New Roman"/>
          <w:b w:val="false"/>
          <w:i w:val="false"/>
          <w:color w:val="000000"/>
          <w:sz w:val="28"/>
        </w:rPr>
        <w:t xml:space="preserve"> «Анализ сильных и слабых сторон текущей ситуации в ЖКХ»: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«Возможности» строки «развитая система коммунальных сетей и объектов»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«проведение модернизации и реконструкции инженерных сетей и объектов, в том числе посредством реализации проектов на принципах государственно-частного партнерства»;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4</w:t>
      </w:r>
      <w:r>
        <w:rPr>
          <w:rFonts w:ascii="Times New Roman"/>
          <w:b w:val="false"/>
          <w:i w:val="false"/>
          <w:color w:val="000000"/>
          <w:sz w:val="28"/>
        </w:rPr>
        <w:t xml:space="preserve"> «Цель, задачи, целевые индикаторы и показатели результатов реализации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6"/>
        <w:gridCol w:w="650"/>
        <w:gridCol w:w="1283"/>
        <w:gridCol w:w="967"/>
        <w:gridCol w:w="967"/>
        <w:gridCol w:w="1125"/>
        <w:gridCol w:w="1125"/>
        <w:gridCol w:w="1125"/>
        <w:gridCol w:w="967"/>
        <w:gridCol w:w="1659"/>
        <w:gridCol w:w="1106"/>
      </w:tblGrid>
      <w:tr>
        <w:trPr>
          <w:trHeight w:val="1065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ремонта, снизится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32 % до 22 %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году, %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425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жилого фонда, %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6"/>
        <w:gridCol w:w="650"/>
        <w:gridCol w:w="1283"/>
        <w:gridCol w:w="967"/>
        <w:gridCol w:w="967"/>
        <w:gridCol w:w="1125"/>
        <w:gridCol w:w="1125"/>
        <w:gridCol w:w="1125"/>
        <w:gridCol w:w="967"/>
        <w:gridCol w:w="1659"/>
        <w:gridCol w:w="1086"/>
      </w:tblGrid>
      <w:tr>
        <w:trPr>
          <w:trHeight w:val="840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ремонта, снизится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32 % в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 до 22 %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году, %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840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жилого фонда, %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6"/>
        <w:gridCol w:w="832"/>
        <w:gridCol w:w="1051"/>
        <w:gridCol w:w="971"/>
        <w:gridCol w:w="971"/>
        <w:gridCol w:w="1130"/>
        <w:gridCol w:w="1130"/>
        <w:gridCol w:w="1130"/>
        <w:gridCol w:w="971"/>
        <w:gridCol w:w="1608"/>
        <w:gridCol w:w="1150"/>
      </w:tblGrid>
      <w:tr>
        <w:trPr>
          <w:trHeight w:val="1095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29,7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47,2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5</w:t>
      </w:r>
      <w:r>
        <w:rPr>
          <w:rFonts w:ascii="Times New Roman"/>
          <w:b w:val="false"/>
          <w:i w:val="false"/>
          <w:color w:val="000000"/>
          <w:sz w:val="28"/>
        </w:rPr>
        <w:t xml:space="preserve"> «Этапы реализации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5.1</w:t>
      </w:r>
      <w:r>
        <w:rPr>
          <w:rFonts w:ascii="Times New Roman"/>
          <w:b w:val="false"/>
          <w:i w:val="false"/>
          <w:color w:val="000000"/>
          <w:sz w:val="28"/>
        </w:rPr>
        <w:t xml:space="preserve"> « Обеспечение содержания жилищного фонда»: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механизме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пятой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«Местный исполнительный орган обеспечивает возмещение затрат специализированной уполномоченной организации по организации работы и по проведению ремонта объектов кондоминиума.»;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третий, четвертый, пятый и шестой части семнадцатой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«Второй вид «Подъезд» включает в себя установку энергосберегающих подъездных окон и дверей, ремонт подъезда, установку домофона, почтовых ящиков и прочего подъездного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Третий вид «Кровля» включает в себя ремонт и утепление кровли энергосберегающими материалами, при этом возможно изменение конструкции кровли с плоской на скатную.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Четвертый вид «Фасад» включает в себя ремонт и утепление фасада, изменение внешнего вида жилого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энергоэффективности при производстве первого, второго, третьего и четвертого видов ремонтных работ устанавливаются общедомовой прибор учета тепловой энергии, а также по решению общего собрания собственников помещений (квартир) – автоматизированная система регулирования теплопотребления.»;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восемнадцатой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«Собственники квартир (помещений) на общем собрании при утверждении видов и объемов ремонтных работ могут использовать как отдельные типовые виды, так и различные их комбинации.»;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двадцать девятую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«Для малообеспеченных семей (граждан) размер платежей за выполненные работы за 1 кв. метр полезной площади помещения (квартиры) в месяц не должен превышать 5 % от МРП.»;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сорок вторую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5.2</w:t>
      </w:r>
      <w:r>
        <w:rPr>
          <w:rFonts w:ascii="Times New Roman"/>
          <w:b w:val="false"/>
          <w:i w:val="false"/>
          <w:color w:val="000000"/>
          <w:sz w:val="28"/>
        </w:rPr>
        <w:t>. «Модернизация коммунальной инфраструктуры»: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тридцатую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целях дальнейшего развития жилищно-коммунального хозяйства создано АО «Фонд развития жилищно-коммунального хозяйства».»;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тридцать первой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«Деятельность АО «Фонд развития жилищно-коммунального хозяйства» будет осуществляться в рамках действующего законодательства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7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«План мероприятий по реализации Программы модернизации жилищно-коммунального хозяйства Республики Казахстан на 2011 – 2020 годы»: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2, 3, 6, 8, 9, 17, 19, 21 и 23, аббревиатуру «АДС и ЖКХ» заменить аббревиатурой «МРР»;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«2013» цифры «543»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«2014» цифры «456»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«2015» цифры «500»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«Всего» цифры «2062» заменить цифрами «563»;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подраздел 2 «Модернизация коммунальной инфраструктуры» 1 этапа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1544"/>
        <w:gridCol w:w="1159"/>
        <w:gridCol w:w="1418"/>
        <w:gridCol w:w="1225"/>
        <w:gridCol w:w="898"/>
        <w:gridCol w:w="852"/>
        <w:gridCol w:w="1242"/>
        <w:gridCol w:w="1109"/>
        <w:gridCol w:w="975"/>
        <w:gridCol w:w="1242"/>
        <w:gridCol w:w="703"/>
        <w:gridCol w:w="724"/>
      </w:tblGrid>
      <w:tr>
        <w:trPr>
          <w:trHeight w:val="39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Модернизация коммунальной инфраструктуры</w:t>
            </w:r>
          </w:p>
        </w:tc>
      </w:tr>
      <w:tr>
        <w:trPr>
          <w:trHeight w:val="39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теплоснаб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снабжения,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газоснаб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жения)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ЖКХ"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</w:tr>
      <w:tr>
        <w:trPr>
          <w:trHeight w:val="223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теплоснаб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жения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Технико-эко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ЦентрЖКХ»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</w:tr>
      <w:tr>
        <w:trPr>
          <w:trHeight w:val="250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модерниза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ТБО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849, 970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999, 730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1849,7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</w:tr>
      <w:tr>
        <w:trPr>
          <w:trHeight w:val="219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теплоснаб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газоснаб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набжения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</w:t>
            </w:r>
          </w:p>
        </w:tc>
        <w:tc>
          <w:tcPr>
            <w:tcW w:w="1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12 286,17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14658,601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23147,11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13898,2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91480,911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</w:tr>
      <w:tr>
        <w:trPr>
          <w:trHeight w:val="19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28 583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184 899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предприятий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ЖКХ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ко- эко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-техни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в ЖКХ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"КазЦентр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ЖКХ"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"Казахс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водоканал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</w:tr>
      <w:tr>
        <w:trPr>
          <w:trHeight w:val="3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сферы ЖКХ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жения в МОН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ЖКХ»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3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1 «Обеспечение содержания жилищного фонда» 2 этапа строку, порядковый номер 20,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примечании, в расшифровке аббревиатур, после строки «АДСиЖКХ – Агентство Республики Казахстан по делам строительства и жилищно-коммунального хозяйства»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«МРР – Министерство регионального развития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