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84a5" w14:textId="b448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11 февраля 2011 года № 130 "Об утверждении Плана мероприятий на 2011 - 2015 годы по реализации Государственной программы развития образования Республики Казахстан на 2011 - 2020 годы (I этап)"</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2013 года № 313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февраля 2011 года № 130 «Об утверждении Плана мероприятий на 2011 – 2015 годы по реализации Государственной программы развития образования Республики Казахстан на 2011 – 2020 годы (I этап)» (САПП Республики Казахстан, 2011 г., № 20, ст. 241) следующее изменение: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План</w:t>
      </w:r>
      <w:r>
        <w:rPr>
          <w:rFonts w:ascii="Times New Roman"/>
          <w:b w:val="false"/>
          <w:i w:val="false"/>
          <w:color w:val="000000"/>
          <w:sz w:val="28"/>
        </w:rPr>
        <w:t xml:space="preserve"> мероприятий на 2011 – 2015 годы по реализации Государственной программы развития образования Республики Казахстан на 2011 – 2020 годы (I этап),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апреля 2013 года № 313         </w:t>
      </w:r>
    </w:p>
    <w:bookmarkEnd w:id="1"/>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2011 года № 130     </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План мероприятий на 2011 – 2015 годы</w:t>
      </w:r>
      <w:r>
        <w:br/>
      </w:r>
      <w:r>
        <w:rPr>
          <w:rFonts w:ascii="Times New Roman"/>
          <w:b w:val="false"/>
          <w:i w:val="false"/>
          <w:color w:val="000000"/>
          <w:sz w:val="28"/>
        </w:rPr>
        <w:t>
</w:t>
      </w:r>
      <w:r>
        <w:rPr>
          <w:rFonts w:ascii="Times New Roman"/>
          <w:b/>
          <w:i w:val="false"/>
          <w:color w:val="000000"/>
          <w:sz w:val="28"/>
        </w:rPr>
        <w:t>                   по реализации Государственной программы</w:t>
      </w:r>
      <w:r>
        <w:br/>
      </w:r>
      <w:r>
        <w:rPr>
          <w:rFonts w:ascii="Times New Roman"/>
          <w:b w:val="false"/>
          <w:i w:val="false"/>
          <w:color w:val="000000"/>
          <w:sz w:val="28"/>
        </w:rPr>
        <w:t>
</w:t>
      </w:r>
      <w:r>
        <w:rPr>
          <w:rFonts w:ascii="Times New Roman"/>
          <w:b/>
          <w:i w:val="false"/>
          <w:color w:val="000000"/>
          <w:sz w:val="28"/>
        </w:rPr>
        <w:t>                 развития образования Республики Казахстан</w:t>
      </w:r>
      <w:r>
        <w:br/>
      </w:r>
      <w:r>
        <w:rPr>
          <w:rFonts w:ascii="Times New Roman"/>
          <w:b w:val="false"/>
          <w:i w:val="false"/>
          <w:color w:val="000000"/>
          <w:sz w:val="28"/>
        </w:rPr>
        <w:t>
</w:t>
      </w:r>
      <w:r>
        <w:rPr>
          <w:rFonts w:ascii="Times New Roman"/>
          <w:b/>
          <w:i w:val="false"/>
          <w:color w:val="000000"/>
          <w:sz w:val="28"/>
        </w:rPr>
        <w:t>                        на 2011 – 2020 годы (I этап)</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885"/>
        <w:gridCol w:w="671"/>
        <w:gridCol w:w="1257"/>
        <w:gridCol w:w="1090"/>
        <w:gridCol w:w="1300"/>
        <w:gridCol w:w="611"/>
        <w:gridCol w:w="446"/>
        <w:gridCol w:w="612"/>
        <w:gridCol w:w="467"/>
        <w:gridCol w:w="866"/>
        <w:gridCol w:w="404"/>
        <w:gridCol w:w="1004"/>
        <w:gridCol w:w="466"/>
        <w:gridCol w:w="1004"/>
        <w:gridCol w:w="385"/>
        <w:gridCol w:w="1005"/>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исполнение</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 год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совершенствование системы финансирования, ориентированной на обеспечение равного доступа к образовательным услугам</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2015 года во всех организациях образования, кроме МКШ, внедрен механизм подушевого финансирования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30 % педагогов прошли повышение квалификации по новой системе повышения квалификации от общего количества педагогов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методики подушевого нормативного финансирования</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Апробирование системы подушевого финансирования общего среднего образования на базе 4-х профильных школ с последующим распространением апробации на один регион</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методики системы подушевого финансирования ТиПО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проекта со Всемирным банком «Модернизация технического и профессионального образования»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Апробирование системы подушевого финансирования ТиПО на базе двух регионов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360012 «Повышение квалификации и переподготовка кадров»)</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перехода на систему подушевого финансирования во всех организациях образования от дошкольного до ТиПО, кроме МКШ</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пpедусмотренных средств из местного бюджета</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функционирования государственной образовательной накопительной системы с проведением актуарных расчетов</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«Финансовый центр» (по согласованию)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АО "Финансовый центр"</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концепции проекта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по вопросам государственной образовательной накопительной системы»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концепции законопроекта на МВК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системы повышения квалификации учителей</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АОО «Назарбаев Интеллектуальные школы» (по согласованию)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РБ, АОО «Назарбаев Интеллектуальные школы»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668"/>
        <w:gridCol w:w="545"/>
        <w:gridCol w:w="1049"/>
        <w:gridCol w:w="915"/>
        <w:gridCol w:w="1264"/>
        <w:gridCol w:w="1109"/>
        <w:gridCol w:w="335"/>
        <w:gridCol w:w="1242"/>
        <w:gridCol w:w="383"/>
        <w:gridCol w:w="708"/>
        <w:gridCol w:w="320"/>
        <w:gridCol w:w="975"/>
        <w:gridCol w:w="351"/>
        <w:gridCol w:w="975"/>
        <w:gridCol w:w="447"/>
        <w:gridCol w:w="1242"/>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повышение престижа профессии педагога</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доля высококвалифицированных педагогических работников, имеющих высшую и первую категории, от общего количества педагогов – 49 %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r>
              <w:br/>
            </w:r>
            <w:r>
              <w:rPr>
                <w:rFonts w:ascii="Times New Roman"/>
                <w:b w:val="false"/>
                <w:i w:val="false"/>
                <w:color w:val="000000"/>
                <w:sz w:val="20"/>
              </w:rPr>
              <w:t>
</w:t>
            </w:r>
            <w:r>
              <w:rPr>
                <w:rFonts w:ascii="Times New Roman"/>
                <w:b w:val="false"/>
                <w:i w:val="false"/>
                <w:color w:val="000000"/>
                <w:sz w:val="20"/>
              </w:rPr>
              <w:t>доля педагогов профильной школы, имеющих степень магистра - не менее 10 %</w:t>
            </w:r>
            <w:r>
              <w:br/>
            </w:r>
            <w:r>
              <w:rPr>
                <w:rFonts w:ascii="Times New Roman"/>
                <w:b w:val="false"/>
                <w:i w:val="false"/>
                <w:color w:val="000000"/>
                <w:sz w:val="20"/>
              </w:rPr>
              <w:t>
</w:t>
            </w:r>
            <w:r>
              <w:rPr>
                <w:rFonts w:ascii="Times New Roman"/>
                <w:b w:val="false"/>
                <w:i w:val="false"/>
                <w:color w:val="000000"/>
                <w:sz w:val="20"/>
              </w:rPr>
              <w:t>доля молодых специалистов, вновь прибывших для работы в организации образования в текущем году, от общего количества педагогов - 4,5 %</w:t>
            </w:r>
            <w:r>
              <w:br/>
            </w:r>
            <w:r>
              <w:rPr>
                <w:rFonts w:ascii="Times New Roman"/>
                <w:b w:val="false"/>
                <w:i w:val="false"/>
                <w:color w:val="000000"/>
                <w:sz w:val="20"/>
              </w:rPr>
              <w:t>
</w:t>
            </w:r>
            <w:r>
              <w:rPr>
                <w:rFonts w:ascii="Times New Roman"/>
                <w:b w:val="false"/>
                <w:i w:val="false"/>
                <w:color w:val="000000"/>
                <w:sz w:val="20"/>
              </w:rPr>
              <w:t>доля педагогов, преподающих предметы естественно-математического цикла на английском языке, - 10 %</w:t>
            </w:r>
            <w:r>
              <w:br/>
            </w:r>
            <w:r>
              <w:rPr>
                <w:rFonts w:ascii="Times New Roman"/>
                <w:b w:val="false"/>
                <w:i w:val="false"/>
                <w:color w:val="000000"/>
                <w:sz w:val="20"/>
              </w:rPr>
              <w:t>
</w:t>
            </w:r>
            <w:r>
              <w:rPr>
                <w:rFonts w:ascii="Times New Roman"/>
                <w:b w:val="false"/>
                <w:i w:val="false"/>
                <w:color w:val="000000"/>
                <w:sz w:val="20"/>
              </w:rPr>
              <w:t xml:space="preserve">доля специалистов системы повышения квалификации с академическими и учеными степенями – 5 % </w:t>
            </w:r>
            <w:r>
              <w:br/>
            </w:r>
            <w:r>
              <w:rPr>
                <w:rFonts w:ascii="Times New Roman"/>
                <w:b w:val="false"/>
                <w:i w:val="false"/>
                <w:color w:val="000000"/>
                <w:sz w:val="20"/>
              </w:rPr>
              <w:t>
</w:t>
            </w:r>
            <w:r>
              <w:rPr>
                <w:rFonts w:ascii="Times New Roman"/>
                <w:b w:val="false"/>
                <w:i w:val="false"/>
                <w:color w:val="000000"/>
                <w:sz w:val="20"/>
              </w:rPr>
              <w:t>доля инженерно-педагогических кадров организаций ТиПО, прошедших повышение квалификации и стажировку, в том числе на базе производственных предприятий, ежегодно – 20 %</w:t>
            </w:r>
            <w:r>
              <w:br/>
            </w:r>
            <w:r>
              <w:rPr>
                <w:rFonts w:ascii="Times New Roman"/>
                <w:b w:val="false"/>
                <w:i w:val="false"/>
                <w:color w:val="000000"/>
                <w:sz w:val="20"/>
              </w:rPr>
              <w:t>
</w:t>
            </w:r>
            <w:r>
              <w:rPr>
                <w:rFonts w:ascii="Times New Roman"/>
                <w:b w:val="false"/>
                <w:i w:val="false"/>
                <w:color w:val="000000"/>
                <w:sz w:val="20"/>
              </w:rPr>
              <w:t>доля ППС вузов, прошедших повышение квалификации и переподготовку в стране, ежегодно – 20 %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к новой модели оплаты труда педагогических работников, предусматривающей введение дифференцированных коэффициентов, используемых для исчисления размера должностного оклада педагогических работников за квалификационную категорию, механизма внедрения оплаты труда, ориентированного на результат, приближение средней зарплаты педагогических работников к заработной плате в частном секторе экономики</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МТСЗН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5373,880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15733,719</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21107,599</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повышения квалификации по новой системе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повышения квалификации организаций, осуществляющих повышение квалификации учителей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- 2013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предусмотренных средств из РБ, собственных средств АО «Назарбаев Интеллектуальные школы»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повышение квалификации специалистов для интегрированного обучения детей дошкольного и школьного возраста (инклюзивное образование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реализации в рамках</w:t>
            </w:r>
            <w:r>
              <w:rPr>
                <w:rFonts w:ascii="Times New Roman"/>
                <w:b w:val="false"/>
                <w:i w:val="false"/>
                <w:color w:val="000000"/>
                <w:sz w:val="20"/>
              </w:rPr>
              <w:t xml:space="preserve">  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повышение квалификации специалистов для работы с детьми с ограниченными возможностями в развитии дошкольного возраста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учебного оборудования для организаций, осуществляющих повышение квалификации педагогических кадров (АО «НЦПК «Өрлеу», 16 региональных ИПК АО «НЦПК «Өрлеу», 8 вузов)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«НЦПК «Өрлеу» (по согласованию),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652,550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педагогических работников и приравненных к ним лиц" в части включения в квалификационные требования для методистов ИПК наличия ученой степени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5000 педагогических работников организаций ТиПО для реализации новых образовательных программ (1000 чел. ежегодно) в межрегиональных центрах по повышению квалификации в городах Караганде, Алматы, Шымкенте, Уральске и других (не менее 72 часов)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023 «Повышение квалификации и переподготовка кадров государственных организаций образования»)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023 «Повышение квалификации и переподготовка кадров государственных организаций образования»)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повышения квалификации 144 преподавателей специальных дисциплин и мастеров производственного обучения за рубежом (2011 - 24 чел., 2012 - 24 чел., 2013 - 32 чел., 2014 - 32 чел., 2015 - 32 чел.)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66,922</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повышения квалификации, переподготовки, стажировки ППС внутри страны, в том числе на высокотехнологичных предприятиях в рамках многосторонней кооперации вузов с ведущими промышленными предприятиями и НИИ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государственного заказа и за счет средств вузов</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повышения квалификации ППС за рубежом в целях многосторонней кооперации вузов с ведущими отечественными и зарубежными промышленными предприятиями по приоритетным направлениям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242,720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669,130</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в перечень приоритетных специальностей для присуждения </w:t>
            </w:r>
            <w:r>
              <w:rPr>
                <w:rFonts w:ascii="Times New Roman"/>
                <w:b w:val="false"/>
                <w:i w:val="false"/>
                <w:color w:val="000000"/>
                <w:sz w:val="20"/>
              </w:rPr>
              <w:t>международной стипендии</w:t>
            </w:r>
            <w:r>
              <w:rPr>
                <w:rFonts w:ascii="Times New Roman"/>
                <w:b w:val="false"/>
                <w:i w:val="false"/>
                <w:color w:val="000000"/>
                <w:sz w:val="20"/>
              </w:rPr>
              <w:t xml:space="preserve"> «Болашак» подготовку англоязычных педагогических кадров для среднего, технического и профессионального, высшего образования, утверждаемый протоколом заседания Республиканской комиссии по подготовке кадров за рубежом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дополнения в ГОСО педагогических специальностей высшего и послевузовского образования в части увеличения объема кредитов по иностранному языку в цикле базовых дисциплин (для подготовки педагогических кадров с полиязычным образованием)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педагогов для МКШ, магистров образования для профильной школы в вузах, ведущих подготовку педагогических кадров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предусмотренного государственного заказа</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рекомендаций по подтверждению уровня квалификации педагогов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КазНПУ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структуры тестовых заданий для подтверждения уровня квалификаций педагогов, обновление базы тестовых заданий, анкет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апробации процедуры аттестации преподавателей на базе 4 школ с распространением на один регион и один город</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целевой подготовки магистров и докторов PhD в базовых вузах</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 дополнений в типовые учебные программы педагогических специальностей в части полиязычного образования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сотрудничества вузов с ведущими отечественными и зарубежными компаниями по приоритетным направлениям ГПФИИР с возможностью прохождения производственных практик и последующего трудоустройства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меморандумы, соглашения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предложения по введению творческих экзаменов при поступлении на педагогические специальности на определение уровня склонности к педагогической деятельности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отраслевые объединения работников и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формированию положительного имиджа педагога в обществе (конкурсы «Учитель года», акции, совместные проекты со СМИ, мастер-классы, форумы педагогов-новаторов, конкурсы, слеты педагогических династий, научно-практические семинары и симпозиумы, семинары-тренинги и круглые столы)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w:t>
            </w:r>
            <w:r>
              <w:br/>
            </w:r>
            <w:r>
              <w:rPr>
                <w:rFonts w:ascii="Times New Roman"/>
                <w:b w:val="false"/>
                <w:i w:val="false"/>
                <w:color w:val="000000"/>
                <w:sz w:val="20"/>
              </w:rPr>
              <w:t>
</w:t>
            </w:r>
            <w:r>
              <w:rPr>
                <w:rFonts w:ascii="Times New Roman"/>
                <w:b w:val="false"/>
                <w:i w:val="false"/>
                <w:color w:val="000000"/>
                <w:sz w:val="20"/>
              </w:rPr>
              <w:t>(бюджетная программа № 001 «Формирование и реализация государственной политики в области образования и науки»)</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участию в международном сравнительном исследовании TEDS-M учителей математики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374"/>
        <w:gridCol w:w="476"/>
        <w:gridCol w:w="907"/>
        <w:gridCol w:w="756"/>
        <w:gridCol w:w="1264"/>
        <w:gridCol w:w="1109"/>
        <w:gridCol w:w="370"/>
        <w:gridCol w:w="1242"/>
        <w:gridCol w:w="280"/>
        <w:gridCol w:w="1242"/>
        <w:gridCol w:w="268"/>
        <w:gridCol w:w="1242"/>
        <w:gridCol w:w="302"/>
        <w:gridCol w:w="1242"/>
        <w:gridCol w:w="257"/>
        <w:gridCol w:w="1242"/>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государственно-общественной системы управления образованием</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в 45 % организаций образования созданы попечительские советы</w:t>
            </w:r>
            <w:r>
              <w:br/>
            </w:r>
            <w:r>
              <w:rPr>
                <w:rFonts w:ascii="Times New Roman"/>
                <w:b w:val="false"/>
                <w:i w:val="false"/>
                <w:color w:val="000000"/>
                <w:sz w:val="20"/>
              </w:rPr>
              <w:t>
</w:t>
            </w:r>
            <w:r>
              <w:rPr>
                <w:rFonts w:ascii="Times New Roman"/>
                <w:b w:val="false"/>
                <w:i w:val="false"/>
                <w:color w:val="000000"/>
                <w:sz w:val="20"/>
              </w:rPr>
              <w:t>50 % руководителей организаций образования прошли повышение квалификации и переподготовку в области менеджмента</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результатов: внедрение принципов корпоративного управления в гражданских вузах – 65 %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подготовку и повышение квалификации руководящих работников образования системы дошкольного воспитания и обучения, среднего образования по вопросам менеджмента в образовании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программы повышения квалификации преподавателей педагогических специальностей вузов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совета директоров</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«НЦПК «Өрлеу»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переподготовки и повышения квалификации руководящих работников и преподавателей системы высшего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создания и функционирования отраслевых и региональных советов по развитию ТиПО и подготовке кадров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деятельности отраслевых и региональных советов по развитию ТиПО и подготовке кадров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МИО, МОН,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среди руководящих работников организаций образования по планированию, ориентированному на результат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внедрение системы планирования, мониторинга и оценки результатов работы во всех организациях образования, независимо от формы собственности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семинара по функционированию попечительских советов в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 функционирования принципов корпоративного управления в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и.о. Министра образования и науки Республики Казахстан от 22 октября 2007 года № 501 "Об утверждении Типовых правил деятельности попечительского совета и порядок его избрания" в части уточнения создания попечительских советов в организациях с различным уровнем управления, финансирования (АО, ГУ, РГП, РГКП)</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попечительских советов в организациях среднего, технического и профессионального, высшего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вузах принципов корпоративного управления и стратегического планирования, в случае положительного результата по пилотному проекту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предложения по пересмотру механизма назначения ректоров вузов. Разработка рекомендаций по выборности ректоров во всех аккредитованных вузах</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социологического исследования в вузах на предмет прозрачности их деятельности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Переименование Национального центра оценки качества образования в Национальный центр образовательной статистики и оценки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образовательной статистики с учетом требований международной образовательной статистики ЮНЕСКО, ОЭСР и США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НЦОСО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инфраструктуры образовательной статистики, мониторинга и оценки качества в областях и городе Алматы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188,242</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апробация, внедрение единой электронной базы образовательной статистики на основе первичных данных, мониторинга движения детей "Всеобуч"</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рамках системы электронного обучения "е-learning"</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внедрение механизмов и форм публичной отчетности в виде ежегодных областных докладов о состоянии и развитии системы образования областных, городов Астаны, Алматы управлений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 (НЦОСО)</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НЦОСО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итогов мониторинга развития образования (национальный доклад о состоянии и развитии системы образования, национальные сборники образовательной статистики) и размещение на веб-сайтах МОН РК и НЦОСО, ежегодно</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механизма управления воспитательной работой во всех организациях образования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усовершенствованию системы социального заказа и механизма государственного финансирования деятельности некоммерческих неправительственных организаций, в том числе агентств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равного доступа всех участников образовательного процесса к лучшим образовательным ресурсам и технологиям</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в 50% организаций образования используется система электронного обучения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педагогов, прошедших повышение квалификации по применению и КТ в обучении, к общему их количеству - 90%</w:t>
            </w:r>
            <w:r>
              <w:br/>
            </w:r>
            <w:r>
              <w:rPr>
                <w:rFonts w:ascii="Times New Roman"/>
                <w:b w:val="false"/>
                <w:i w:val="false"/>
                <w:color w:val="000000"/>
                <w:sz w:val="20"/>
              </w:rPr>
              <w:t>
</w:t>
            </w:r>
            <w:r>
              <w:rPr>
                <w:rFonts w:ascii="Times New Roman"/>
                <w:b w:val="false"/>
                <w:i w:val="false"/>
                <w:color w:val="000000"/>
                <w:sz w:val="20"/>
              </w:rPr>
              <w:t>Количество учащихся на 1 компьютер - 10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нормативной правовой базы системы электронного обучения, включая сбор первичных статистических данных, на основе международных стандартов и технических регламентов эксплуатации системы электронного обучения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 ГОСО по уровням образования с учетом внедрения системы электронного обучения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обучения в организациях среднего, технического и профессионального образования, в т.ч.: 2011 г.-44 организации, 2012 г.-537, 2013 г.-926, 2014 г.-1317, 2015 г.-1311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11978,426</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12244,700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24942,600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25156,600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75694,026</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организаций образования к сети Интернет с пропускной способностью от 4 до 10 Мбит/сек, в т.ч.: 2011 г.-44, 2012 г.-537, 2013 г.-926, 2014 г.-1317, 2015 г.-1311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904,568</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9458,600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16837,800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24621,100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51900,568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повышение квалификации преподавателей для функционирования системы электронного обучения и администраторов системы электронного обучения, ежегодно 8 тыс. человек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МТК,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183,399</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960,279</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цифровым образовательным контентом с полным охватом образовательных программ организаций среднего, технического и профессионального образования в открытом доступе (30% в год обновление контента), в том числе с использованием услуг организаций, предоставляющих услуги в данной отрасли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3056,662</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2199,400</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7455,462</w:t>
            </w:r>
          </w:p>
        </w:tc>
      </w:tr>
      <w:tr>
        <w:trPr>
          <w:trHeight w:val="4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университетским интернет-ресурсам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 - 2012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университетских интернет-ресурсов по образцу ведущих зарубежных вузов</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493"/>
        <w:gridCol w:w="616"/>
        <w:gridCol w:w="1010"/>
        <w:gridCol w:w="845"/>
        <w:gridCol w:w="1264"/>
        <w:gridCol w:w="1109"/>
        <w:gridCol w:w="347"/>
        <w:gridCol w:w="1109"/>
        <w:gridCol w:w="315"/>
        <w:gridCol w:w="1109"/>
        <w:gridCol w:w="425"/>
        <w:gridCol w:w="1109"/>
        <w:gridCol w:w="269"/>
        <w:gridCol w:w="1109"/>
        <w:gridCol w:w="441"/>
        <w:gridCol w:w="975"/>
      </w:tblGrid>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полного охвата детей качественным дошкольным воспитанием и обучением, равного доступа детей к различным программам дошкольного воспитания и обучения для их подготовки к школе</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охват 74 % детей в возрасте от 3 до 6 лет дошкольным воспитанием и обучением</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дошкольных мини-центров от общего числа дошкольных организаций – 60 %</w:t>
            </w:r>
            <w:r>
              <w:br/>
            </w:r>
            <w:r>
              <w:rPr>
                <w:rFonts w:ascii="Times New Roman"/>
                <w:b w:val="false"/>
                <w:i w:val="false"/>
                <w:color w:val="000000"/>
                <w:sz w:val="20"/>
              </w:rPr>
              <w:t>
</w:t>
            </w:r>
            <w:r>
              <w:rPr>
                <w:rFonts w:ascii="Times New Roman"/>
                <w:b w:val="false"/>
                <w:i w:val="false"/>
                <w:color w:val="000000"/>
                <w:sz w:val="20"/>
              </w:rPr>
              <w:t>доля детей 5–6 лет, охваченных предшкольной подготовкой, – 100 %</w:t>
            </w:r>
            <w:r>
              <w:br/>
            </w:r>
            <w:r>
              <w:rPr>
                <w:rFonts w:ascii="Times New Roman"/>
                <w:b w:val="false"/>
                <w:i w:val="false"/>
                <w:color w:val="000000"/>
                <w:sz w:val="20"/>
              </w:rPr>
              <w:t>
</w:t>
            </w:r>
            <w:r>
              <w:rPr>
                <w:rFonts w:ascii="Times New Roman"/>
                <w:b w:val="false"/>
                <w:i w:val="false"/>
                <w:color w:val="000000"/>
                <w:sz w:val="20"/>
              </w:rPr>
              <w:t>доля частных детских садов от общего числа детских садов - не менее 12 %</w:t>
            </w:r>
          </w:p>
        </w:tc>
      </w:tr>
      <w:tr>
        <w:trPr>
          <w:trHeight w:val="40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«Балапан» по обеспечению детей дошкольным воспитанием и обучением</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 xml:space="preserve">Указа </w:t>
            </w:r>
            <w:r>
              <w:rPr>
                <w:rFonts w:ascii="Times New Roman"/>
                <w:b w:val="false"/>
                <w:i w:val="false"/>
                <w:color w:val="000000"/>
                <w:sz w:val="20"/>
              </w:rPr>
              <w:t>Президента Республики Казахстан № 931 от 4 марта 2010 года</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419,741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669,147</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011 «Целевые текущие трансферты областным бюджетам, бюджетам городов Астаны и Алматы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r>
              <w:rPr>
                <w:rFonts w:ascii="Times New Roman"/>
                <w:b w:val="false"/>
                <w:i w:val="false"/>
                <w:color w:val="000000"/>
                <w:sz w:val="20"/>
              </w:rPr>
              <w:t>№ 012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предусмотрению дополнительных мероприятий по развитию дошкольного воспитания и обучения на 2015 год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5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предложений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Правительства Республики Казахстан № 77 от 30 января 2008 года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 касательно специалистов, работающих с детьми с ограниченными возможностями в развитии в дошкольных и школьных общеобразовательных организациях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Правительство Республики Казахстан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требуется </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в каждом районном центре кабинета психолого-педагогической коррекции и реабилитационных центров в областных центрах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1697,100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1874,500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1915,200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9182,3</w:t>
            </w:r>
          </w:p>
        </w:tc>
      </w:tr>
      <w:tr>
        <w:trPr>
          <w:trHeight w:val="40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учебных программ по переподготовке педагогов общеобразовательных организаций для работы с детьми с ограниченными возможностями, в том числе модульных программ интегрированного обучения детей с ограниченными возможностями в развитии</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программы</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образовательных программ для детей дошкольного возраста с кохлеарными имплантантами, аутизмом, задержкой психического развития, нарушениями опорно-двигательного аппарата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учебных программ для подготовки педагогических работников дошкольного образования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учебные программы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1494"/>
        <w:gridCol w:w="616"/>
        <w:gridCol w:w="985"/>
        <w:gridCol w:w="855"/>
        <w:gridCol w:w="1264"/>
        <w:gridCol w:w="975"/>
        <w:gridCol w:w="345"/>
        <w:gridCol w:w="1109"/>
        <w:gridCol w:w="345"/>
        <w:gridCol w:w="1109"/>
        <w:gridCol w:w="301"/>
        <w:gridCol w:w="1109"/>
        <w:gridCol w:w="331"/>
        <w:gridCol w:w="1109"/>
        <w:gridCol w:w="389"/>
        <w:gridCol w:w="1242"/>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в общеобразовательных школах интеллектуального, физически и духовно развитого гражданина Республики Казахстан, удовлетворение его потребности в получении образования, обеспечивающего успех в быстро меняющемся мире, развитие конкурентоспособного человеческого капитала для экономического благополучия страны. Переход на 12-летнюю модель обучения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в 1, 5, 11 классах осуществлен переход на 12-летнюю модель обучения количество школ в рамках проекта «Назарбаев Интеллектуальные школы» во всех регионах Казахстана - 20 доля учащихся, успешно освоивших образовательные учебные программы по естественно-математическим дисциплинам, – 60 % результаты учащихся казахстанской общеобразовательной школы в международных сравнительных исследованиях PISA (50-55 место), TIMSS (10-15 место) увеличена доля школ, создавших условия для инклюзивного образования, от их общего количества – 30 %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 доля школ с естественно-математическим направлением от общего количества профильных школ - не менее 15 %</w:t>
            </w:r>
            <w:r>
              <w:br/>
            </w:r>
            <w:r>
              <w:rPr>
                <w:rFonts w:ascii="Times New Roman"/>
                <w:b w:val="false"/>
                <w:i w:val="false"/>
                <w:color w:val="000000"/>
                <w:sz w:val="20"/>
              </w:rPr>
              <w:t>
</w:t>
            </w:r>
            <w:r>
              <w:rPr>
                <w:rFonts w:ascii="Times New Roman"/>
                <w:b w:val="false"/>
                <w:i w:val="false"/>
                <w:color w:val="000000"/>
                <w:sz w:val="20"/>
              </w:rPr>
              <w:t>доля школ, имеющих кабинеты новой модификации (химии, биологии, физики, лингафонных мультимедийных кабинетов) с сервисным обслуживанием от их общего количества, – 40 %</w:t>
            </w:r>
            <w:r>
              <w:br/>
            </w:r>
            <w:r>
              <w:rPr>
                <w:rFonts w:ascii="Times New Roman"/>
                <w:b w:val="false"/>
                <w:i w:val="false"/>
                <w:color w:val="000000"/>
                <w:sz w:val="20"/>
              </w:rPr>
              <w:t>
</w:t>
            </w:r>
            <w:r>
              <w:rPr>
                <w:rFonts w:ascii="Times New Roman"/>
                <w:b w:val="false"/>
                <w:i w:val="false"/>
                <w:color w:val="000000"/>
                <w:sz w:val="20"/>
              </w:rPr>
              <w:t>доля аварийных школ от их общего количества – 2 %</w:t>
            </w:r>
            <w:r>
              <w:br/>
            </w:r>
            <w:r>
              <w:rPr>
                <w:rFonts w:ascii="Times New Roman"/>
                <w:b w:val="false"/>
                <w:i w:val="false"/>
                <w:color w:val="000000"/>
                <w:sz w:val="20"/>
              </w:rPr>
              <w:t>
</w:t>
            </w:r>
            <w:r>
              <w:rPr>
                <w:rFonts w:ascii="Times New Roman"/>
                <w:b w:val="false"/>
                <w:i w:val="false"/>
                <w:color w:val="000000"/>
                <w:sz w:val="20"/>
              </w:rPr>
              <w:t>дефицит ученических мест - 45 тыс.</w:t>
            </w:r>
            <w:r>
              <w:br/>
            </w:r>
            <w:r>
              <w:rPr>
                <w:rFonts w:ascii="Times New Roman"/>
                <w:b w:val="false"/>
                <w:i w:val="false"/>
                <w:color w:val="000000"/>
                <w:sz w:val="20"/>
              </w:rPr>
              <w:t>
</w:t>
            </w:r>
            <w:r>
              <w:rPr>
                <w:rFonts w:ascii="Times New Roman"/>
                <w:b w:val="false"/>
                <w:i w:val="false"/>
                <w:color w:val="000000"/>
                <w:sz w:val="20"/>
              </w:rPr>
              <w:t>доля школ, ведущих занятия в три смены, - 0,2 %</w:t>
            </w:r>
            <w:r>
              <w:br/>
            </w:r>
            <w:r>
              <w:rPr>
                <w:rFonts w:ascii="Times New Roman"/>
                <w:b w:val="false"/>
                <w:i w:val="false"/>
                <w:color w:val="000000"/>
                <w:sz w:val="20"/>
              </w:rPr>
              <w:t>
</w:t>
            </w:r>
            <w:r>
              <w:rPr>
                <w:rFonts w:ascii="Times New Roman"/>
                <w:b w:val="false"/>
                <w:i w:val="false"/>
                <w:color w:val="000000"/>
                <w:sz w:val="20"/>
              </w:rPr>
              <w:t>доля школьников, охваченных качественным и комфортным подвозом к школе и из школы домой, от общего количества детей, нуждающихся в подвозе, – 80</w:t>
            </w:r>
            <w:r>
              <w:br/>
            </w:r>
            <w:r>
              <w:rPr>
                <w:rFonts w:ascii="Times New Roman"/>
                <w:b w:val="false"/>
                <w:i w:val="false"/>
                <w:color w:val="000000"/>
                <w:sz w:val="20"/>
              </w:rPr>
              <w:t>
</w:t>
            </w:r>
            <w:r>
              <w:rPr>
                <w:rFonts w:ascii="Times New Roman"/>
                <w:b w:val="false"/>
                <w:i w:val="false"/>
                <w:color w:val="000000"/>
                <w:sz w:val="20"/>
              </w:rPr>
              <w:t>количество «опорных школ» – ресурсных центров для МКШ - 160</w:t>
            </w:r>
            <w:r>
              <w:br/>
            </w:r>
            <w:r>
              <w:rPr>
                <w:rFonts w:ascii="Times New Roman"/>
                <w:b w:val="false"/>
                <w:i w:val="false"/>
                <w:color w:val="000000"/>
                <w:sz w:val="20"/>
              </w:rPr>
              <w:t>
</w:t>
            </w:r>
            <w:r>
              <w:rPr>
                <w:rFonts w:ascii="Times New Roman"/>
                <w:b w:val="false"/>
                <w:i w:val="false"/>
                <w:color w:val="000000"/>
                <w:sz w:val="20"/>
              </w:rPr>
              <w:t>охват обучающихся в организациях среднего образования деятельностью спортивных секций в организациях образования от общего количества обучающихся – 25 %</w:t>
            </w:r>
            <w:r>
              <w:br/>
            </w:r>
            <w:r>
              <w:rPr>
                <w:rFonts w:ascii="Times New Roman"/>
                <w:b w:val="false"/>
                <w:i w:val="false"/>
                <w:color w:val="000000"/>
                <w:sz w:val="20"/>
              </w:rPr>
              <w:t>
</w:t>
            </w:r>
            <w:r>
              <w:rPr>
                <w:rFonts w:ascii="Times New Roman"/>
                <w:b w:val="false"/>
                <w:i w:val="false"/>
                <w:color w:val="000000"/>
                <w:sz w:val="20"/>
              </w:rPr>
              <w:t>охват обучающихся детско-юношескими спортивными школами от общего количества обучающихся – 12 %</w:t>
            </w:r>
            <w:r>
              <w:br/>
            </w:r>
            <w:r>
              <w:rPr>
                <w:rFonts w:ascii="Times New Roman"/>
                <w:b w:val="false"/>
                <w:i w:val="false"/>
                <w:color w:val="000000"/>
                <w:sz w:val="20"/>
              </w:rPr>
              <w:t>
</w:t>
            </w:r>
            <w:r>
              <w:rPr>
                <w:rFonts w:ascii="Times New Roman"/>
                <w:b w:val="false"/>
                <w:i w:val="false"/>
                <w:color w:val="000000"/>
                <w:sz w:val="20"/>
              </w:rPr>
              <w:t>доля детей школьного возраста, охваченных художественным, музыкальным, техническим, научным творчеством, – 23 %</w:t>
            </w:r>
            <w:r>
              <w:br/>
            </w:r>
            <w:r>
              <w:rPr>
                <w:rFonts w:ascii="Times New Roman"/>
                <w:b w:val="false"/>
                <w:i w:val="false"/>
                <w:color w:val="000000"/>
                <w:sz w:val="20"/>
              </w:rPr>
              <w:t>
</w:t>
            </w:r>
            <w:r>
              <w:rPr>
                <w:rFonts w:ascii="Times New Roman"/>
                <w:b w:val="false"/>
                <w:i w:val="false"/>
                <w:color w:val="000000"/>
                <w:sz w:val="20"/>
              </w:rPr>
              <w:t>охват обучающихся в вузах деятельностью спортивных секций от общего количества обучающихся - 20 %</w:t>
            </w:r>
            <w:r>
              <w:br/>
            </w:r>
            <w:r>
              <w:rPr>
                <w:rFonts w:ascii="Times New Roman"/>
                <w:b w:val="false"/>
                <w:i w:val="false"/>
                <w:color w:val="000000"/>
                <w:sz w:val="20"/>
              </w:rPr>
              <w:t>
</w:t>
            </w:r>
            <w:r>
              <w:rPr>
                <w:rFonts w:ascii="Times New Roman"/>
                <w:b w:val="false"/>
                <w:i w:val="false"/>
                <w:color w:val="000000"/>
                <w:sz w:val="20"/>
              </w:rPr>
              <w:t>доля детей, охваченных инклюзивным образованием, от общего количества детей с ограниченными возможностями в развитии – 25 %</w:t>
            </w:r>
            <w:r>
              <w:br/>
            </w:r>
            <w:r>
              <w:rPr>
                <w:rFonts w:ascii="Times New Roman"/>
                <w:b w:val="false"/>
                <w:i w:val="false"/>
                <w:color w:val="000000"/>
                <w:sz w:val="20"/>
              </w:rPr>
              <w:t>
</w:t>
            </w:r>
            <w:r>
              <w:rPr>
                <w:rFonts w:ascii="Times New Roman"/>
                <w:b w:val="false"/>
                <w:i w:val="false"/>
                <w:color w:val="000000"/>
                <w:sz w:val="20"/>
              </w:rPr>
              <w:t>обеспечение бесплатным витаминизированным и горячим питанием учащихся из числа малообеспеченных семей – 100 %</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базы тестовых заданий национального тестирования, в том числе заданиями логического характера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материально-технической базы филиалов Национального центра тестирования для проведения национального тестирования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тестов национального тестирования для выпускников 12 летней школы, ориентированных на выявление уровня сформированности компетенций обучающихся, с включением письменных заданий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IV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технологии проведения ВОУД в организациях образования путем внедрения компьютерного тестирования: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технологии проведения ВОУД,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независимой экспертизы программного сопровождения процедуры ВОУД,</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апробации,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новой технологии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70,788</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проведение международных исследований (PISA, TIMSS, PIRLS) и подготовка национальных отчетов по итогам исследований</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311,11</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Республиканского Центра развития МКШ на базе Национальной академии образования имени Ы.  Алтынсарина и в 14 областях создание региональных центров, лабораторий при ИПК АО «НЦПК «Өрлеу», как структурных подразделений указанных организаций или возложение на специалистов УО вопросы курирования МКШ</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НАО им. Ы.  Алтынсарина (по согласованию), АО «НЦПК «Өрлеу»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лимита штатной численности</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профильным школам, их оснащению</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предложения в МРР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методических пособий для МКШ, опорных школ (ресурсных центров)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пособия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опорных школ (ресурсных центров) в регионах, 2011 году - 26, 2012 году - 28, 2013 году - 31, 2014 году – 35, 2015 году - 40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2015 году всех учащихся общеобразовательных организаций образования бесплатными учебниками и учебно-методическими комплексами за счет местных бюджетов путем поэтапного ежегодного 100 %-ного закупа учебников в соответствии с графиком переиздания: в 2011 году закупить учебники и УМК для 4, 6, 11 классов, в 2012 году - для 1, 7, 8 классов, в 2013 году - для 2, 9 классов, в 2014 году - для 3, 10 классов, в 2015 году - для 1, 5, 11 классов</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6419,200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6742,900</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7233,000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4207,100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30032,000</w:t>
            </w:r>
          </w:p>
        </w:tc>
      </w:tr>
      <w:tr>
        <w:trPr>
          <w:trHeight w:val="30"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всех организаций среднего, технического и профессионального, высшего образования методическими пособиями, дидактическими и раздаточными материалами, наглядными пособиями для преподавания предметов и дисциплин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409,900</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прикладных научных исследований по научно-методическому сопровождению 12-летней модели обучения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исследования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требований к уровню освоения образовательных программ по 12-летней модели обучения</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Президента Республики Казахстан № 931 от 4 марта 2010 года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1232"/>
        <w:gridCol w:w="533"/>
        <w:gridCol w:w="855"/>
        <w:gridCol w:w="755"/>
        <w:gridCol w:w="1264"/>
        <w:gridCol w:w="1242"/>
        <w:gridCol w:w="253"/>
        <w:gridCol w:w="1242"/>
        <w:gridCol w:w="242"/>
        <w:gridCol w:w="1242"/>
        <w:gridCol w:w="373"/>
        <w:gridCol w:w="1242"/>
        <w:gridCol w:w="329"/>
        <w:gridCol w:w="1242"/>
        <w:gridCol w:w="286"/>
        <w:gridCol w:w="1242"/>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учебно-методическое обеспечение перехода на 12-летнюю модель обучения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Разделение функций разработки и проведения экспертизы учебников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экспертиза учебных программ, учебников и УМК для 12-летней школы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(по согласованию), РНПЦ «Учебник»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 лучших зарубежных учебников по математике, естественным и техническим наукам для включения в перечень рекомендованных учебников и учебных пособий для использования в учебном процессе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учебной литературой общеобразовательных школ в экспериментальном режиме, связанных с переходом на 12-летнюю модель обучения</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МИО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III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связанных с разработкой, внедрением и авторизацией программ Международного бакалавриата с привлечением стратегических партнеров</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226,127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770,788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770,343</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3240,215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профильных школ (2012 год - 0, 2013 год – 0, 2014 год – 28, 2015 год – 28)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профильных школ при вузах в соответствии с потребностью</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II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вузов</w:t>
            </w:r>
          </w:p>
        </w:tc>
      </w:tr>
      <w:tr>
        <w:trPr>
          <w:trHeight w:val="14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апробирование программ профильного обучения «Бейіндік мектеп»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НАО им. Ы. Алтынсарина,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008 «Методологическое обеспечение системы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20 Назарбаев Интеллектуальных школ</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АОО «Назарбаев Интеллектуальные школы»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31513,300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14291,961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48805,</w:t>
            </w:r>
            <w:r>
              <w:rPr>
                <w:rFonts w:ascii="Times New Roman"/>
                <w:b w:val="false"/>
                <w:i w:val="false"/>
                <w:color w:val="000000"/>
                <w:sz w:val="20"/>
              </w:rPr>
              <w:t>261</w:t>
            </w:r>
          </w:p>
        </w:tc>
      </w:tr>
      <w:tr>
        <w:trPr>
          <w:trHeight w:val="3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организации дистанционного образования детей-инвалидов для обеспечения доступа детей данной категории к образовательным ресурсам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08"/>
        <w:gridCol w:w="565"/>
        <w:gridCol w:w="876"/>
        <w:gridCol w:w="781"/>
        <w:gridCol w:w="1264"/>
        <w:gridCol w:w="1242"/>
        <w:gridCol w:w="279"/>
        <w:gridCol w:w="1242"/>
        <w:gridCol w:w="291"/>
        <w:gridCol w:w="1109"/>
        <w:gridCol w:w="255"/>
        <w:gridCol w:w="1242"/>
        <w:gridCol w:w="267"/>
        <w:gridCol w:w="1242"/>
        <w:gridCol w:w="267"/>
        <w:gridCol w:w="1242"/>
      </w:tblGrid>
      <w:tr>
        <w:trPr>
          <w:trHeight w:val="4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рабочих мест детей-инвалидов, обучающихся на дому: комплектом компьютерной техники и программного обеспечения с учетом индивидуальных особенностей, возможностей и потребностей, подключение этих мест к Интернету, в т.ч.: 2011 г.-3000 дет., 2012 г.-2962 дет., 2013 г.-3490 дет.</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1737,100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1718,258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5516,358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стандарта государственных услуг по обеспечению бесплатного подвоза обучающихся и воспитанников к общеобразовательной организации образования и обратно домой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комфортабельного подвоза детей к школе, проживающих в населенных пунктах, где нет соответствующих школ, и приобретение школьных автобусов, в т.ч.: в 2014 г.-376 ед., в 2015 г.-454 ед.</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2759,957</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3584,836</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6344,793</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в регионах межведомственных экспертных групп по мониторингу организации школьного питания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бесплатным горячим и витаминизированным питанием учащихся школ из малообеспеченных семей: 2011 г.-205 тыс., 2012 г.-215 тыс., 2013 г.-230 тыс., 2014 г.-245 тыс., 2015 г.-255 тыс.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3287,200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органами образования и внутренних дел акций «Дорога в школу», «Забота», рейдовых мероприятий «Дети в ночном городе», подворных обходов по выявлению детей, не охваченных обучением</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спонсоров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ежемесячных выплат денежных средств опекунам (попечителям) на содержание детей, оставшихся без попечения родителей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3111,681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4159,712</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5561,495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12832,888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новых школ взамен 3-сменных и аварийных школ (2011 год – 25, 2012 год – 50, 2013 год - 4, 2014 год - 3, 2015 год - 3)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23440,828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35052,716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89210,684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организаций образования предметными кабинетами новой модификации, 569 организаций ежегодно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 xml:space="preserve">(бюджетная программа № 031 «Целевые текущие трансферты областным бюджетам, бюджетам городов Астаны и Алматы в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организаций образования лингафонными и мультимедийными кабинетами с сервисным обслуживанием, 459 организаций ежегодно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 xml:space="preserve">(бюджетная программа № 031 «Целевые текущие трансферты областным бюджетам, бюджетам городов Астаны и Алматы в реализацию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образования в Республике Казахстан на 2011-2020 годы») и в пределах предусмотренных средств из МБ</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Оснащение спортивных залов общеобразовательных школ современным оборудованием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спонсоров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Усовершенствование программ подготовки педагогов дополнительного образования и педагогов-организаторов смежной специальности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сети организаций дополнительного образования по республике до 625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обеспечение детей школьного возраста медицинским осмотром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охвата детей спортивными секциями в организациях образования и детско-юношеских школах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модернизация системы ТиПО в соответствии с запросами общества и индустриально-инновационного развития экономики, интеграция в мировое образовательное пространство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доля выпускников ТиПО, прошедших оценку уровня профессиональной подготовленности и присвоения квалификации с первого раза, от общего числа принявших участие – 75 %</w:t>
            </w:r>
            <w:r>
              <w:br/>
            </w:r>
            <w:r>
              <w:rPr>
                <w:rFonts w:ascii="Times New Roman"/>
                <w:b w:val="false"/>
                <w:i w:val="false"/>
                <w:color w:val="000000"/>
                <w:sz w:val="20"/>
              </w:rPr>
              <w:t>
</w:t>
            </w:r>
            <w:r>
              <w:rPr>
                <w:rFonts w:ascii="Times New Roman"/>
                <w:b w:val="false"/>
                <w:i w:val="false"/>
                <w:color w:val="000000"/>
                <w:sz w:val="20"/>
              </w:rPr>
              <w:t>доля занятых и трудоустроенных выпускников учебных заведений ТиПО в первый год после окончания обучения, обучившихся по госзаказу, - 78 %</w:t>
            </w:r>
            <w:r>
              <w:br/>
            </w:r>
            <w:r>
              <w:rPr>
                <w:rFonts w:ascii="Times New Roman"/>
                <w:b w:val="false"/>
                <w:i w:val="false"/>
                <w:color w:val="000000"/>
                <w:sz w:val="20"/>
              </w:rPr>
              <w:t>
</w:t>
            </w:r>
            <w:r>
              <w:rPr>
                <w:rFonts w:ascii="Times New Roman"/>
                <w:b w:val="false"/>
                <w:i w:val="false"/>
                <w:color w:val="000000"/>
                <w:sz w:val="20"/>
              </w:rPr>
              <w:t>доля колледжей, прошедших процедуру национальной институциональной аккредитации,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специальностей ТиПО, обеспеченных профессиональными стандартами, от общего количества  специальностей – 30 %</w:t>
            </w:r>
            <w:r>
              <w:br/>
            </w:r>
            <w:r>
              <w:rPr>
                <w:rFonts w:ascii="Times New Roman"/>
                <w:b w:val="false"/>
                <w:i w:val="false"/>
                <w:color w:val="000000"/>
                <w:sz w:val="20"/>
              </w:rPr>
              <w:t>
</w:t>
            </w:r>
            <w:r>
              <w:rPr>
                <w:rFonts w:ascii="Times New Roman"/>
                <w:b w:val="false"/>
                <w:i w:val="false"/>
                <w:color w:val="000000"/>
                <w:sz w:val="20"/>
              </w:rPr>
              <w:t>доля типовых учебных планов и программ по специальностям ТиПО, разработанных с участием работодателей (на основе профессиональных стандартов) – 50 %</w:t>
            </w:r>
            <w:r>
              <w:br/>
            </w:r>
            <w:r>
              <w:rPr>
                <w:rFonts w:ascii="Times New Roman"/>
                <w:b w:val="false"/>
                <w:i w:val="false"/>
                <w:color w:val="000000"/>
                <w:sz w:val="20"/>
              </w:rPr>
              <w:t>
</w:t>
            </w:r>
            <w:r>
              <w:rPr>
                <w:rFonts w:ascii="Times New Roman"/>
                <w:b w:val="false"/>
                <w:i w:val="false"/>
                <w:color w:val="000000"/>
                <w:sz w:val="20"/>
              </w:rPr>
              <w:t>доля интегрированных образовательных учебных программ, разработанных с участием работодателей и международных экспертов – 40 %</w:t>
            </w:r>
            <w:r>
              <w:br/>
            </w:r>
            <w:r>
              <w:rPr>
                <w:rFonts w:ascii="Times New Roman"/>
                <w:b w:val="false"/>
                <w:i w:val="false"/>
                <w:color w:val="000000"/>
                <w:sz w:val="20"/>
              </w:rPr>
              <w:t>
</w:t>
            </w:r>
            <w:r>
              <w:rPr>
                <w:rFonts w:ascii="Times New Roman"/>
                <w:b w:val="false"/>
                <w:i w:val="false"/>
                <w:color w:val="000000"/>
                <w:sz w:val="20"/>
              </w:rPr>
              <w:t>доля обучающихся, обеспеченных местами для прохождения практики    на базе предприятий, от общего количества обучаемых за счет госзаказа в учебных заведениях ТиПО - 85 %</w:t>
            </w:r>
            <w:r>
              <w:br/>
            </w:r>
            <w:r>
              <w:rPr>
                <w:rFonts w:ascii="Times New Roman"/>
                <w:b w:val="false"/>
                <w:i w:val="false"/>
                <w:color w:val="000000"/>
                <w:sz w:val="20"/>
              </w:rPr>
              <w:t>
</w:t>
            </w:r>
            <w:r>
              <w:rPr>
                <w:rFonts w:ascii="Times New Roman"/>
                <w:b w:val="false"/>
                <w:i w:val="false"/>
                <w:color w:val="000000"/>
                <w:sz w:val="20"/>
              </w:rPr>
              <w:t>доля обучающихся ТиПО за счет средств работодателей от общего количества обучающихся – 1 %</w:t>
            </w:r>
            <w:r>
              <w:br/>
            </w:r>
            <w:r>
              <w:rPr>
                <w:rFonts w:ascii="Times New Roman"/>
                <w:b w:val="false"/>
                <w:i w:val="false"/>
                <w:color w:val="000000"/>
                <w:sz w:val="20"/>
              </w:rPr>
              <w:t>
</w:t>
            </w:r>
            <w:r>
              <w:rPr>
                <w:rFonts w:ascii="Times New Roman"/>
                <w:b w:val="false"/>
                <w:i w:val="false"/>
                <w:color w:val="000000"/>
                <w:sz w:val="20"/>
              </w:rPr>
              <w:t>охват молодежи типичного возраста техническим и профессиональным образованием - 20 %</w:t>
            </w:r>
            <w:r>
              <w:br/>
            </w:r>
            <w:r>
              <w:rPr>
                <w:rFonts w:ascii="Times New Roman"/>
                <w:b w:val="false"/>
                <w:i w:val="false"/>
                <w:color w:val="000000"/>
                <w:sz w:val="20"/>
              </w:rPr>
              <w:t>
</w:t>
            </w:r>
            <w:r>
              <w:rPr>
                <w:rFonts w:ascii="Times New Roman"/>
                <w:b w:val="false"/>
                <w:i w:val="false"/>
                <w:color w:val="000000"/>
                <w:sz w:val="20"/>
              </w:rPr>
              <w:t>количество введенных ученических мест в системе ТиПО - 2660 ученических мест</w:t>
            </w:r>
            <w:r>
              <w:br/>
            </w:r>
            <w:r>
              <w:rPr>
                <w:rFonts w:ascii="Times New Roman"/>
                <w:b w:val="false"/>
                <w:i w:val="false"/>
                <w:color w:val="000000"/>
                <w:sz w:val="20"/>
              </w:rPr>
              <w:t>
</w:t>
            </w:r>
            <w:r>
              <w:rPr>
                <w:rFonts w:ascii="Times New Roman"/>
                <w:b w:val="false"/>
                <w:i w:val="false"/>
                <w:color w:val="000000"/>
                <w:sz w:val="20"/>
              </w:rPr>
              <w:t>количество вновь введенных мест в общежитиях для обучающихся ТиПО - 1300 мест</w:t>
            </w:r>
            <w:r>
              <w:br/>
            </w:r>
            <w:r>
              <w:rPr>
                <w:rFonts w:ascii="Times New Roman"/>
                <w:b w:val="false"/>
                <w:i w:val="false"/>
                <w:color w:val="000000"/>
                <w:sz w:val="20"/>
              </w:rPr>
              <w:t>
</w:t>
            </w:r>
            <w:r>
              <w:rPr>
                <w:rFonts w:ascii="Times New Roman"/>
                <w:b w:val="false"/>
                <w:i w:val="false"/>
                <w:color w:val="000000"/>
                <w:sz w:val="20"/>
              </w:rPr>
              <w:t>доля учебных заведений ТиПО, оснащенных современным обучающим оборудованием, от их общего количества - 75 %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профессиональных стандартов по специальностям отраслей экономики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МОН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w:t>
            </w:r>
            <w:r>
              <w:rPr>
                <w:rFonts w:ascii="Times New Roman"/>
                <w:b w:val="false"/>
                <w:i w:val="false"/>
                <w:color w:val="000000"/>
                <w:vertAlign w:val="superscript"/>
              </w:rPr>
              <w:t>1</w:t>
            </w:r>
            <w:r>
              <w:rPr>
                <w:rFonts w:ascii="Times New Roman"/>
                <w:b w:val="false"/>
                <w:i w:val="false"/>
                <w:color w:val="000000"/>
                <w:sz w:val="20"/>
              </w:rPr>
              <w:t>, отраслевые объединения работодателей и работников, МТСЗН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проекта со Всемирным банком «Модернизация технического и профессионального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с участием работодателей типовых учебных планов и программ по специальностям ТиПО (на основе профессиональных стандартов)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интегрированных образовательных учебных программ по специальностям ТиПО с участием работодателей (на основе профессиональных стандартов)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типовых учебных программ по общепрофессиональным и специальным дисциплинам с участием работодателей и их издание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257,924</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апробации с привлечением работодателей учебной литературы и учебно-методических пособий по специальным техническим дисциплинам и их издание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УМС</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АО «РНМЦ»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функционирование областных учебно-методических кабинетов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сети учебных заведений ТиПО за счет строительства колледжей (2013 год - 4, 2014 год - 38)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МРР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2016,143</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24751,843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29161,588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межрегиональных центров по подготовке и переподготовке кадров:</w:t>
            </w:r>
            <w:r>
              <w:br/>
            </w:r>
            <w:r>
              <w:rPr>
                <w:rFonts w:ascii="Times New Roman"/>
                <w:b w:val="false"/>
                <w:i w:val="false"/>
                <w:color w:val="000000"/>
                <w:sz w:val="20"/>
              </w:rPr>
              <w:t>
</w:t>
            </w:r>
            <w:r>
              <w:rPr>
                <w:rFonts w:ascii="Times New Roman"/>
                <w:b w:val="false"/>
                <w:i w:val="false"/>
                <w:color w:val="000000"/>
                <w:sz w:val="20"/>
              </w:rPr>
              <w:t>для нефтегазовой отрасли в городе Атырау, для топливно-энергетической отрасли в городе Экибастузе, для машиностроительной отрасли в городе Усть-Каменогорске, для обрабатывающей отрасли в городе Шымкенте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 МРР, заинтересованные государственные органы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005 «Строительство и реконструкция объектов образования и науки»)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общежитий при действующих колледжах (2012 г. - 2, 2013 год - 3, 2014 год - 4, 2015 год - 4)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1389,260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1737,240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обучающихся колледжей государственной стипендией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13778,751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13893,261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27672,012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объема государственного образовательного заказа на подготовку специалистов с техническим и профессиональным, послесредним образованием в учебных заведениях ТиПО (на прием обучающихся граждан Афганистана в количестве 40 человек ежегодно и обучающихся по морским специальностям)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114,714</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обеспечение прохождения колледжами институциональной и специализированной аккредитации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колледжей</w:t>
            </w:r>
          </w:p>
        </w:tc>
      </w:tr>
      <w:tr>
        <w:trPr>
          <w:trHeight w:val="27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материально-технической базы, обеспечение учебно-производственных мастерских и лабораторий учебных заведений ТиПО современным оборудованием</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2279,308</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7583,616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618,300</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6188,700</w:t>
            </w:r>
          </w:p>
        </w:tc>
      </w:tr>
      <w:tr>
        <w:trPr>
          <w:trHeight w:val="16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профориентационной работы и карьерного руководства в учебных заведениях ТиПО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МИО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ежегодного форума «Профессиональное образование и бизнес-диалог партнеров»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001 «Формирование и реализация государственной политики в области образования и науки»)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конференций, семинаров по вопросам развития ТиПО</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ІІІ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001 «Формирование и реализация государственной политики в области образования и науки»)</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республиканских конкурсов профессионального мастерства «Лучший по профессии» среди обучающихся учебных заведений ТиПО, конкурса исполнителей среди музыкальных колледжей</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010 «Проведение республиканских школьных олимпиад, конкурсов, внешкольных мероприятий республиканского значения»)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Функционирование базы данных выпускников учебных заведений ТиПО, в том числе сертифицированных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нормативных правовых условий для организации и проведения независимой сертификации квалификаций в соответствии с международной практикой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государственные органы, отраслевые объединения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независимой системы сертификации квалификаций специалистов</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Ассоциации работодателей, НЭПК «Союз «Атамекен» (по согласованию), заинтересованные государственные органы, отраслевые объединения работодателей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 и за счет средств работодателей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Закрепление учебных заведений ТиПО за национальными холдингами и компаниями по профилю для подготовки кадров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Пересмотр классификатора специальностей технического и профессионального, послесреднего образования с внедрением программ прикладного бакалавриата на базе общего среднего образования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для работы в колледжах зарубежных преподавателей, ежегодно по 60 человек</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261024000 «Подготовка специалистов в организациях ТиПО»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достижение высокого уровня качества высшего образования, удовлетворяющего потребности рынка труда, задач индустриально-инновационного развития страны, личности и соответствующего лучшим мировым практикам в области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доля выпускников вузов, прошедших независимую оценку квалификации в сообществе работодателей с первого раза, от общего количества принявших участие – 35 %</w:t>
            </w:r>
            <w:r>
              <w:br/>
            </w:r>
            <w:r>
              <w:rPr>
                <w:rFonts w:ascii="Times New Roman"/>
                <w:b w:val="false"/>
                <w:i w:val="false"/>
                <w:color w:val="000000"/>
                <w:sz w:val="20"/>
              </w:rPr>
              <w:t>
</w:t>
            </w:r>
            <w:r>
              <w:rPr>
                <w:rFonts w:ascii="Times New Roman"/>
                <w:b w:val="false"/>
                <w:i w:val="false"/>
                <w:color w:val="000000"/>
                <w:sz w:val="20"/>
              </w:rPr>
              <w:t>доля выпускников высших учебных заведений, обучившихся по госзаказу, трудоустроенных по специальности в первый год после окончания вуза, - 78 %</w:t>
            </w:r>
            <w:r>
              <w:br/>
            </w:r>
            <w:r>
              <w:rPr>
                <w:rFonts w:ascii="Times New Roman"/>
                <w:b w:val="false"/>
                <w:i w:val="false"/>
                <w:color w:val="000000"/>
                <w:sz w:val="20"/>
              </w:rPr>
              <w:t>
</w:t>
            </w:r>
            <w:r>
              <w:rPr>
                <w:rFonts w:ascii="Times New Roman"/>
                <w:b w:val="false"/>
                <w:i w:val="false"/>
                <w:color w:val="000000"/>
                <w:sz w:val="20"/>
              </w:rPr>
              <w:t>количество вузов Казахстана, отмеченных в рейтинге лучших мировых университетов, - 1 доля вузов, прошедших независимую национальную институциональную аккредитацию по международным стандартам, - 50 %</w:t>
            </w:r>
            <w:r>
              <w:br/>
            </w:r>
            <w:r>
              <w:rPr>
                <w:rFonts w:ascii="Times New Roman"/>
                <w:b w:val="false"/>
                <w:i w:val="false"/>
                <w:color w:val="000000"/>
                <w:sz w:val="20"/>
              </w:rPr>
              <w:t>
</w:t>
            </w:r>
            <w:r>
              <w:rPr>
                <w:rFonts w:ascii="Times New Roman"/>
                <w:b w:val="false"/>
                <w:i w:val="false"/>
                <w:color w:val="000000"/>
                <w:sz w:val="20"/>
              </w:rPr>
              <w:t>доля вузов, прошедших независимую национальную специализированную аккредитацию по международным стандартам, - 20 %</w:t>
            </w:r>
            <w:r>
              <w:br/>
            </w:r>
            <w:r>
              <w:rPr>
                <w:rFonts w:ascii="Times New Roman"/>
                <w:b w:val="false"/>
                <w:i w:val="false"/>
                <w:color w:val="000000"/>
                <w:sz w:val="20"/>
              </w:rPr>
              <w:t>
</w:t>
            </w:r>
            <w:r>
              <w:rPr>
                <w:rFonts w:ascii="Times New Roman"/>
                <w:b w:val="false"/>
                <w:i w:val="false"/>
                <w:color w:val="000000"/>
                <w:sz w:val="20"/>
              </w:rPr>
              <w:t>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 10 %</w:t>
            </w:r>
            <w:r>
              <w:br/>
            </w:r>
            <w:r>
              <w:rPr>
                <w:rFonts w:ascii="Times New Roman"/>
                <w:b w:val="false"/>
                <w:i w:val="false"/>
                <w:color w:val="000000"/>
                <w:sz w:val="20"/>
              </w:rPr>
              <w:t>
</w:t>
            </w:r>
            <w:r>
              <w:rPr>
                <w:rFonts w:ascii="Times New Roman"/>
                <w:b w:val="false"/>
                <w:i w:val="false"/>
                <w:color w:val="000000"/>
                <w:sz w:val="20"/>
              </w:rPr>
              <w:t>доля профессорско-преподавательского состава и научных работников, имеющих публикации в научных журналах с импакт-фактором в течение последних 5 лет, - 2 %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r>
              <w:br/>
            </w:r>
            <w:r>
              <w:rPr>
                <w:rFonts w:ascii="Times New Roman"/>
                <w:b w:val="false"/>
                <w:i w:val="false"/>
                <w:color w:val="000000"/>
                <w:sz w:val="20"/>
              </w:rPr>
              <w:t>
</w:t>
            </w:r>
            <w:r>
              <w:rPr>
                <w:rFonts w:ascii="Times New Roman"/>
                <w:b w:val="false"/>
                <w:i w:val="false"/>
                <w:color w:val="000000"/>
                <w:sz w:val="20"/>
              </w:rPr>
              <w:t>доля обучающихся по госзаказу по программам магистратуры от объема госзаказа бакалавриата – 20 %</w:t>
            </w:r>
            <w:r>
              <w:br/>
            </w:r>
            <w:r>
              <w:rPr>
                <w:rFonts w:ascii="Times New Roman"/>
                <w:b w:val="false"/>
                <w:i w:val="false"/>
                <w:color w:val="000000"/>
                <w:sz w:val="20"/>
              </w:rPr>
              <w:t>
</w:t>
            </w:r>
            <w:r>
              <w:rPr>
                <w:rFonts w:ascii="Times New Roman"/>
                <w:b w:val="false"/>
                <w:i w:val="false"/>
                <w:color w:val="000000"/>
                <w:sz w:val="20"/>
              </w:rPr>
              <w:t>в том числе по программам одногодичной магистратуры от объема госзаказа бакалавриата – 14 %</w:t>
            </w:r>
            <w:r>
              <w:br/>
            </w:r>
            <w:r>
              <w:rPr>
                <w:rFonts w:ascii="Times New Roman"/>
                <w:b w:val="false"/>
                <w:i w:val="false"/>
                <w:color w:val="000000"/>
                <w:sz w:val="20"/>
              </w:rPr>
              <w:t>
</w:t>
            </w:r>
            <w:r>
              <w:rPr>
                <w:rFonts w:ascii="Times New Roman"/>
                <w:b w:val="false"/>
                <w:i w:val="false"/>
                <w:color w:val="000000"/>
                <w:sz w:val="20"/>
              </w:rPr>
              <w:t>число обучающихся по госзаказу по программам докторов PhD с ежегодным увеличением госзаказа, начиная с 2012 г., - не менее 1000 чел.</w:t>
            </w:r>
            <w:r>
              <w:br/>
            </w:r>
            <w:r>
              <w:rPr>
                <w:rFonts w:ascii="Times New Roman"/>
                <w:b w:val="false"/>
                <w:i w:val="false"/>
                <w:color w:val="000000"/>
                <w:sz w:val="20"/>
              </w:rPr>
              <w:t>
</w:t>
            </w:r>
            <w:r>
              <w:rPr>
                <w:rFonts w:ascii="Times New Roman"/>
                <w:b w:val="false"/>
                <w:i w:val="false"/>
                <w:color w:val="000000"/>
                <w:sz w:val="20"/>
              </w:rPr>
              <w:t>доля вузов, внедривших казахстанскую модель перезачета кредитов по типу европейской системы перевода кредитов (ЕСTS) в Республике Казахстан, - 100 %</w:t>
            </w:r>
            <w:r>
              <w:br/>
            </w:r>
            <w:r>
              <w:rPr>
                <w:rFonts w:ascii="Times New Roman"/>
                <w:b w:val="false"/>
                <w:i w:val="false"/>
                <w:color w:val="000000"/>
                <w:sz w:val="20"/>
              </w:rPr>
              <w:t>
</w:t>
            </w:r>
            <w:r>
              <w:rPr>
                <w:rFonts w:ascii="Times New Roman"/>
                <w:b w:val="false"/>
                <w:i w:val="false"/>
                <w:color w:val="000000"/>
                <w:sz w:val="20"/>
              </w:rPr>
              <w:t>с 2015 года стипендиаты программы «Болашак» обучаются в магистратуре, докторантуре, в бакалавриате – от одного семестра до одного академического года, проходят научные стажировки - 100 %</w:t>
            </w:r>
            <w:r>
              <w:br/>
            </w:r>
            <w:r>
              <w:rPr>
                <w:rFonts w:ascii="Times New Roman"/>
                <w:b w:val="false"/>
                <w:i w:val="false"/>
                <w:color w:val="000000"/>
                <w:sz w:val="20"/>
              </w:rPr>
              <w:t>
</w:t>
            </w:r>
            <w:r>
              <w:rPr>
                <w:rFonts w:ascii="Times New Roman"/>
                <w:b w:val="false"/>
                <w:i w:val="false"/>
                <w:color w:val="000000"/>
                <w:sz w:val="20"/>
              </w:rPr>
              <w:t>доля вузов, имеющих доступ к Республиканской межвузовской электронной библиотеке, - 55 %</w:t>
            </w:r>
            <w:r>
              <w:br/>
            </w:r>
            <w:r>
              <w:rPr>
                <w:rFonts w:ascii="Times New Roman"/>
                <w:b w:val="false"/>
                <w:i w:val="false"/>
                <w:color w:val="000000"/>
                <w:sz w:val="20"/>
              </w:rPr>
              <w:t>
</w:t>
            </w:r>
            <w:r>
              <w:rPr>
                <w:rFonts w:ascii="Times New Roman"/>
                <w:b w:val="false"/>
                <w:i w:val="false"/>
                <w:color w:val="000000"/>
                <w:sz w:val="20"/>
              </w:rPr>
              <w:t>расширение академической свободы вузов в типовых учебных планах высшего и послевузовского образования по специальностям, расширение компонента по выбору в бакалавриате - 70 %</w:t>
            </w:r>
            <w:r>
              <w:br/>
            </w:r>
            <w:r>
              <w:rPr>
                <w:rFonts w:ascii="Times New Roman"/>
                <w:b w:val="false"/>
                <w:i w:val="false"/>
                <w:color w:val="000000"/>
                <w:sz w:val="20"/>
              </w:rPr>
              <w:t>
</w:t>
            </w:r>
            <w:r>
              <w:rPr>
                <w:rFonts w:ascii="Times New Roman"/>
                <w:b w:val="false"/>
                <w:i w:val="false"/>
                <w:color w:val="000000"/>
                <w:sz w:val="20"/>
              </w:rPr>
              <w:t>доля магистрантов и докторантов в «Назарбаев Университете», имеющих публикации в научных журналах с высоким импакт-фактором, - 10 %</w:t>
            </w:r>
            <w:r>
              <w:br/>
            </w:r>
            <w:r>
              <w:rPr>
                <w:rFonts w:ascii="Times New Roman"/>
                <w:b w:val="false"/>
                <w:i w:val="false"/>
                <w:color w:val="000000"/>
                <w:sz w:val="20"/>
              </w:rPr>
              <w:t>
</w:t>
            </w:r>
            <w:r>
              <w:rPr>
                <w:rFonts w:ascii="Times New Roman"/>
                <w:b w:val="false"/>
                <w:i w:val="false"/>
                <w:color w:val="000000"/>
                <w:sz w:val="20"/>
              </w:rPr>
              <w:t xml:space="preserve">доля иностранных студентов в системе высшего образования, в том числе обучающихся на коммерческой основе, - 2,5 % </w:t>
            </w:r>
            <w:r>
              <w:br/>
            </w:r>
            <w:r>
              <w:rPr>
                <w:rFonts w:ascii="Times New Roman"/>
                <w:b w:val="false"/>
                <w:i w:val="false"/>
                <w:color w:val="000000"/>
                <w:sz w:val="20"/>
              </w:rPr>
              <w:t>
</w:t>
            </w:r>
            <w:r>
              <w:rPr>
                <w:rFonts w:ascii="Times New Roman"/>
                <w:b w:val="false"/>
                <w:i w:val="false"/>
                <w:color w:val="000000"/>
                <w:sz w:val="20"/>
              </w:rPr>
              <w:t>доля вузов, создавших инновационные структуры, научные лаборатории, технопарки, центры, от общего количества технических вузов – 20 %</w:t>
            </w:r>
            <w:r>
              <w:br/>
            </w:r>
            <w:r>
              <w:rPr>
                <w:rFonts w:ascii="Times New Roman"/>
                <w:b w:val="false"/>
                <w:i w:val="false"/>
                <w:color w:val="000000"/>
                <w:sz w:val="20"/>
              </w:rPr>
              <w:t>
</w:t>
            </w:r>
            <w:r>
              <w:rPr>
                <w:rFonts w:ascii="Times New Roman"/>
                <w:b w:val="false"/>
                <w:i w:val="false"/>
                <w:color w:val="000000"/>
                <w:sz w:val="20"/>
              </w:rPr>
              <w:t>доля вузов, создавших структурные подразделения научных и проектно-конструкторских организаций от их общего количества, - 10 %</w:t>
            </w:r>
            <w:r>
              <w:br/>
            </w:r>
            <w:r>
              <w:rPr>
                <w:rFonts w:ascii="Times New Roman"/>
                <w:b w:val="false"/>
                <w:i w:val="false"/>
                <w:color w:val="000000"/>
                <w:sz w:val="20"/>
              </w:rPr>
              <w:t>
</w:t>
            </w:r>
            <w:r>
              <w:rPr>
                <w:rFonts w:ascii="Times New Roman"/>
                <w:b w:val="false"/>
                <w:i w:val="false"/>
                <w:color w:val="000000"/>
                <w:sz w:val="20"/>
              </w:rPr>
              <w:t>доля выпускников вузов, закончивших магистратуру и докторантуру, трудоустроенных в вузы и научные организации в первый год после окончания вуза, – 10 %</w:t>
            </w:r>
            <w:r>
              <w:br/>
            </w:r>
            <w:r>
              <w:rPr>
                <w:rFonts w:ascii="Times New Roman"/>
                <w:b w:val="false"/>
                <w:i w:val="false"/>
                <w:color w:val="000000"/>
                <w:sz w:val="20"/>
              </w:rPr>
              <w:t>
</w:t>
            </w:r>
            <w:r>
              <w:rPr>
                <w:rFonts w:ascii="Times New Roman"/>
                <w:b w:val="false"/>
                <w:i w:val="false"/>
                <w:color w:val="000000"/>
                <w:sz w:val="20"/>
              </w:rPr>
              <w:t>доля финансирования образовательной деятельности гражданских вузов за счет ГЧП - 10 %</w:t>
            </w:r>
            <w:r>
              <w:br/>
            </w:r>
            <w:r>
              <w:rPr>
                <w:rFonts w:ascii="Times New Roman"/>
                <w:b w:val="false"/>
                <w:i w:val="false"/>
                <w:color w:val="000000"/>
                <w:sz w:val="20"/>
              </w:rPr>
              <w:t>
</w:t>
            </w:r>
            <w:r>
              <w:rPr>
                <w:rFonts w:ascii="Times New Roman"/>
                <w:b w:val="false"/>
                <w:i w:val="false"/>
                <w:color w:val="000000"/>
                <w:sz w:val="20"/>
              </w:rPr>
              <w:t>доля финансирования научной и инновационной деятельности гражданских вузов за счет ГЧП – 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Прохождение выпускниками вузов независимой оценки квалификации в сообществе работодателей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2014-2015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республиканского бюджета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образовательных программ в рамках национальной квалификационной системы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вузов в МОН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Приведение квалификации бакалавров, магистров и докторов PhD в соответствие с Дублинскими дескрипторами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международных семинаров по казахстанской модели перезачета кредитов по типу ECTS</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73"/>
        <w:gridCol w:w="590"/>
        <w:gridCol w:w="864"/>
        <w:gridCol w:w="785"/>
        <w:gridCol w:w="1264"/>
        <w:gridCol w:w="1109"/>
        <w:gridCol w:w="279"/>
        <w:gridCol w:w="1109"/>
        <w:gridCol w:w="339"/>
        <w:gridCol w:w="1109"/>
        <w:gridCol w:w="279"/>
        <w:gridCol w:w="1242"/>
        <w:gridCol w:w="231"/>
        <w:gridCol w:w="1242"/>
        <w:gridCol w:w="315"/>
        <w:gridCol w:w="1242"/>
      </w:tblGrid>
      <w:tr>
        <w:trPr>
          <w:trHeight w:val="15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заказа на подготовку магистров (до 5000 человек) и докторов (до 500 человек) до 2013 года и доли госзаказа по программе магистратуры (20 % от объема заказа бакалавриата) и докторантуры (не менее 1000 единиц) в 2014-2015 годах</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2011-2015 ІІІ квартал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3183,348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22383,842</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23832,722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51732,948</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429,05</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2364,933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2793,983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государственного образовательного заказа бакалавриата по специальностям, соответствующим приоритетам ГПФИИР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выделенного государственного заказа</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между организациями образования, предприятиями и студентами, обучающимися по государственному образовательному заказу в вузах, осуществляющих подготовку специалистов для проектов ГПФИИР, по прохождению практики и трудоустройству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мобильности студентов в рамках Болонского процесса, а также обучение студентов зарубежом (не менее 1 семестра за весь период обучения) за счет </w:t>
            </w:r>
            <w:r>
              <w:rPr>
                <w:rFonts w:ascii="Times New Roman"/>
                <w:b w:val="false"/>
                <w:i w:val="false"/>
                <w:color w:val="000000"/>
                <w:sz w:val="20"/>
              </w:rPr>
              <w:t>международной стипендии</w:t>
            </w:r>
            <w:r>
              <w:rPr>
                <w:rFonts w:ascii="Times New Roman"/>
                <w:b w:val="false"/>
                <w:i w:val="false"/>
                <w:color w:val="000000"/>
                <w:sz w:val="20"/>
              </w:rPr>
              <w:t xml:space="preserve"> Президента РК "Болашак"</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 РГП на ПХВ «Центр Болонского процесса и академической мобильности», АО «Центр международных программ» (по согласованию)</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стипендии "Болашак"</w:t>
            </w:r>
            <w:r>
              <w:br/>
            </w:r>
            <w:r>
              <w:rPr>
                <w:rFonts w:ascii="Times New Roman"/>
                <w:b w:val="false"/>
                <w:i w:val="false"/>
                <w:color w:val="000000"/>
                <w:sz w:val="20"/>
              </w:rPr>
              <w:t>
</w:t>
            </w:r>
            <w:r>
              <w:rPr>
                <w:rFonts w:ascii="Times New Roman"/>
                <w:b w:val="false"/>
                <w:i w:val="false"/>
                <w:color w:val="000000"/>
                <w:sz w:val="20"/>
              </w:rPr>
              <w:t>(бюджетная программа № 028 «Подготовка специалистов в высших учебных заведениях за рубежом в рамках программы «Болашак»)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между вузами по межкафедральным связям для подготовки специалистов с высшим и послевузовским образованием и дальнейшее их сотрудничество</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в ГОСО по увеличению объема кредитов на практику по педагогическим и техническим специальностям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стандартов институциональной и специализированной аккредитации стандартам и руководству обеспечения качества высшего образования в европейском регионе, разработанным Европейской сетью обеспечения качества (ENQA) в сфере высшего образования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равного доступа студентов к информационно-коммуникационным технологиям (ИКТ) и широкополосному интернету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обязательных, рекомендательных и факультативных параметров Болонского процесса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академической свободы вузов в типовых учебных планах по специальностям, установление соотношения между компонентом по выбору и обязательным компонентом 70:30 в бакалавриате, 80:20 - в магистратуре, 90:10 - в докторантуре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вузов Казахстана в мировых рейтингах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зарубежных ученых и консультантов в ведущие вузы Республики Казахстан, ежегодно не менее 300 человек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1948,603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1948,603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10310,596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кадров с высшим образованием с выплатой стипендий за счет средств работодателей</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работодателей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принципов и механизмов предоставления автономии вузов с учетом опыта Назарбаев Университета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учета количества публикаций профессорско-преподавательского состава и научных работников в научных журналах с импакт-фактором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учета количества публикаций магистрантов и докторантов Назарбаев Университета в журналах с высоким импакт-фактором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 университет»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Национального реестра аккредитационных органов, аккредитованных организаций образования и образовательных программ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мер по стимулированию некоммерческих неправительственных аккредитационных организаций к вхождению в национальный реестр аккредитационных органов МОН Республики Казахстан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вузами национальной институциональной и специализированной аккредитации в некоммерческих неправительственных аккредитационных организациях, в том числе агентствах</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государственной аттестации вузов и колледжей национальной аккредитацией</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квалификационных требований, предъявляемых при лицензировании организаций образования</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государственного контроля вузов Казахстана в виде контроля за соблюдением законодательства Республики Казахстан об образовании и правил лицензирования образовательной деятельности (постлицензионный контроль)</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2015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 пополнение фонда учебной литературы вузов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вузов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вузов Республики Казахстан базовыми учебниками, в том числе на государственном языке, и зарубежными учебниками по экономическим, техническим, естественным наукам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тематический план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ассоциация высших учебных заведений РК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I квартал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учебно-лабораторной базы вузов за счет привлечения средств частных инвесторов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частных инвесторов</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Софинансирование за счет средств республиканского бюджета укрепления материально-технической базы вузов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критериев для классификации вузов: национальные исследовательские, национальные высшие учебные заведения, исследовательские университеты, академии, институты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 НЭПК «Союз «Атамекен»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финансовой поддержки в проведении национальных рейтингов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008 «Методологическое обеспечение системы образования»)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иностранных студентов, осуществление эквивалентного обмена в рамках международных договоров, а также реализация образовательных программ для афганских граждан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государственного заказа </w:t>
            </w:r>
            <w:r>
              <w:br/>
            </w:r>
            <w:r>
              <w:rPr>
                <w:rFonts w:ascii="Times New Roman"/>
                <w:b w:val="false"/>
                <w:i w:val="false"/>
                <w:color w:val="000000"/>
                <w:sz w:val="20"/>
              </w:rPr>
              <w:t>
</w:t>
            </w:r>
            <w:r>
              <w:rPr>
                <w:rFonts w:ascii="Times New Roman"/>
                <w:b w:val="false"/>
                <w:i w:val="false"/>
                <w:color w:val="000000"/>
                <w:sz w:val="20"/>
              </w:rPr>
              <w:t>(бюджетная программа № 020 «Подготовка специалистов с высшим, послевузовским образованием и оказание социальной поддержки обучающимся»)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доступа студентов к лучшим образовательным ресурсам ведущих зарубежных университетов мира через Республиканскую межвузовскую электронную библиотеку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КазгосИНТИ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стимулированию вузов, научных организаций и производства по созданию инновационной инфраструктуры с привлечением частного сектора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 действующих вузах совместных структурных подразделений научных и проектно-конструкторских организаций с современным оборудованием, в том числе 4-х центров, являющихся структурными единицами вузов путем привлечения средств частных инвесторов</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материальных и нематериальных активов вузов, средств на укрепление материальной базы, научные исследования и частных инвесторов</w:t>
            </w:r>
            <w:r>
              <w:br/>
            </w:r>
            <w:r>
              <w:rPr>
                <w:rFonts w:ascii="Times New Roman"/>
                <w:b w:val="false"/>
                <w:i w:val="false"/>
                <w:color w:val="000000"/>
                <w:sz w:val="20"/>
              </w:rPr>
              <w:t>
</w:t>
            </w:r>
            <w:r>
              <w:rPr>
                <w:rFonts w:ascii="Times New Roman"/>
                <w:b w:val="false"/>
                <w:i w:val="false"/>
                <w:color w:val="000000"/>
                <w:sz w:val="20"/>
              </w:rPr>
              <w:t>(бюджетная программа № 055 «Фундаментальные и прикладные научные исследования»)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механизмов определения базовых вузов для создания на их основе инновационных структур: бизнес-инкубаторов, технопарков, центров коммерциализации научных разработок и технологий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IV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бизнес-инкубаторов, технопарков, центров коммерциализации научных разработок и технологий по направлениям «Энергетика», «Нефтепереработка и инфраструктура нефтегазового сектора», «Химическая промышленность», «Металлургия и производство готовых металлических продуктов», «Машиностроение», «Легкая промышленность</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материальных и нематериальных активов вузов, средств на укрепление материальной базы, научные исследования и частных инвесторов</w:t>
            </w:r>
            <w:r>
              <w:br/>
            </w:r>
            <w:r>
              <w:rPr>
                <w:rFonts w:ascii="Times New Roman"/>
                <w:b w:val="false"/>
                <w:i w:val="false"/>
                <w:color w:val="000000"/>
                <w:sz w:val="20"/>
              </w:rPr>
              <w:t>
</w:t>
            </w:r>
            <w:r>
              <w:rPr>
                <w:rFonts w:ascii="Times New Roman"/>
                <w:b w:val="false"/>
                <w:i w:val="false"/>
                <w:color w:val="000000"/>
                <w:sz w:val="20"/>
              </w:rPr>
              <w:t>(бюджетная программа № 055 «Фундаментальные и прикладные научные исследования»)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Болонского процесса и академической мобильности путем преобразования Национального аккредитационного центра</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 РК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бюро переводчиков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вузы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 вузов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 развития исследовательских университетов самостоятельности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о присоединении НИИ к исследовательским университетам с правом юридической самостоятельности</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предложение в Правительство Республики Казахстан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I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лабораторного оборудования 5 национальных и 15 инженерных лабораторий для подготовки обучающихся и дипломных работ</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соглашения</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Вузы, НИИ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вузов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35"/>
        <w:gridCol w:w="532"/>
        <w:gridCol w:w="806"/>
        <w:gridCol w:w="691"/>
        <w:gridCol w:w="1264"/>
        <w:gridCol w:w="1242"/>
        <w:gridCol w:w="259"/>
        <w:gridCol w:w="1376"/>
        <w:gridCol w:w="259"/>
        <w:gridCol w:w="1242"/>
        <w:gridCol w:w="210"/>
        <w:gridCol w:w="1376"/>
        <w:gridCol w:w="249"/>
        <w:gridCol w:w="1376"/>
        <w:gridCol w:w="279"/>
        <w:gridCol w:w="137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функционирования системы обучения в течение всей жизни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внедрение различных форм и типов образования для всех возрастов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результатов: количество модульных учебных программ для краткосрочных курсов переподготовки и повышения квалификации работников технического и обслуживающего труда совместно с работодателями - 20 ед.</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 модульных учебных программ для краткосрочных курсов повышения квалификации работников технического и обслуживающего труда</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АО «РНМЦ»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обеспечение функционирования центра по оценке уровня владения государственным языком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51,864</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51,864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тестирования по системе КАЗТЕСТ по определению уровня владения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 931 Президента Республики Казахстан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6,189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разработчиков и экспертов тестовых заданий системы КАЗТЕСТ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IV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компьютерного тестирования КАЗТЕСТ, в том числе по глобальной сети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IV квартал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непрерывного обучения государственному языку «Детский сад – школа, колледж – высшее учебное заведение» на основе международного стандарта владения языками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формирование у молодежи активной гражданской позиции, социальной ответственности, чувства патриотизма, высоких нравственных и лидерских качеств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доля молодежи, принимающей активное участие в реализации мероприятий в сфере молодежной политики и патриотического воспитания от общей численности молодежи, - 31 %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результатов: </w:t>
            </w:r>
            <w:r>
              <w:br/>
            </w:r>
            <w:r>
              <w:rPr>
                <w:rFonts w:ascii="Times New Roman"/>
                <w:b w:val="false"/>
                <w:i w:val="false"/>
                <w:color w:val="000000"/>
                <w:sz w:val="20"/>
              </w:rPr>
              <w:t>
</w:t>
            </w:r>
            <w:r>
              <w:rPr>
                <w:rFonts w:ascii="Times New Roman"/>
                <w:b w:val="false"/>
                <w:i w:val="false"/>
                <w:color w:val="000000"/>
                <w:sz w:val="20"/>
              </w:rPr>
              <w:t>доля молодежи, избранной в представительные органы на всех уровнях от общего числа депутатов, – 3,9 % доля молодежи, участвующей в деятельности молодежных организаций, – 28 %</w:t>
            </w:r>
            <w:r>
              <w:br/>
            </w:r>
            <w:r>
              <w:rPr>
                <w:rFonts w:ascii="Times New Roman"/>
                <w:b w:val="false"/>
                <w:i w:val="false"/>
                <w:color w:val="000000"/>
                <w:sz w:val="20"/>
              </w:rPr>
              <w:t>
</w:t>
            </w:r>
            <w:r>
              <w:rPr>
                <w:rFonts w:ascii="Times New Roman"/>
                <w:b w:val="false"/>
                <w:i w:val="false"/>
                <w:color w:val="000000"/>
                <w:sz w:val="20"/>
              </w:rPr>
              <w:t>доля республиканских молодежных организаций, привлеченных к реализации социально значимых проектов в рамках государственного социального заказа, - 20 %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работы с детьми с девиантным и деликвентным поведением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МОН</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критериев оценки качества и результативности воспитательной деятельности организации и уровня воспитанности обучающихся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Информационно-аналитическое и методическое обеспечение воспитательной работы в вузах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 аналитический доклад</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республиканского молодежного форума, направленного на популяризацию государственных символов «Менің Қазақстаным»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информационно-аналитических, обучающих и других услуг для молодежи посредством обеспечения функционирования ресурсных центров для молодежи и молодежных организаций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 (бюджетная программа № 040 «Проведение мероприятий по молодежной политике и патриотическому воспитанию граждан»)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106,920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116,550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Вовлечение студентов в воспитательную работу в вузах посредством создания условий по развитию  деятельности студенческих советов, клубов по интересам, комитетов по делам молодежи и молодежных НПО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направленных на популяризацию государственного языка среди молодежи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w:t>
            </w:r>
            <w:r>
              <w:rPr>
                <w:rFonts w:ascii="Times New Roman"/>
                <w:b w:val="false"/>
                <w:i w:val="false"/>
                <w:color w:val="000000"/>
                <w:sz w:val="20"/>
              </w:rPr>
              <w:t>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организация работы управлений молодежной политики областей, г. Астаны на примере города Алматы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лимита штатной численности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«Молодежный кадровый резерв», «Школа государственного служащего», направленных на обучение активных молодых людей среди студентов, владеющих организаторскими навыками и лидерскими качествами, а также руководителей молодежных организаций</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ежегодных Национальных Дельфийских игр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мероприятий, направленных на формирование культуры благотворительности в молодежной среде через реализацию проектов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военно-патриотического воспитания студенческой молодежи посредством формирования сети волонтерских, военно-патриотических организаций, военно-спортивных, военно-поисковых и спортивно-технических клубов</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213,850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1032,893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региональных встреч с участием международных экспертов и НПО по обсуждению предложений молодежи касательно развития молодежной политики</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ІІІ квартал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центров адаптации несовершеннолетних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местного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261037100 «Организация деятельности Центра адаптации несовершеннолетних)»</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организационно-практических мероприятий по актуальным вопросам воспитательной работы в вузах с участием проректоров вузов, представителей комитетов по делам молодежи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реализации в рамках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 931 от 4 марта 2010 года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предусмотренных средств из республиканского бюджета</w:t>
            </w:r>
            <w:r>
              <w:br/>
            </w:r>
            <w:r>
              <w:rPr>
                <w:rFonts w:ascii="Times New Roman"/>
                <w:b w:val="false"/>
                <w:i w:val="false"/>
                <w:color w:val="000000"/>
                <w:sz w:val="20"/>
              </w:rPr>
              <w:t>
</w:t>
            </w:r>
            <w:r>
              <w:rPr>
                <w:rFonts w:ascii="Times New Roman"/>
                <w:b w:val="false"/>
                <w:i w:val="false"/>
                <w:color w:val="000000"/>
                <w:sz w:val="20"/>
              </w:rPr>
              <w:t>(бюджетная программа № 040 «Проведение мероприятий по молодежной политике и патриотическому воспитанию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72337,740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98256,242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52806,899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145900,021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140414,089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509714,991</w:t>
            </w:r>
          </w:p>
        </w:tc>
      </w:tr>
      <w:tr>
        <w:trPr>
          <w:trHeight w:val="30" w:hRule="atLeast"/>
        </w:trPr>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15929,600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14039,430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14460,740</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15592,400</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14473,700</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74495,870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затрат: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88267,340</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112295,672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67267,639</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161492,421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154887,789</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584210,861</w:t>
            </w:r>
          </w:p>
        </w:tc>
      </w:tr>
    </w:tbl>
    <w:bookmarkStart w:name="z8" w:id="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единица измерения</w:t>
      </w:r>
      <w:r>
        <w:br/>
      </w:r>
      <w:r>
        <w:rPr>
          <w:rFonts w:ascii="Times New Roman"/>
          <w:b w:val="false"/>
          <w:i w:val="false"/>
          <w:color w:val="000000"/>
          <w:sz w:val="28"/>
        </w:rPr>
        <w:t>
      ** источник финансирования</w:t>
      </w:r>
      <w:r>
        <w:br/>
      </w:r>
      <w:r>
        <w:rPr>
          <w:rFonts w:ascii="Times New Roman"/>
          <w:b w:val="false"/>
          <w:i w:val="false"/>
          <w:color w:val="000000"/>
          <w:sz w:val="28"/>
        </w:rPr>
        <w:t>
      *** объемы средств по мероприятиям будут уточняться ежегодно в соответствии с Законом Республики Казахстан «О республиканском бюджете».</w:t>
      </w:r>
    </w:p>
    <w:bookmarkEnd w:id="4"/>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xml:space="preserve">
      МРР – Министерство регионального развития Республики Казахстан </w:t>
      </w:r>
      <w:r>
        <w:br/>
      </w:r>
      <w:r>
        <w:rPr>
          <w:rFonts w:ascii="Times New Roman"/>
          <w:b w:val="false"/>
          <w:i w:val="false"/>
          <w:color w:val="000000"/>
          <w:sz w:val="28"/>
        </w:rPr>
        <w:t xml:space="preserve">
      АО – акционерное общество </w:t>
      </w:r>
      <w:r>
        <w:br/>
      </w:r>
      <w:r>
        <w:rPr>
          <w:rFonts w:ascii="Times New Roman"/>
          <w:b w:val="false"/>
          <w:i w:val="false"/>
          <w:color w:val="000000"/>
          <w:sz w:val="28"/>
        </w:rPr>
        <w:t>
      АОО «НУ» – Автономная организация образования «Назарбаев Университет»</w:t>
      </w:r>
      <w:r>
        <w:br/>
      </w:r>
      <w:r>
        <w:rPr>
          <w:rFonts w:ascii="Times New Roman"/>
          <w:b w:val="false"/>
          <w:i w:val="false"/>
          <w:color w:val="000000"/>
          <w:sz w:val="28"/>
        </w:rPr>
        <w:t>
      АОО «Назарбаев Интеллектуальные школы» – Автономная организация образования «Назарбаев Интеллектуальные школы»</w:t>
      </w:r>
      <w:r>
        <w:br/>
      </w:r>
      <w:r>
        <w:rPr>
          <w:rFonts w:ascii="Times New Roman"/>
          <w:b w:val="false"/>
          <w:i w:val="false"/>
          <w:color w:val="000000"/>
          <w:sz w:val="28"/>
        </w:rPr>
        <w:t>
      АО «НЦПК «Өрлеу» – акционерное общество «Национальный центр повышения квалификации «Өрлеу»</w:t>
      </w:r>
      <w:r>
        <w:br/>
      </w:r>
      <w:r>
        <w:rPr>
          <w:rFonts w:ascii="Times New Roman"/>
          <w:b w:val="false"/>
          <w:i w:val="false"/>
          <w:color w:val="000000"/>
          <w:sz w:val="28"/>
        </w:rPr>
        <w:t xml:space="preserve">
      АО «РНМЦ» – акционерное общество «Республиканский научно-методический центр развития технического и профессионального образования и присвоения квалификации» </w:t>
      </w:r>
      <w:r>
        <w:br/>
      </w:r>
      <w:r>
        <w:rPr>
          <w:rFonts w:ascii="Times New Roman"/>
          <w:b w:val="false"/>
          <w:i w:val="false"/>
          <w:color w:val="000000"/>
          <w:sz w:val="28"/>
        </w:rPr>
        <w:t xml:space="preserve">
      вуз – высшее учебное заведение </w:t>
      </w:r>
      <w:r>
        <w:br/>
      </w:r>
      <w:r>
        <w:rPr>
          <w:rFonts w:ascii="Times New Roman"/>
          <w:b w:val="false"/>
          <w:i w:val="false"/>
          <w:color w:val="000000"/>
          <w:sz w:val="28"/>
        </w:rPr>
        <w:t xml:space="preserve">
      ГОСО – государственный общеобязательный стандарт образования </w:t>
      </w:r>
      <w:r>
        <w:br/>
      </w:r>
      <w:r>
        <w:rPr>
          <w:rFonts w:ascii="Times New Roman"/>
          <w:b w:val="false"/>
          <w:i w:val="false"/>
          <w:color w:val="000000"/>
          <w:sz w:val="28"/>
        </w:rPr>
        <w:t xml:space="preserve">
      ГЧП – государственно-частное партнерство </w:t>
      </w:r>
      <w:r>
        <w:br/>
      </w:r>
      <w:r>
        <w:rPr>
          <w:rFonts w:ascii="Times New Roman"/>
          <w:b w:val="false"/>
          <w:i w:val="false"/>
          <w:color w:val="000000"/>
          <w:sz w:val="28"/>
        </w:rPr>
        <w:t>
      ГПФИИР – Государственная программа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ГУ – Государственное учреждение</w:t>
      </w:r>
      <w:r>
        <w:br/>
      </w:r>
      <w:r>
        <w:rPr>
          <w:rFonts w:ascii="Times New Roman"/>
          <w:b w:val="false"/>
          <w:i w:val="false"/>
          <w:color w:val="000000"/>
          <w:sz w:val="28"/>
        </w:rPr>
        <w:t xml:space="preserve">
      ИКТ – информационно-коммуникационные технологии </w:t>
      </w:r>
      <w:r>
        <w:br/>
      </w:r>
      <w:r>
        <w:rPr>
          <w:rFonts w:ascii="Times New Roman"/>
          <w:b w:val="false"/>
          <w:i w:val="false"/>
          <w:color w:val="000000"/>
          <w:sz w:val="28"/>
        </w:rPr>
        <w:t>
      ИПК – институт повышения квалификации</w:t>
      </w:r>
      <w:r>
        <w:br/>
      </w:r>
      <w:r>
        <w:rPr>
          <w:rFonts w:ascii="Times New Roman"/>
          <w:b w:val="false"/>
          <w:i w:val="false"/>
          <w:color w:val="000000"/>
          <w:sz w:val="28"/>
        </w:rPr>
        <w:t>
      КазНПУ – Казахский национальный педагогический университет имени Абая</w:t>
      </w:r>
      <w:r>
        <w:br/>
      </w:r>
      <w:r>
        <w:rPr>
          <w:rFonts w:ascii="Times New Roman"/>
          <w:b w:val="false"/>
          <w:i w:val="false"/>
          <w:color w:val="000000"/>
          <w:sz w:val="28"/>
        </w:rPr>
        <w:t xml:space="preserve">
      МБ – местный бюджет </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МИО – местные исполнительные органы</w:t>
      </w:r>
      <w:r>
        <w:br/>
      </w:r>
      <w:r>
        <w:rPr>
          <w:rFonts w:ascii="Times New Roman"/>
          <w:b w:val="false"/>
          <w:i w:val="false"/>
          <w:color w:val="000000"/>
          <w:sz w:val="28"/>
        </w:rPr>
        <w:t xml:space="preserve">
      МКШ – малокомплектные школы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МТСЗН – Министерство труда и социальной защиты населения Республики Казахстан </w:t>
      </w:r>
      <w:r>
        <w:br/>
      </w:r>
      <w:r>
        <w:rPr>
          <w:rFonts w:ascii="Times New Roman"/>
          <w:b w:val="false"/>
          <w:i w:val="false"/>
          <w:color w:val="000000"/>
          <w:sz w:val="28"/>
        </w:rPr>
        <w:t>
      МТК – Министерство транспорта и коммуникаций</w:t>
      </w:r>
      <w:r>
        <w:br/>
      </w:r>
      <w:r>
        <w:rPr>
          <w:rFonts w:ascii="Times New Roman"/>
          <w:b w:val="false"/>
          <w:i w:val="false"/>
          <w:color w:val="000000"/>
          <w:sz w:val="28"/>
        </w:rPr>
        <w:t>
      НИИ – научно-исследовательский институт</w:t>
      </w:r>
      <w:r>
        <w:br/>
      </w:r>
      <w:r>
        <w:rPr>
          <w:rFonts w:ascii="Times New Roman"/>
          <w:b w:val="false"/>
          <w:i w:val="false"/>
          <w:color w:val="000000"/>
          <w:sz w:val="28"/>
        </w:rPr>
        <w:t xml:space="preserve">
      НЦОКО – Национальный центр оценки качества образования </w:t>
      </w:r>
      <w:r>
        <w:br/>
      </w:r>
      <w:r>
        <w:rPr>
          <w:rFonts w:ascii="Times New Roman"/>
          <w:b w:val="false"/>
          <w:i w:val="false"/>
          <w:color w:val="000000"/>
          <w:sz w:val="28"/>
        </w:rPr>
        <w:t>
      НЦОСО – Национальный центр образовательной статистики и оценки</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НЭПК «Союз «Атамекен» – Национальная экономическая палата Казахстана «Союз «Атамекен»</w:t>
      </w:r>
      <w:r>
        <w:br/>
      </w:r>
      <w:r>
        <w:rPr>
          <w:rFonts w:ascii="Times New Roman"/>
          <w:b w:val="false"/>
          <w:i w:val="false"/>
          <w:color w:val="000000"/>
          <w:sz w:val="28"/>
        </w:rPr>
        <w:t xml:space="preserve">
      облИПК – областной институт повышения квалификации </w:t>
      </w:r>
      <w:r>
        <w:br/>
      </w:r>
      <w:r>
        <w:rPr>
          <w:rFonts w:ascii="Times New Roman"/>
          <w:b w:val="false"/>
          <w:i w:val="false"/>
          <w:color w:val="000000"/>
          <w:sz w:val="28"/>
        </w:rPr>
        <w:t>
      ОЭСР – Организация экономического сотрудничество и развития</w:t>
      </w:r>
      <w:r>
        <w:br/>
      </w:r>
      <w:r>
        <w:rPr>
          <w:rFonts w:ascii="Times New Roman"/>
          <w:b w:val="false"/>
          <w:i w:val="false"/>
          <w:color w:val="000000"/>
          <w:sz w:val="28"/>
        </w:rPr>
        <w:t>
      ПГК – промежуточный государственный контроль</w:t>
      </w:r>
      <w:r>
        <w:br/>
      </w:r>
      <w:r>
        <w:rPr>
          <w:rFonts w:ascii="Times New Roman"/>
          <w:b w:val="false"/>
          <w:i w:val="false"/>
          <w:color w:val="000000"/>
          <w:sz w:val="28"/>
        </w:rPr>
        <w:t xml:space="preserve">
      ПП РК – постановление Правительства Республики Казахстан </w:t>
      </w:r>
      <w:r>
        <w:br/>
      </w:r>
      <w:r>
        <w:rPr>
          <w:rFonts w:ascii="Times New Roman"/>
          <w:b w:val="false"/>
          <w:i w:val="false"/>
          <w:color w:val="000000"/>
          <w:sz w:val="28"/>
        </w:rPr>
        <w:t xml:space="preserve">
      ППС – профессорско-преподавательский состав </w:t>
      </w:r>
      <w:r>
        <w:br/>
      </w:r>
      <w:r>
        <w:rPr>
          <w:rFonts w:ascii="Times New Roman"/>
          <w:b w:val="false"/>
          <w:i w:val="false"/>
          <w:color w:val="000000"/>
          <w:sz w:val="28"/>
        </w:rPr>
        <w:t xml:space="preserve">
      РБ – республиканский бюджет </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РГКП – Республиканское государственное казенное предприятие</w:t>
      </w:r>
      <w:r>
        <w:br/>
      </w:r>
      <w:r>
        <w:rPr>
          <w:rFonts w:ascii="Times New Roman"/>
          <w:b w:val="false"/>
          <w:i w:val="false"/>
          <w:color w:val="000000"/>
          <w:sz w:val="28"/>
        </w:rPr>
        <w:t>
      РИПКСО – Республиканский институт повышения квалификации руководящих и научно-педагогических кадров системы образования</w:t>
      </w:r>
      <w:r>
        <w:br/>
      </w:r>
      <w:r>
        <w:rPr>
          <w:rFonts w:ascii="Times New Roman"/>
          <w:b w:val="false"/>
          <w:i w:val="false"/>
          <w:color w:val="000000"/>
          <w:sz w:val="28"/>
        </w:rPr>
        <w:t xml:space="preserve">
      РК – Республика Казахстан </w:t>
      </w:r>
      <w:r>
        <w:br/>
      </w:r>
      <w:r>
        <w:rPr>
          <w:rFonts w:ascii="Times New Roman"/>
          <w:b w:val="false"/>
          <w:i w:val="false"/>
          <w:color w:val="000000"/>
          <w:sz w:val="28"/>
        </w:rPr>
        <w:t>
      РНПЦ - Республиканский научно-практический центр</w:t>
      </w:r>
      <w:r>
        <w:br/>
      </w:r>
      <w:r>
        <w:rPr>
          <w:rFonts w:ascii="Times New Roman"/>
          <w:b w:val="false"/>
          <w:i w:val="false"/>
          <w:color w:val="000000"/>
          <w:sz w:val="28"/>
        </w:rPr>
        <w:t>
      СМИ – средства массовой информации</w:t>
      </w:r>
      <w:r>
        <w:br/>
      </w:r>
      <w:r>
        <w:rPr>
          <w:rFonts w:ascii="Times New Roman"/>
          <w:b w:val="false"/>
          <w:i w:val="false"/>
          <w:color w:val="000000"/>
          <w:sz w:val="28"/>
        </w:rPr>
        <w:t>
      США – Соединенные Штаты Америки</w:t>
      </w:r>
      <w:r>
        <w:br/>
      </w:r>
      <w:r>
        <w:rPr>
          <w:rFonts w:ascii="Times New Roman"/>
          <w:b w:val="false"/>
          <w:i w:val="false"/>
          <w:color w:val="000000"/>
          <w:sz w:val="28"/>
        </w:rPr>
        <w:t xml:space="preserve">
      ТиПО – техническое и профессиональное образование </w:t>
      </w:r>
      <w:r>
        <w:br/>
      </w:r>
      <w:r>
        <w:rPr>
          <w:rFonts w:ascii="Times New Roman"/>
          <w:b w:val="false"/>
          <w:i w:val="false"/>
          <w:color w:val="000000"/>
          <w:sz w:val="28"/>
        </w:rPr>
        <w:t>
      УМК – учебно-методический комплекс</w:t>
      </w:r>
      <w:r>
        <w:br/>
      </w:r>
      <w:r>
        <w:rPr>
          <w:rFonts w:ascii="Times New Roman"/>
          <w:b w:val="false"/>
          <w:i w:val="false"/>
          <w:color w:val="000000"/>
          <w:sz w:val="28"/>
        </w:rPr>
        <w:t>
      УМС – учебный методический совет</w:t>
      </w:r>
      <w:r>
        <w:br/>
      </w:r>
      <w:r>
        <w:rPr>
          <w:rFonts w:ascii="Times New Roman"/>
          <w:b w:val="false"/>
          <w:i w:val="false"/>
          <w:color w:val="000000"/>
          <w:sz w:val="28"/>
        </w:rPr>
        <w:t>
      УО – управления образования областей, городов Астана, Алматы</w:t>
      </w:r>
      <w:r>
        <w:br/>
      </w:r>
      <w:r>
        <w:rPr>
          <w:rFonts w:ascii="Times New Roman"/>
          <w:b w:val="false"/>
          <w:i w:val="false"/>
          <w:color w:val="000000"/>
          <w:sz w:val="28"/>
        </w:rPr>
        <w:t xml:space="preserve">
      ФИИР – форсированное индустриально-инновационное развитие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Министерства нефти и газа, транспорта и коммуникаций, индустрии и новых технологий, сельского хозяйства, образования и науки, Агентство по делам спорта и физической культуры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