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e900" w14:textId="038e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регионального развития Республики Казахстан на 2013-2017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2013 года № 442. Утратило силу постановлением Правительства Республики Казахстан от 10 марта 2015 года № 112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10.03.2015 </w:t>
      </w:r>
      <w:r>
        <w:rPr>
          <w:rFonts w:ascii="Times New Roman"/>
          <w:b w:val="false"/>
          <w:i w:val="false"/>
          <w:color w:val="ff0000"/>
          <w:sz w:val="28"/>
        </w:rPr>
        <w:t>№ 112</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Стратегический </w:t>
      </w:r>
      <w:r>
        <w:rPr>
          <w:rFonts w:ascii="Times New Roman"/>
          <w:b w:val="false"/>
          <w:i w:val="false"/>
          <w:color w:val="000000"/>
          <w:sz w:val="28"/>
        </w:rPr>
        <w:t>план</w:t>
      </w:r>
      <w:r>
        <w:rPr>
          <w:rFonts w:ascii="Times New Roman"/>
          <w:b w:val="false"/>
          <w:i w:val="false"/>
          <w:color w:val="000000"/>
          <w:sz w:val="28"/>
        </w:rPr>
        <w:t xml:space="preserve"> Министерства регионального развития Республики Казахстан на 2013–2017 годы.</w:t>
      </w:r>
      <w:r>
        <w:br/>
      </w:r>
      <w:r>
        <w:rPr>
          <w:rFonts w:ascii="Times New Roman"/>
          <w:b w:val="false"/>
          <w:i w:val="false"/>
          <w:color w:val="000000"/>
          <w:sz w:val="28"/>
        </w:rPr>
        <w:t>
</w:t>
      </w:r>
      <w:r>
        <w:rPr>
          <w:rFonts w:ascii="Times New Roman"/>
          <w:b w:val="false"/>
          <w:i w:val="false"/>
          <w:color w:val="000000"/>
          <w:sz w:val="28"/>
        </w:rPr>
        <w:t>
      2. Признать утратившим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 и подлежит официальному опубликованию.</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апреля 2013 года № 442</w:t>
      </w:r>
    </w:p>
    <w:bookmarkEnd w:id="2"/>
    <w:bookmarkStart w:name="z6" w:id="3"/>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регионального развития Республики Казахстан</w:t>
      </w:r>
      <w:r>
        <w:br/>
      </w:r>
      <w:r>
        <w:rPr>
          <w:rFonts w:ascii="Times New Roman"/>
          <w:b/>
          <w:i w:val="false"/>
          <w:color w:val="000000"/>
        </w:rPr>
        <w:t>
на 2013 – 2017 годы</w:t>
      </w:r>
    </w:p>
    <w:bookmarkEnd w:id="3"/>
    <w:p>
      <w:pPr>
        <w:spacing w:after="0"/>
        <w:ind w:left="0"/>
        <w:jc w:val="both"/>
      </w:pPr>
      <w:r>
        <w:rPr>
          <w:rFonts w:ascii="Times New Roman"/>
          <w:b w:val="false"/>
          <w:i w:val="false"/>
          <w:color w:val="ff0000"/>
          <w:sz w:val="28"/>
        </w:rPr>
        <w:t xml:space="preserve">      Сноска. Стратегический план в редакции постановления Правительства РК от 31.12.2013 </w:t>
      </w:r>
      <w:r>
        <w:rPr>
          <w:rFonts w:ascii="Times New Roman"/>
          <w:b w:val="false"/>
          <w:i w:val="false"/>
          <w:color w:val="ff0000"/>
          <w:sz w:val="28"/>
        </w:rPr>
        <w:t>№ 1563</w:t>
      </w:r>
      <w:r>
        <w:rPr>
          <w:rFonts w:ascii="Times New Roman"/>
          <w:b w:val="false"/>
          <w:i w:val="false"/>
          <w:color w:val="ff0000"/>
          <w:sz w:val="28"/>
        </w:rPr>
        <w:t xml:space="preserve"> (вводится в действие с 01.01.2014).</w:t>
      </w:r>
    </w:p>
    <w:bookmarkStart w:name="z7" w:id="4"/>
    <w:p>
      <w:pPr>
        <w:spacing w:after="0"/>
        <w:ind w:left="0"/>
        <w:jc w:val="left"/>
      </w:pPr>
      <w:r>
        <w:rPr>
          <w:rFonts w:ascii="Times New Roman"/>
          <w:b/>
          <w:i w:val="false"/>
          <w:color w:val="000000"/>
        </w:rPr>
        <w:t xml:space="preserve"> 
Раздел 1. Миссия и видение</w:t>
      </w:r>
    </w:p>
    <w:bookmarkEnd w:id="4"/>
    <w:bookmarkStart w:name="z8" w:id="5"/>
    <w:p>
      <w:pPr>
        <w:spacing w:after="0"/>
        <w:ind w:left="0"/>
        <w:jc w:val="both"/>
      </w:pPr>
      <w:r>
        <w:rPr>
          <w:rFonts w:ascii="Times New Roman"/>
          <w:b w:val="false"/>
          <w:i w:val="false"/>
          <w:color w:val="000000"/>
          <w:sz w:val="28"/>
        </w:rPr>
        <w:t>
      Миссия. Создание благоприятных условий для жизнедеятельности населения страны посредством динамичного развития регионов.</w:t>
      </w:r>
      <w:r>
        <w:br/>
      </w:r>
      <w:r>
        <w:rPr>
          <w:rFonts w:ascii="Times New Roman"/>
          <w:b w:val="false"/>
          <w:i w:val="false"/>
          <w:color w:val="000000"/>
          <w:sz w:val="28"/>
        </w:rPr>
        <w:t>
</w:t>
      </w:r>
      <w:r>
        <w:rPr>
          <w:rFonts w:ascii="Times New Roman"/>
          <w:b w:val="false"/>
          <w:i w:val="false"/>
          <w:color w:val="000000"/>
          <w:sz w:val="28"/>
        </w:rPr>
        <w:t>
      Видение. Обеспечение роста реального валового регионального продукта (далее – ВРП), увеличение выпуска продукции малого и среднего бизнеса (далее – МСБ) в ВВП к 2030 году вдвое, совершенствование государственного регулирования в области архитектурной, градостроительной и строительной деятельности и жилищно-коммунальной сфере, обеспечение безопасности и повышение качества строительной продукции в современных условиях, рациональное и эффективное использование земельных ресурсов Республики Казахстан и удовлетворение потребностей различных отраслей экономики в геодезической и картографической продукции, соответствующей современному состоянию местности и топонимике, всесторонняя поддержка предпринимательства.</w:t>
      </w:r>
    </w:p>
    <w:bookmarkEnd w:id="5"/>
    <w:bookmarkStart w:name="z10" w:id="6"/>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соответствующих отраслей (сфер) деятельности</w:t>
      </w:r>
    </w:p>
    <w:bookmarkEnd w:id="6"/>
    <w:bookmarkStart w:name="z11" w:id="7"/>
    <w:p>
      <w:pPr>
        <w:spacing w:after="0"/>
        <w:ind w:left="0"/>
        <w:jc w:val="both"/>
      </w:pPr>
      <w:r>
        <w:rPr>
          <w:rFonts w:ascii="Times New Roman"/>
          <w:b w:val="false"/>
          <w:i w:val="false"/>
          <w:color w:val="000000"/>
          <w:sz w:val="28"/>
        </w:rPr>
        <w:t>
      1. Стратегическое направление 1. Социально-экономическое развитие регионов и государственная поддержка предпринимательства</w:t>
      </w:r>
      <w:r>
        <w:br/>
      </w:r>
      <w:r>
        <w:rPr>
          <w:rFonts w:ascii="Times New Roman"/>
          <w:b w:val="false"/>
          <w:i w:val="false"/>
          <w:color w:val="000000"/>
          <w:sz w:val="28"/>
        </w:rPr>
        <w:t>
</w:t>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Развитие регионов.</w:t>
      </w:r>
      <w:r>
        <w:br/>
      </w: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постановлением Правительства РК от 29.05.2014 </w:t>
      </w:r>
      <w:r>
        <w:rPr>
          <w:rFonts w:ascii="Times New Roman"/>
          <w:b w:val="false"/>
          <w:i w:val="false"/>
          <w:color w:val="000000"/>
          <w:sz w:val="28"/>
        </w:rPr>
        <w:t>№ 576</w:t>
      </w:r>
      <w:r>
        <w:rPr>
          <w:rFonts w:ascii="Times New Roman"/>
          <w:b w:val="false"/>
          <w:i w:val="false"/>
          <w:color w:val="ff0000"/>
          <w:sz w:val="28"/>
        </w:rPr>
        <w:t>.</w:t>
      </w:r>
      <w:r>
        <w:br/>
      </w:r>
      <w:r>
        <w:rPr>
          <w:rFonts w:ascii="Times New Roman"/>
          <w:b w:val="false"/>
          <w:i w:val="false"/>
          <w:color w:val="000000"/>
          <w:sz w:val="28"/>
        </w:rPr>
        <w:t>
      Одним из важных рычагов воздействия на развитие экономики является эффективная региональная политика государства.</w:t>
      </w:r>
      <w:r>
        <w:br/>
      </w:r>
      <w:r>
        <w:rPr>
          <w:rFonts w:ascii="Times New Roman"/>
          <w:b w:val="false"/>
          <w:i w:val="false"/>
          <w:color w:val="000000"/>
          <w:sz w:val="28"/>
        </w:rPr>
        <w:t>
      В настоящее время существуют значительные различия между регионами по ВРП на душу населения. Так по итогам 2012 года ВРП на душу населения по Южно-Казахстанской области составлял 635,5 тыс. тенге, то в Атырауской области – 5655,4 тыс. тенге, то есть разница в 9 раз.</w:t>
      </w:r>
    </w:p>
    <w:bookmarkEnd w:id="7"/>
    <w:p>
      <w:pPr>
        <w:spacing w:after="0"/>
        <w:ind w:left="0"/>
        <w:jc w:val="both"/>
      </w:pPr>
      <w:r>
        <w:drawing>
          <wp:inline distT="0" distB="0" distL="0" distR="0">
            <wp:extent cx="61468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46800" cy="2895600"/>
                    </a:xfrm>
                    <a:prstGeom prst="rect">
                      <a:avLst/>
                    </a:prstGeom>
                  </pic:spPr>
                </pic:pic>
              </a:graphicData>
            </a:graphic>
          </wp:inline>
        </w:drawing>
      </w:r>
    </w:p>
    <w:bookmarkStart w:name="z14" w:id="8"/>
    <w:p>
      <w:pPr>
        <w:spacing w:after="0"/>
        <w:ind w:left="0"/>
        <w:jc w:val="both"/>
      </w:pPr>
      <w:r>
        <w:rPr>
          <w:rFonts w:ascii="Times New Roman"/>
          <w:b w:val="false"/>
          <w:i w:val="false"/>
          <w:color w:val="000000"/>
          <w:sz w:val="28"/>
        </w:rPr>
        <w:t>      В 2011 году Указом Главы государства от 21 июля 2011 года № 118 принята </w:t>
      </w:r>
      <w:r>
        <w:rPr>
          <w:rFonts w:ascii="Times New Roman"/>
          <w:b w:val="false"/>
          <w:i w:val="false"/>
          <w:color w:val="000000"/>
          <w:sz w:val="28"/>
        </w:rPr>
        <w:t>Прогнозная схема</w:t>
      </w:r>
      <w:r>
        <w:rPr>
          <w:rFonts w:ascii="Times New Roman"/>
          <w:b w:val="false"/>
          <w:i w:val="false"/>
          <w:color w:val="000000"/>
          <w:sz w:val="28"/>
        </w:rPr>
        <w:t xml:space="preserve"> территориально-пространственного развития страны до 2020 года (далее – Прогнозная схема), которая является «доктриной» региональной политики государства, в которой изложены задачи государства по ключевым вопросам территориального (регионального) развития. В реализацию </w:t>
      </w:r>
      <w:r>
        <w:rPr>
          <w:rFonts w:ascii="Times New Roman"/>
          <w:b w:val="false"/>
          <w:i w:val="false"/>
          <w:color w:val="000000"/>
          <w:sz w:val="28"/>
        </w:rPr>
        <w:t>Прогнозной схемы</w:t>
      </w:r>
      <w:r>
        <w:rPr>
          <w:rFonts w:ascii="Times New Roman"/>
          <w:b w:val="false"/>
          <w:i w:val="false"/>
          <w:color w:val="000000"/>
          <w:sz w:val="28"/>
        </w:rPr>
        <w:t xml:space="preserve"> местными исполнительными органами приняты программы развития территорий на пятилетний период.</w:t>
      </w:r>
      <w:r>
        <w:br/>
      </w:r>
      <w:r>
        <w:rPr>
          <w:rFonts w:ascii="Times New Roman"/>
          <w:b w:val="false"/>
          <w:i w:val="false"/>
          <w:color w:val="000000"/>
          <w:sz w:val="28"/>
        </w:rPr>
        <w:t>
      Приоритетом региональной политики станет формирование центров экономического роста – агломераций, опорных городов 2-го уровня (областные центры) и городов 3-го уровня (моногорода и малые города), а также опорных сельских населенных пунктов (СНП).</w:t>
      </w:r>
      <w:r>
        <w:br/>
      </w:r>
      <w:r>
        <w:rPr>
          <w:rFonts w:ascii="Times New Roman"/>
          <w:b w:val="false"/>
          <w:i w:val="false"/>
          <w:color w:val="000000"/>
          <w:sz w:val="28"/>
        </w:rPr>
        <w:t>
      В 2012 году в сельских населенных пунктах с высоким и средним потенциалами социально-экономического развития реализовано 502 проекта по благоустройству, капитальному, среднему и текущему ремонту объектов социальной сферы и инженерной инфраструктуры.</w:t>
      </w:r>
      <w:r>
        <w:br/>
      </w:r>
      <w:r>
        <w:rPr>
          <w:rFonts w:ascii="Times New Roman"/>
          <w:b w:val="false"/>
          <w:i w:val="false"/>
          <w:color w:val="000000"/>
          <w:sz w:val="28"/>
        </w:rPr>
        <w:t>
      По итогам проведенного мониторинга социально-экономического развития сельских населенных пунктов, количество СНП с высоким потенциалом развития составило 1310 ед., СНП со средним потенциалом развития 5192 ед., с низким потенциалом развития – 409 ед.</w:t>
      </w:r>
      <w:r>
        <w:br/>
      </w:r>
      <w:r>
        <w:rPr>
          <w:rFonts w:ascii="Times New Roman"/>
          <w:b w:val="false"/>
          <w:i w:val="false"/>
          <w:color w:val="000000"/>
          <w:sz w:val="28"/>
        </w:rPr>
        <w:t>
      В настоящее время, из 14 областей Казахстана 12 регионов являются приграничными и занимают большую часть территории страны. При этом общая протяженность государственной границы составляет около 13,2 тыс.км (без учета границ на Каспийском море). Уровень жизни населения сельских районов приграничных областей Казахстана, граничащих со странами Содружества Независимых Государств (СНГ) и Единого экономического пространства (ЕЭП), незначительно различается от уровня развития таких же районов сопредельных стран.</w:t>
      </w:r>
      <w:r>
        <w:br/>
      </w:r>
      <w:r>
        <w:rPr>
          <w:rFonts w:ascii="Times New Roman"/>
          <w:b w:val="false"/>
          <w:i w:val="false"/>
          <w:color w:val="000000"/>
          <w:sz w:val="28"/>
        </w:rPr>
        <w:t>
      Вместе с тем меры по развитию приграничных территорий будут предусмотрены в программах развития территорий областей.</w:t>
      </w:r>
      <w:r>
        <w:br/>
      </w:r>
      <w:r>
        <w:rPr>
          <w:rFonts w:ascii="Times New Roman"/>
          <w:b w:val="false"/>
          <w:i w:val="false"/>
          <w:color w:val="000000"/>
          <w:sz w:val="28"/>
        </w:rPr>
        <w:t>
      В целях развития системы местного самоуправления, создания условий для экономического процветания, социального благополучия и формирования гражданского общества, Указом Президента Республики Казахстан от 28 ноября 2012 года № 438 утверждена </w:t>
      </w:r>
      <w:r>
        <w:rPr>
          <w:rFonts w:ascii="Times New Roman"/>
          <w:b w:val="false"/>
          <w:i w:val="false"/>
          <w:color w:val="000000"/>
          <w:sz w:val="28"/>
        </w:rPr>
        <w:t>Концепция</w:t>
      </w:r>
      <w:r>
        <w:rPr>
          <w:rFonts w:ascii="Times New Roman"/>
          <w:b w:val="false"/>
          <w:i w:val="false"/>
          <w:color w:val="000000"/>
          <w:sz w:val="28"/>
        </w:rPr>
        <w:t xml:space="preserve"> развития местного самоуправления в Республике Казахстан.</w:t>
      </w:r>
      <w:r>
        <w:br/>
      </w:r>
      <w:r>
        <w:rPr>
          <w:rFonts w:ascii="Times New Roman"/>
          <w:b w:val="false"/>
          <w:i w:val="false"/>
          <w:color w:val="000000"/>
          <w:sz w:val="28"/>
        </w:rPr>
        <w:t>
      Становление местного самоуправления в Республике Казахстан – это многоэтапный и динамичный процесс, связанный с развитием институтов государства и гражданского общества, общим уровнем социально-экономического развития страны, другими факторами и условиями, которые непосредственно влияют на жизнь местного населения.</w:t>
      </w:r>
      <w:r>
        <w:br/>
      </w:r>
      <w:r>
        <w:rPr>
          <w:rFonts w:ascii="Times New Roman"/>
          <w:b w:val="false"/>
          <w:i w:val="false"/>
          <w:color w:val="000000"/>
          <w:sz w:val="28"/>
        </w:rPr>
        <w:t>
      Во исполнение поручения Президента Республики Казахстан Назарбаева Н.А., данного на республиканском совещании по вопросам агропромышленного комплекса 5 марта 2007 года о стимулировании специалистов специалистов социальной сферы и ветеринарии, прибывающих для работы и проживания в сельскую местность с 2009 по 2012 годы в рамках проекта «С дипломом в село» оказаны меры социальной поддержки 28 903 специалистам, из них бюджетные кредиты выделены 9 503 специалистам на общую сумму 21,2 млрд. тенге.</w:t>
      </w:r>
      <w:r>
        <w:br/>
      </w:r>
      <w:r>
        <w:rPr>
          <w:rFonts w:ascii="Times New Roman"/>
          <w:b w:val="false"/>
          <w:i w:val="false"/>
          <w:color w:val="000000"/>
          <w:sz w:val="28"/>
        </w:rPr>
        <w:t>
      Задачей принятого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является повышение эффективности государственного управления.</w:t>
      </w:r>
      <w:r>
        <w:br/>
      </w:r>
      <w:r>
        <w:rPr>
          <w:rFonts w:ascii="Times New Roman"/>
          <w:b w:val="false"/>
          <w:i w:val="false"/>
          <w:color w:val="000000"/>
          <w:sz w:val="28"/>
        </w:rPr>
        <w:t>
      В этой связи на системной основе продолжается работа по ежегодной оценки эффективности деятельности 16 местных исполнительных органов по достижению и реализации стратегических целей и задач в регионе.</w:t>
      </w:r>
      <w:r>
        <w:br/>
      </w:r>
      <w:r>
        <w:rPr>
          <w:rFonts w:ascii="Times New Roman"/>
          <w:b w:val="false"/>
          <w:i w:val="false"/>
          <w:color w:val="000000"/>
          <w:sz w:val="28"/>
        </w:rPr>
        <w:t>
</w:t>
      </w:r>
      <w:r>
        <w:rPr>
          <w:rFonts w:ascii="Times New Roman"/>
          <w:b w:val="false"/>
          <w:i w:val="false"/>
          <w:color w:val="000000"/>
          <w:sz w:val="28"/>
        </w:rPr>
        <w:t>
      Государственная поддержка предпринимательства.</w:t>
      </w:r>
      <w:r>
        <w:br/>
      </w:r>
      <w:r>
        <w:rPr>
          <w:rFonts w:ascii="Times New Roman"/>
          <w:b w:val="false"/>
          <w:i w:val="false"/>
          <w:color w:val="000000"/>
          <w:sz w:val="28"/>
        </w:rPr>
        <w:t>
      Социально-экономическая специфика предопределяет важную роль частного предпринимательства. МСБ – это один из основных секторов, формирующих показатели развития страны.</w:t>
      </w:r>
      <w:r>
        <w:br/>
      </w:r>
      <w:r>
        <w:rPr>
          <w:rFonts w:ascii="Times New Roman"/>
          <w:b w:val="false"/>
          <w:i w:val="false"/>
          <w:color w:val="000000"/>
          <w:sz w:val="28"/>
        </w:rPr>
        <w:t>
      В настоящее время в странах ЕС в малом бизнесе занято около 50 %, в США – 53 %, в Японии – 72 % всего занятого населения, а в Казахстане в МСБ занято 30 % занятого населения.</w:t>
      </w:r>
      <w:r>
        <w:br/>
      </w:r>
      <w:r>
        <w:rPr>
          <w:rFonts w:ascii="Times New Roman"/>
          <w:b w:val="false"/>
          <w:i w:val="false"/>
          <w:color w:val="000000"/>
          <w:sz w:val="28"/>
        </w:rPr>
        <w:t>
      По итогам 2012 года рост выпуска продукции МСБ составил 103,3 %.</w:t>
      </w:r>
      <w:r>
        <w:br/>
      </w:r>
      <w:r>
        <w:rPr>
          <w:rFonts w:ascii="Times New Roman"/>
          <w:b w:val="false"/>
          <w:i w:val="false"/>
          <w:color w:val="000000"/>
          <w:sz w:val="28"/>
        </w:rPr>
        <w:t>
      Одним из направлений Послания является «Всесторонняя поддержка предпринимательства – ведущей силы национальной экономики». В рамках данных поручений будут приняты комплексные меры по созданию системы поддержки и стимулов стремления МСБ к объединению и кооперации, развитию внутреннего рынка путем поощрения местных бизнес-инициатив, введению жесткой системы ответственности для чиновников, создающих препоны развитию бизнеса, созданию условий и предпосылок для активного роста и перехода в категорию среднего бизнеса мелких предприятий и индивидуальных предпринимателей.</w:t>
      </w:r>
      <w:r>
        <w:br/>
      </w:r>
      <w:r>
        <w:rPr>
          <w:rFonts w:ascii="Times New Roman"/>
          <w:b w:val="false"/>
          <w:i w:val="false"/>
          <w:color w:val="000000"/>
          <w:sz w:val="28"/>
        </w:rPr>
        <w:t>
      Для реализации данной политики проводится работа по улучшению условий для ведения бизнеса. Реальное облегчение условий ведения бизнеса подтверждается существенным улучшением позиции Казахстана в рейтинге Всемирного Банка «Doing Business», где Казахстан улучшил свои показатели на 7 пунктов, закрепившись в 2013 году в группе ведущих 50-ти стран мира (50 место), опередив такие страны как Бразилия, Россия, Индия и Китай и Восточной Европы.</w:t>
      </w:r>
      <w:r>
        <w:br/>
      </w:r>
      <w:r>
        <w:rPr>
          <w:rFonts w:ascii="Times New Roman"/>
          <w:b w:val="false"/>
          <w:i w:val="false"/>
          <w:color w:val="000000"/>
          <w:sz w:val="28"/>
        </w:rPr>
        <w:t>
      Осуществлено поэтапное сокращение общего количества разрешительных документов для бизнеса в 2012 году на 30 %, существенно упрощены процедуры регистрации юридических лиц и прав на недвижимое имущество.</w:t>
      </w:r>
      <w:r>
        <w:br/>
      </w:r>
      <w:r>
        <w:rPr>
          <w:rFonts w:ascii="Times New Roman"/>
          <w:b w:val="false"/>
          <w:i w:val="false"/>
          <w:color w:val="000000"/>
          <w:sz w:val="28"/>
        </w:rPr>
        <w:t>
      В 2012 году в целях дальнейшего упорядочения разрешительной системы утверждена новая Концепция дальнейшего реформирования разрешительной системы на 2012 – 2015 годы.</w:t>
      </w:r>
      <w:r>
        <w:br/>
      </w:r>
      <w:r>
        <w:rPr>
          <w:rFonts w:ascii="Times New Roman"/>
          <w:b w:val="false"/>
          <w:i w:val="false"/>
          <w:color w:val="000000"/>
          <w:sz w:val="28"/>
        </w:rPr>
        <w:t>
      Реформирование лицензионно-разрешительной системы параллельно сопровождается переводом в электронный формат выдачи всех разрешений.</w:t>
      </w:r>
      <w:r>
        <w:br/>
      </w:r>
      <w:r>
        <w:rPr>
          <w:rFonts w:ascii="Times New Roman"/>
          <w:b w:val="false"/>
          <w:i w:val="false"/>
          <w:color w:val="000000"/>
          <w:sz w:val="28"/>
        </w:rPr>
        <w:t>
      С 1 января 2013 года выдача всех лицензий осуществляется посредством системы электронного лицензирования.</w:t>
      </w:r>
      <w:r>
        <w:br/>
      </w:r>
      <w:r>
        <w:rPr>
          <w:rFonts w:ascii="Times New Roman"/>
          <w:b w:val="false"/>
          <w:i w:val="false"/>
          <w:color w:val="000000"/>
          <w:sz w:val="28"/>
        </w:rPr>
        <w:t>
      Правительством Республики Казахстан принята </w:t>
      </w:r>
      <w:r>
        <w:rPr>
          <w:rFonts w:ascii="Times New Roman"/>
          <w:b w:val="false"/>
          <w:i w:val="false"/>
          <w:color w:val="000000"/>
          <w:sz w:val="28"/>
        </w:rPr>
        <w:t>Концепция</w:t>
      </w:r>
      <w:r>
        <w:rPr>
          <w:rFonts w:ascii="Times New Roman"/>
          <w:b w:val="false"/>
          <w:i w:val="false"/>
          <w:color w:val="000000"/>
          <w:sz w:val="28"/>
        </w:rPr>
        <w:t xml:space="preserve"> государственного регулирования предпринимательской деятельности до 2020 года, которая направлена на создание дешевого, но эффективного государственного регулирования, обеспечивающего достижение целей его введения.</w:t>
      </w:r>
      <w:r>
        <w:br/>
      </w:r>
      <w:r>
        <w:rPr>
          <w:rFonts w:ascii="Times New Roman"/>
          <w:b w:val="false"/>
          <w:i w:val="false"/>
          <w:color w:val="000000"/>
          <w:sz w:val="28"/>
        </w:rPr>
        <w:t>
      Концепцией предусматривается институциональное усиление уполномоченного органа по предпринимательству, введение процедур анализа регуляторного воздействия регулирований в нормотворческую практику Правительства, публичное обсуждение проектов нормативных правовых актов и проведение реформ по отдельным приоритетным для бизнеса направлениям государственной политики.</w:t>
      </w:r>
      <w:r>
        <w:br/>
      </w:r>
      <w:r>
        <w:rPr>
          <w:rFonts w:ascii="Times New Roman"/>
          <w:b w:val="false"/>
          <w:i w:val="false"/>
          <w:color w:val="000000"/>
          <w:sz w:val="28"/>
        </w:rPr>
        <w:t>
      От реализации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получен значительный социально-экономический эффект, поскольку сохранено более 170 тысяч действующих и дополнительно создано около 58 тысяч новых рабочих мест.</w:t>
      </w:r>
      <w:r>
        <w:br/>
      </w:r>
      <w:r>
        <w:rPr>
          <w:rFonts w:ascii="Times New Roman"/>
          <w:b w:val="false"/>
          <w:i w:val="false"/>
          <w:color w:val="000000"/>
          <w:sz w:val="28"/>
        </w:rPr>
        <w:t>
      В 2012 году Программа неоднократно совершенствовалась, в части упрощения процедур рассмотрения проектов и сокращения сроков получения финансовой поддержки, внедрения новой системы гарантирования кредитов и субсидирования лизинговых сделок, предоставления грантов, начинающим предпринимателям, реализующим новые бизнес-идеи. На сегодняшний день с момента реализации Программы наблюдается увеличение проектов в 2,5 раза. Расширена целевая группа по предоставлению государством грантовой помощи.</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w:t>
      </w:r>
      <w:r>
        <w:rPr>
          <w:rFonts w:ascii="Times New Roman"/>
          <w:b w:val="false"/>
          <w:i w:val="false"/>
          <w:color w:val="000000"/>
          <w:sz w:val="28"/>
        </w:rPr>
        <w:t>
      В сфере развития регионов.</w:t>
      </w:r>
      <w:r>
        <w:br/>
      </w:r>
      <w:r>
        <w:rPr>
          <w:rFonts w:ascii="Times New Roman"/>
          <w:b w:val="false"/>
          <w:i w:val="false"/>
          <w:color w:val="000000"/>
          <w:sz w:val="28"/>
        </w:rPr>
        <w:t>
      Основными проблемами по сбалансированному развитию регионов являются социальные дисбалансы (неравенство возможностей) в региональном развитии, возникающие вследствие не обеспечения населения долгосрочной высокопродуктивной занятостью и порождающие, как следствие, неконтролируемую миграцию из слаборазвитых (депрессивных) аграрных регионов в регионы с моноотраслевой (сырьевой) экономикой.</w:t>
      </w:r>
    </w:p>
    <w:bookmarkEnd w:id="8"/>
    <w:p>
      <w:pPr>
        <w:spacing w:after="0"/>
        <w:ind w:left="0"/>
        <w:jc w:val="both"/>
      </w:pPr>
      <w:r>
        <w:drawing>
          <wp:inline distT="0" distB="0" distL="0" distR="0">
            <wp:extent cx="55880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0" cy="2692400"/>
                    </a:xfrm>
                    <a:prstGeom prst="rect">
                      <a:avLst/>
                    </a:prstGeom>
                  </pic:spPr>
                </pic:pic>
              </a:graphicData>
            </a:graphic>
          </wp:inline>
        </w:drawing>
      </w:r>
    </w:p>
    <w:p>
      <w:pPr>
        <w:spacing w:after="0"/>
        <w:ind w:left="0"/>
        <w:jc w:val="both"/>
      </w:pPr>
      <w:r>
        <w:rPr>
          <w:rFonts w:ascii="Times New Roman"/>
          <w:b w:val="false"/>
          <w:i w:val="false"/>
          <w:color w:val="000000"/>
          <w:sz w:val="28"/>
        </w:rPr>
        <w:t>      При стихийном формировании центров экономического роста (городских агломераций) в стране существует риск возникновения населенных пунктов в формате «ложной урбанизации», что чревато возникновением дополнительных очагов социальной напряженности.</w:t>
      </w:r>
      <w:r>
        <w:br/>
      </w:r>
      <w:r>
        <w:rPr>
          <w:rFonts w:ascii="Times New Roman"/>
          <w:b w:val="false"/>
          <w:i w:val="false"/>
          <w:color w:val="000000"/>
          <w:sz w:val="28"/>
        </w:rPr>
        <w:t>
      Для малых городов республики характерны – низкая степень диверсификации экономики, высокая зависимость бюджета городов от субвенций и бюджетных трансфертов, высокий уровень безработицы и самозанятости, низкий уровень доходов населения, низкое качество жизни, отток населения, возможные тенденции роста социальной напряженности.</w:t>
      </w:r>
      <w:r>
        <w:br/>
      </w:r>
      <w:r>
        <w:rPr>
          <w:rFonts w:ascii="Times New Roman"/>
          <w:b w:val="false"/>
          <w:i w:val="false"/>
          <w:color w:val="000000"/>
          <w:sz w:val="28"/>
        </w:rPr>
        <w:t>
      К проблемам регионального развития следует также отнести:</w:t>
      </w:r>
      <w:r>
        <w:br/>
      </w:r>
      <w:r>
        <w:rPr>
          <w:rFonts w:ascii="Times New Roman"/>
          <w:b w:val="false"/>
          <w:i w:val="false"/>
          <w:color w:val="000000"/>
          <w:sz w:val="28"/>
        </w:rPr>
        <w:t>
      1) отсутствие рынка дешевого социального и арендного жилья;</w:t>
      </w:r>
      <w:r>
        <w:br/>
      </w:r>
      <w:r>
        <w:rPr>
          <w:rFonts w:ascii="Times New Roman"/>
          <w:b w:val="false"/>
          <w:i w:val="false"/>
          <w:color w:val="000000"/>
          <w:sz w:val="28"/>
        </w:rPr>
        <w:t>
      2) недостаток специалистов социальной сферы и ветеринарии в сельской местности. Согласно данным местных исполнительных органов потребность в специалистах социальной сферы и ветеринарии в сельской местности составляет 17 688 человек;</w:t>
      </w:r>
    </w:p>
    <w:p>
      <w:pPr>
        <w:spacing w:after="0"/>
        <w:ind w:left="0"/>
        <w:jc w:val="both"/>
      </w:pPr>
      <w:r>
        <w:drawing>
          <wp:inline distT="0" distB="0" distL="0" distR="0">
            <wp:extent cx="59309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30900" cy="2959100"/>
                    </a:xfrm>
                    <a:prstGeom prst="rect">
                      <a:avLst/>
                    </a:prstGeom>
                  </pic:spPr>
                </pic:pic>
              </a:graphicData>
            </a:graphic>
          </wp:inline>
        </w:drawing>
      </w:r>
    </w:p>
    <w:bookmarkStart w:name="z17" w:id="9"/>
    <w:p>
      <w:pPr>
        <w:spacing w:after="0"/>
        <w:ind w:left="0"/>
        <w:jc w:val="both"/>
      </w:pPr>
      <w:r>
        <w:rPr>
          <w:rFonts w:ascii="Times New Roman"/>
          <w:b w:val="false"/>
          <w:i w:val="false"/>
          <w:color w:val="000000"/>
          <w:sz w:val="28"/>
        </w:rPr>
        <w:t>      В настоящее время за счет целевых трансфертов регионам из республиканского бюджета финансируются не только крупные объекты, но и инвестиционные проекты местного значения (детские сады, сельские врачебные амбулатории и другие).</w:t>
      </w:r>
      <w:r>
        <w:br/>
      </w:r>
      <w:r>
        <w:rPr>
          <w:rFonts w:ascii="Times New Roman"/>
          <w:b w:val="false"/>
          <w:i w:val="false"/>
          <w:color w:val="000000"/>
          <w:sz w:val="28"/>
        </w:rPr>
        <w:t>
      В сфере развития предпринимательства.</w:t>
      </w:r>
      <w:r>
        <w:br/>
      </w:r>
      <w:r>
        <w:rPr>
          <w:rFonts w:ascii="Times New Roman"/>
          <w:b w:val="false"/>
          <w:i w:val="false"/>
          <w:color w:val="000000"/>
          <w:sz w:val="28"/>
        </w:rPr>
        <w:t>
      В Казахстане, как и во многих странах, независимо от уровня их развития, существует проблема чрезмерного регулирования экономической деятельности. Сложные и непрозрачные процедуры, которым должны следовать предприниматели при создании и ведении бизнеса, служат самым серьезным препятствием экономическому росту. Эти процедуры увеличивают затраты на производство и издержки предпринимателей, ограничивают их доступ на рынок, сдерживают развитие бизнеса, ухудшают бизнес-среду и способствуют коррупции. Административные барьеры являются одной из причин появления теневого сектора экономики.</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контроле и надзоре в Республики Казахстан» не исполняется государственными органами, системы управления рисками реализуются формально, эффективность контрольно-надзорной деятельности оценивается по объемам выявленных нарушений и принятых по ним мер. Как следствие, контроль и надзор в отношении бизнеса не ведет к реальному улучшению в контролируемых сферах, а бизнес испытывает излишнее давление.</w:t>
      </w:r>
      <w:r>
        <w:br/>
      </w:r>
      <w:r>
        <w:rPr>
          <w:rFonts w:ascii="Times New Roman"/>
          <w:b w:val="false"/>
          <w:i w:val="false"/>
          <w:color w:val="000000"/>
          <w:sz w:val="28"/>
        </w:rPr>
        <w:t>
      Кроме того, основными проблемами, в развитии малого и среднего предпринимательства также являются:</w:t>
      </w:r>
      <w:r>
        <w:br/>
      </w:r>
      <w:r>
        <w:rPr>
          <w:rFonts w:ascii="Times New Roman"/>
          <w:b w:val="false"/>
          <w:i w:val="false"/>
          <w:color w:val="000000"/>
          <w:sz w:val="28"/>
        </w:rPr>
        <w:t>
      1) недостаточный доступ субъектов предпринимательства в особенности начинающих и сельских предпринимателей к финансированию и высокая стоимость заимствования, в том числе недостаток текущего ликвидного залогового имущества;</w:t>
      </w:r>
      <w:r>
        <w:br/>
      </w:r>
      <w:r>
        <w:rPr>
          <w:rFonts w:ascii="Times New Roman"/>
          <w:b w:val="false"/>
          <w:i w:val="false"/>
          <w:color w:val="000000"/>
          <w:sz w:val="28"/>
        </w:rPr>
        <w:t>
      2) неразвитость индустриальной и поддерживающей инфраструктуры для развития предпринимательства в регионах;</w:t>
      </w:r>
      <w:r>
        <w:br/>
      </w:r>
      <w:r>
        <w:rPr>
          <w:rFonts w:ascii="Times New Roman"/>
          <w:b w:val="false"/>
          <w:i w:val="false"/>
          <w:color w:val="000000"/>
          <w:sz w:val="28"/>
        </w:rPr>
        <w:t>
      3) недостаточный уровень квалификации населения с предпринимательской активностью на местах, в особенности в сельской местности;</w:t>
      </w:r>
      <w:r>
        <w:br/>
      </w:r>
      <w:r>
        <w:rPr>
          <w:rFonts w:ascii="Times New Roman"/>
          <w:b w:val="false"/>
          <w:i w:val="false"/>
          <w:color w:val="000000"/>
          <w:sz w:val="28"/>
        </w:rPr>
        <w:t>
      4) недостаток информированности предпринимателей о существующих мерах государственной поддержки по развитию предпринимательства.</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 сфере развития регионов.</w:t>
      </w:r>
      <w:r>
        <w:br/>
      </w:r>
      <w:r>
        <w:rPr>
          <w:rFonts w:ascii="Times New Roman"/>
          <w:b w:val="false"/>
          <w:i w:val="false"/>
          <w:color w:val="000000"/>
          <w:sz w:val="28"/>
        </w:rPr>
        <w:t>
</w:t>
      </w:r>
      <w:r>
        <w:rPr>
          <w:rFonts w:ascii="Times New Roman"/>
          <w:b w:val="false"/>
          <w:i w:val="false"/>
          <w:color w:val="000000"/>
          <w:sz w:val="28"/>
        </w:rPr>
        <w:t>
      Внешние факторы.</w:t>
      </w:r>
      <w:r>
        <w:br/>
      </w:r>
      <w:r>
        <w:rPr>
          <w:rFonts w:ascii="Times New Roman"/>
          <w:b w:val="false"/>
          <w:i w:val="false"/>
          <w:color w:val="000000"/>
          <w:sz w:val="28"/>
        </w:rPr>
        <w:t>
      Факторами, которые могут повлиять на развитие регионов, являются падение цен на мировых сырьевых товарных биржах, увеличение безработицы вследствие неконкурентоспособности экономики той или иной области.</w:t>
      </w:r>
      <w:r>
        <w:br/>
      </w:r>
      <w:r>
        <w:rPr>
          <w:rFonts w:ascii="Times New Roman"/>
          <w:b w:val="false"/>
          <w:i w:val="false"/>
          <w:color w:val="000000"/>
          <w:sz w:val="28"/>
        </w:rPr>
        <w:t>
      Экономическая ситуация большинства регионов Казахстана напрямую связана с ценами на мировых сырьевых товарных биржах: Костанайская, Карагандинская области – железная руда, окатыши, продукция черной металлургии, Восточно-Казахстанская, Карагандинская области – продукция цветной металлургии, Атырауская, Мангистауская, Кызылординская, Актюбинская, Западно-Казахстанская области – продукция нефтегазового сектора экономики и так далее.</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На современном этапе развития мировой, в том числе и казахстанской экономики, основной проблемой является продуктивная занятость населения. В этой связи вопросы по созданию новых рабочих мест в агломерациях и населенных пунктах с высоким потенциалом необходимо решать в рамках реализации Карты индустриализации, программ «Развитие регионов» и «Дорожная карта бизнеса 2020» с учетом совершенствования инструментов их реализации.</w:t>
      </w:r>
      <w:r>
        <w:br/>
      </w:r>
      <w:r>
        <w:rPr>
          <w:rFonts w:ascii="Times New Roman"/>
          <w:b w:val="false"/>
          <w:i w:val="false"/>
          <w:color w:val="000000"/>
          <w:sz w:val="28"/>
        </w:rPr>
        <w:t>
</w:t>
      </w:r>
      <w:r>
        <w:rPr>
          <w:rFonts w:ascii="Times New Roman"/>
          <w:b w:val="false"/>
          <w:i w:val="false"/>
          <w:color w:val="000000"/>
          <w:sz w:val="28"/>
        </w:rPr>
        <w:t>
      В сфере развития предпринимательства.</w:t>
      </w:r>
      <w:r>
        <w:br/>
      </w:r>
      <w:r>
        <w:rPr>
          <w:rFonts w:ascii="Times New Roman"/>
          <w:b w:val="false"/>
          <w:i w:val="false"/>
          <w:color w:val="000000"/>
          <w:sz w:val="28"/>
        </w:rPr>
        <w:t>
</w:t>
      </w:r>
      <w:r>
        <w:rPr>
          <w:rFonts w:ascii="Times New Roman"/>
          <w:b w:val="false"/>
          <w:i w:val="false"/>
          <w:color w:val="000000"/>
          <w:sz w:val="28"/>
        </w:rPr>
        <w:t>
      Внешние факторы.</w:t>
      </w:r>
      <w:r>
        <w:br/>
      </w:r>
      <w:r>
        <w:rPr>
          <w:rFonts w:ascii="Times New Roman"/>
          <w:b w:val="false"/>
          <w:i w:val="false"/>
          <w:color w:val="000000"/>
          <w:sz w:val="28"/>
        </w:rPr>
        <w:t>
      В рамках унификации законодательства стран Таможенного союза постоянно инициируется введение новых разрешительных документов и процедур. Например, виды деятельности, переведенные в 2011 году Правительством Российской Федерации на уведомительный порядок, в Казахстане вообще не регулируются государством. Виды деятельности, переведенные в Казахстане на уведомительный порядок, в России подлежат лицензированию и другим разрешительным процедурам. Таким образом, в Казахстан возвращаются разрешения, отмененные ранее в ходе реформ по снижению административных барьеров, а также появляются новые. Кроме того, существует угроза снижения конкурентоспособности отечественных товаропроизводителей вследствие недостаточной работы по унификации стандартов при функционировании в рамках Таможенного союза.</w:t>
      </w:r>
      <w:r>
        <w:br/>
      </w:r>
      <w:r>
        <w:rPr>
          <w:rFonts w:ascii="Times New Roman"/>
          <w:b w:val="false"/>
          <w:i w:val="false"/>
          <w:color w:val="000000"/>
          <w:sz w:val="28"/>
        </w:rPr>
        <w:t>
      Присоединение Казахстана к международным договорам, регламентирующим вопросы осуществления контроля в различных сферах (авиационная безопасность, инспекции безопасности труда, контроль на железнодорожном транспорте и пр.), зачастую выводит эти сферы из-под общего порядка проведения проверок,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Стремление государственных органов к расширению регуляторных полномочий, непонимание государственными органами сути проводимых реформ, неразвитость институтов гражданского общества, в том числе бизнес – ассоциаций, низкий уровень правовой культуры и отсутствие предпринимательской традиции, коррупция и высокий уровень монополизации экономики.</w:t>
      </w:r>
      <w:r>
        <w:br/>
      </w:r>
      <w:r>
        <w:rPr>
          <w:rFonts w:ascii="Times New Roman"/>
          <w:b w:val="false"/>
          <w:i w:val="false"/>
          <w:color w:val="000000"/>
          <w:sz w:val="28"/>
        </w:rPr>
        <w:t>
      Среди других факторов, влияющих на развитие МСБ, можно также отметить:</w:t>
      </w:r>
      <w:r>
        <w:br/>
      </w:r>
      <w:r>
        <w:rPr>
          <w:rFonts w:ascii="Times New Roman"/>
          <w:b w:val="false"/>
          <w:i w:val="false"/>
          <w:color w:val="000000"/>
          <w:sz w:val="28"/>
        </w:rPr>
        <w:t>
      1) высокие требования банков второго уровня к субъектам малого предпринимательства, участвующих в </w:t>
      </w:r>
      <w:r>
        <w:rPr>
          <w:rFonts w:ascii="Times New Roman"/>
          <w:b w:val="false"/>
          <w:i w:val="false"/>
          <w:color w:val="000000"/>
          <w:sz w:val="28"/>
        </w:rPr>
        <w:t>Программе</w:t>
      </w:r>
      <w:r>
        <w:rPr>
          <w:rFonts w:ascii="Times New Roman"/>
          <w:b w:val="false"/>
          <w:i w:val="false"/>
          <w:color w:val="000000"/>
          <w:sz w:val="28"/>
        </w:rPr>
        <w:t xml:space="preserve"> «Дорожная карта бизнеса 2020», при принятии залогового обеспечении;</w:t>
      </w:r>
      <w:r>
        <w:br/>
      </w:r>
      <w:r>
        <w:rPr>
          <w:rFonts w:ascii="Times New Roman"/>
          <w:b w:val="false"/>
          <w:i w:val="false"/>
          <w:color w:val="000000"/>
          <w:sz w:val="28"/>
        </w:rPr>
        <w:t>
      2) недостаточность финансирования сферы предпринимательства, особенно предпринимателей села и начинающих предпринимателей;</w:t>
      </w:r>
      <w:r>
        <w:br/>
      </w:r>
      <w:r>
        <w:rPr>
          <w:rFonts w:ascii="Times New Roman"/>
          <w:b w:val="false"/>
          <w:i w:val="false"/>
          <w:color w:val="000000"/>
          <w:sz w:val="28"/>
        </w:rPr>
        <w:t>
      3) рост административных барьеров в сферах деятельности субъектов частного предпринимательства;</w:t>
      </w:r>
      <w:r>
        <w:br/>
      </w:r>
      <w:r>
        <w:rPr>
          <w:rFonts w:ascii="Times New Roman"/>
          <w:b w:val="false"/>
          <w:i w:val="false"/>
          <w:color w:val="000000"/>
          <w:sz w:val="28"/>
        </w:rPr>
        <w:t>
      4) ограниченные возможности предпринимателей получения централизованных услуг по ведению и консалтингу в сфере бухгалтерского и налогового учета ведения бизнеса, маркетинга, менеджмента, юридических и финансовых вопросов в сельских районах области.</w:t>
      </w:r>
      <w:r>
        <w:br/>
      </w:r>
      <w:r>
        <w:rPr>
          <w:rFonts w:ascii="Times New Roman"/>
          <w:b w:val="false"/>
          <w:i w:val="false"/>
          <w:color w:val="000000"/>
          <w:sz w:val="28"/>
        </w:rPr>
        <w:t>
</w:t>
      </w:r>
      <w:r>
        <w:rPr>
          <w:rFonts w:ascii="Times New Roman"/>
          <w:b w:val="false"/>
          <w:i w:val="false"/>
          <w:color w:val="000000"/>
          <w:sz w:val="28"/>
        </w:rPr>
        <w:t>
      2. Стратегическое направление 2. Развитие архитектуры, градостроительства, строительства 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Жилищное строительство.</w:t>
      </w:r>
      <w:r>
        <w:br/>
      </w:r>
      <w:r>
        <w:rPr>
          <w:rFonts w:ascii="Times New Roman"/>
          <w:b w:val="false"/>
          <w:i w:val="false"/>
          <w:color w:val="000000"/>
          <w:sz w:val="28"/>
        </w:rPr>
        <w:t>
      Дальнейшее развитие строительства, а также повышение безопасности и качества строительной продукции в современных условиях являются ключевыми экономическими задачами государства.</w:t>
      </w:r>
      <w:r>
        <w:br/>
      </w:r>
      <w:r>
        <w:rPr>
          <w:rFonts w:ascii="Times New Roman"/>
          <w:b w:val="false"/>
          <w:i w:val="false"/>
          <w:color w:val="000000"/>
          <w:sz w:val="28"/>
        </w:rPr>
        <w:t>
      Строительство имеет свои характерные особенности, отличающие его от других отраслей и диктующие необходимость специфических форм организации и управления строительным производством. Это – неповторяемость объектов строительства, стационарный характер строительной продукции, многообразие участников строительного процесса, относительно медленная оборачиваемость капитала и высокая степень риска.</w:t>
      </w:r>
      <w:r>
        <w:br/>
      </w:r>
      <w:r>
        <w:rPr>
          <w:rFonts w:ascii="Times New Roman"/>
          <w:b w:val="false"/>
          <w:i w:val="false"/>
          <w:color w:val="000000"/>
          <w:sz w:val="28"/>
        </w:rPr>
        <w:t>
      В рамках принятой Программы «Доступное жилье 2020» предусмотрена государственная поддержка следующих действующих и новых основных направлений:</w:t>
      </w:r>
      <w:r>
        <w:br/>
      </w:r>
      <w:r>
        <w:rPr>
          <w:rFonts w:ascii="Times New Roman"/>
          <w:b w:val="false"/>
          <w:i w:val="false"/>
          <w:color w:val="000000"/>
          <w:sz w:val="28"/>
        </w:rPr>
        <w:t>
      1) жилье для граждан, состоящих на учете, нуждающихся в жилище из государственного жилищного фонда или жилище, арендованном МИО в частном жилищном фонде;</w:t>
      </w:r>
      <w:r>
        <w:br/>
      </w:r>
      <w:r>
        <w:rPr>
          <w:rFonts w:ascii="Times New Roman"/>
          <w:b w:val="false"/>
          <w:i w:val="false"/>
          <w:color w:val="000000"/>
          <w:sz w:val="28"/>
        </w:rPr>
        <w:t>
      2) жилье по линии акционерного общества «Жилстройсбербанк»  (далее – ЖССБ) для всех категорий населения и молодых семей;</w:t>
      </w:r>
      <w:r>
        <w:br/>
      </w:r>
      <w:r>
        <w:rPr>
          <w:rFonts w:ascii="Times New Roman"/>
          <w:b w:val="false"/>
          <w:i w:val="false"/>
          <w:color w:val="000000"/>
          <w:sz w:val="28"/>
        </w:rPr>
        <w:t>
      3) жилье, строящееся по линии акционерного общества «Казахстанская ипотечная компания»;</w:t>
      </w:r>
      <w:r>
        <w:br/>
      </w:r>
      <w:r>
        <w:rPr>
          <w:rFonts w:ascii="Times New Roman"/>
          <w:b w:val="false"/>
          <w:i w:val="false"/>
          <w:color w:val="000000"/>
          <w:sz w:val="28"/>
        </w:rPr>
        <w:t>
      4) ремонт жилищного фонда по Программе модернизации в Республике Казахстан на 2011 – 2020 годы (вторичное жилье);</w:t>
      </w:r>
      <w:r>
        <w:br/>
      </w:r>
      <w:r>
        <w:rPr>
          <w:rFonts w:ascii="Times New Roman"/>
          <w:b w:val="false"/>
          <w:i w:val="false"/>
          <w:color w:val="000000"/>
          <w:sz w:val="28"/>
        </w:rPr>
        <w:t>
      5) жилье в рамках пилотных проектов по сносу аварийного жилья;</w:t>
      </w:r>
      <w:r>
        <w:br/>
      </w:r>
      <w:r>
        <w:rPr>
          <w:rFonts w:ascii="Times New Roman"/>
          <w:b w:val="false"/>
          <w:i w:val="false"/>
          <w:color w:val="000000"/>
          <w:sz w:val="28"/>
        </w:rPr>
        <w:t>
      6) развитие индивидуального жилищного строительства;</w:t>
      </w:r>
      <w:r>
        <w:br/>
      </w:r>
      <w:r>
        <w:rPr>
          <w:rFonts w:ascii="Times New Roman"/>
          <w:b w:val="false"/>
          <w:i w:val="false"/>
          <w:color w:val="000000"/>
          <w:sz w:val="28"/>
        </w:rPr>
        <w:t>
      7) строительство инженерно-коммуникационной инфраструктуры;</w:t>
      </w:r>
      <w:r>
        <w:br/>
      </w:r>
      <w:r>
        <w:rPr>
          <w:rFonts w:ascii="Times New Roman"/>
          <w:b w:val="false"/>
          <w:i w:val="false"/>
          <w:color w:val="000000"/>
          <w:sz w:val="28"/>
        </w:rPr>
        <w:t>
      8) строительство жилья в рамках Дорожной карты занятости 2020;</w:t>
      </w:r>
      <w:r>
        <w:br/>
      </w:r>
      <w:r>
        <w:rPr>
          <w:rFonts w:ascii="Times New Roman"/>
          <w:b w:val="false"/>
          <w:i w:val="false"/>
          <w:color w:val="000000"/>
          <w:sz w:val="28"/>
        </w:rPr>
        <w:t>
      9) строительство жилья АО «Фонд недвижимости «Самрук-Казына».</w:t>
      </w:r>
      <w:r>
        <w:br/>
      </w:r>
      <w:r>
        <w:rPr>
          <w:rFonts w:ascii="Times New Roman"/>
          <w:b w:val="false"/>
          <w:i w:val="false"/>
          <w:color w:val="000000"/>
          <w:sz w:val="28"/>
        </w:rPr>
        <w:t>
      По итогам 2012 года по всем источникам финансирования введено в эксплуатацию 6,7 млн.кв. метров жилья (111 % к запланированному объему). За счет средств республиканского бюджета введено в эксплуатацию 451,5 тыс.кв.метров жилья (347,5 тыс.кв. метров площади квартир).</w:t>
      </w:r>
      <w:r>
        <w:br/>
      </w:r>
      <w:r>
        <w:rPr>
          <w:rFonts w:ascii="Times New Roman"/>
          <w:b w:val="false"/>
          <w:i w:val="false"/>
          <w:color w:val="000000"/>
          <w:sz w:val="28"/>
        </w:rPr>
        <w:t>
</w:t>
      </w:r>
      <w:r>
        <w:rPr>
          <w:rFonts w:ascii="Times New Roman"/>
          <w:b w:val="false"/>
          <w:i w:val="false"/>
          <w:color w:val="000000"/>
          <w:sz w:val="28"/>
        </w:rPr>
        <w:t>
      Архитектура, градостроительство и строительная деятельность.</w:t>
      </w:r>
      <w:r>
        <w:br/>
      </w:r>
      <w:r>
        <w:rPr>
          <w:rFonts w:ascii="Times New Roman"/>
          <w:b w:val="false"/>
          <w:i w:val="false"/>
          <w:color w:val="000000"/>
          <w:sz w:val="28"/>
        </w:rPr>
        <w:t>
      В настоящее время действуют 2456 ед. документов в области архитектуры, градостроительства и строительства, в том числе основополагающие документы на проектирование и строительство – 679, по ценообразованию и сметам – 587, стандарты – 824, другие документы – 366.</w:t>
      </w:r>
      <w:r>
        <w:br/>
      </w:r>
      <w:r>
        <w:rPr>
          <w:rFonts w:ascii="Times New Roman"/>
          <w:b w:val="false"/>
          <w:i w:val="false"/>
          <w:color w:val="000000"/>
          <w:sz w:val="28"/>
        </w:rPr>
        <w:t>
      Сфера жилищно-коммунального хозяйства (далее – ЖКХ) регулируется порядка 258 нормативно-техническими документами.</w:t>
      </w:r>
      <w:r>
        <w:br/>
      </w:r>
      <w:r>
        <w:rPr>
          <w:rFonts w:ascii="Times New Roman"/>
          <w:b w:val="false"/>
          <w:i w:val="false"/>
          <w:color w:val="000000"/>
          <w:sz w:val="28"/>
        </w:rPr>
        <w:t>
      Приказами Агентства Республики Казахстан по делам строительства и жилищно-коммунального хозяйства (от 17 мая 2011 года № 178, от 29 декабря 2011 года № 540, от 29 декабря 2012 года № 793) утверждены 10 еврокодов, состоящих из 58 частей с национальными приложениями, идентичных еврокодам, с инструкцией по их применению.</w:t>
      </w:r>
      <w:r>
        <w:br/>
      </w:r>
      <w:r>
        <w:rPr>
          <w:rFonts w:ascii="Times New Roman"/>
          <w:b w:val="false"/>
          <w:i w:val="false"/>
          <w:color w:val="000000"/>
          <w:sz w:val="28"/>
        </w:rPr>
        <w:t>
      Формирование сметной стоимости строительной продукции - основной элемент экономических отношений для всех участников строительного комплекса, который должен отражать все условия и требования рынка.</w:t>
      </w:r>
      <w:r>
        <w:br/>
      </w:r>
      <w:r>
        <w:rPr>
          <w:rFonts w:ascii="Times New Roman"/>
          <w:b w:val="false"/>
          <w:i w:val="false"/>
          <w:color w:val="000000"/>
          <w:sz w:val="28"/>
        </w:rPr>
        <w:t>
      Основным элементом системы ценообразования строительной продукции является сметно-нормативная база.</w:t>
      </w:r>
      <w:r>
        <w:br/>
      </w:r>
      <w:r>
        <w:rPr>
          <w:rFonts w:ascii="Times New Roman"/>
          <w:b w:val="false"/>
          <w:i w:val="false"/>
          <w:color w:val="000000"/>
          <w:sz w:val="28"/>
        </w:rPr>
        <w:t>
      В рамках бюджетных программ в 2003 году впервые в Казахстане разработана собственная сметно-нормативная база на уровне цен 2001 года в количестве 561 нормативно-технического документа, предназначенная для формирования стоимости строительства за счет бюджетных инвестиций. За основу базовых цен на материалы, изделия и конструкции приняты данные АС.</w:t>
      </w:r>
      <w:r>
        <w:br/>
      </w:r>
      <w:r>
        <w:rPr>
          <w:rFonts w:ascii="Times New Roman"/>
          <w:b w:val="false"/>
          <w:i w:val="false"/>
          <w:color w:val="000000"/>
          <w:sz w:val="28"/>
        </w:rPr>
        <w:t>
      В связи с вступлением с 1 января 2012 года в силу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основными задачами Министерства регионального развития Республики Казахстан являются обеспечение сохранности и развитие принципов технического регулирования в строительстве, уже применяемых на национальном уровне, актуализация и гармонизация строительных норм и сводов правил с аналогичными системами экономически развитых стран с учетом специфических особенностей правовой системы Казахстана.</w:t>
      </w:r>
      <w:r>
        <w:br/>
      </w:r>
      <w:r>
        <w:rPr>
          <w:rFonts w:ascii="Times New Roman"/>
          <w:b w:val="false"/>
          <w:i w:val="false"/>
          <w:color w:val="000000"/>
          <w:sz w:val="28"/>
        </w:rPr>
        <w:t>
      В целях перехода на новую сметно-нормативную базу разработаны (переработаны), одобрены научно-техническим советом и утверждены в 2010 году – 89 ед., в 2011 году – 106 ед., в 2012 году – 86 ед. нормативов.</w:t>
      </w:r>
      <w:r>
        <w:br/>
      </w:r>
      <w:r>
        <w:rPr>
          <w:rFonts w:ascii="Times New Roman"/>
          <w:b w:val="false"/>
          <w:i w:val="false"/>
          <w:color w:val="000000"/>
          <w:sz w:val="28"/>
        </w:rPr>
        <w:t>
      Для оптимальной организации территории, обеспечения государственного регулирования системы расселения и размещения производительных сил; установления статуса, назначения и характера использования территорий с учетом административно-территориального устройства Республики Казахстан; координации межрегиональных и межотраслевых государственных интересов по программам социально-экономического и хозяйственного развития через осуществление архитектурной, градостроительной и строительной деятельности в Республике Казахстан, необходимо разработать Генеральную схему организации территории Республики Казахстан (далее – Генеральная схема), которая является главным градостроительным документом страны. Генеральная схема является постоянно действующим и регулярно обновляемым (актуализируемым) программным информационно-аналитическим документом, обосновывающим и определяющим основные направления государственной градостроительной политики.</w:t>
      </w:r>
      <w:r>
        <w:br/>
      </w:r>
      <w:r>
        <w:rPr>
          <w:rFonts w:ascii="Times New Roman"/>
          <w:b w:val="false"/>
          <w:i w:val="false"/>
          <w:color w:val="000000"/>
          <w:sz w:val="28"/>
        </w:rPr>
        <w:t>
      Начата работа по разработке данного проекта, разработаны концептуальные подходы к разработке генеральной схемы. Также проведены сбор исходных данных, анализ современного состояния территорий страны. Утверждены нормативные правовые и технические документы, необходимые для разработки генеральной схемы. Разработан прототип аналитической системы поддержки принятия решений Генеральной схемы, объединяющей инструменты сбора, анализа, моделирования и прогнозирования градостроительного развития. Начата работа по проектному этапу генеральной схемы, разработке проектных предложений организации территории страны. Планируется утверждение основных положений генеральной схемы, направленных на достижение устойчивого развития Республики Казахстан.</w:t>
      </w:r>
      <w:r>
        <w:br/>
      </w:r>
      <w:r>
        <w:rPr>
          <w:rFonts w:ascii="Times New Roman"/>
          <w:b w:val="false"/>
          <w:i w:val="false"/>
          <w:color w:val="000000"/>
          <w:sz w:val="28"/>
        </w:rPr>
        <w:t>
      Межрегиональные схемы территориального развития разрабатываются в соответствии с Генеральной схемой, служат для взаимно согласованной (консолидированной) архитектурной, градостроительной и строительной деятельности на территориях двух и более областей (либо их частей), а также социально-экономических или экологических районов без учета границ административно-территориальных единиц.</w:t>
      </w:r>
      <w:r>
        <w:br/>
      </w:r>
      <w:r>
        <w:rPr>
          <w:rFonts w:ascii="Times New Roman"/>
          <w:b w:val="false"/>
          <w:i w:val="false"/>
          <w:color w:val="000000"/>
          <w:sz w:val="28"/>
        </w:rPr>
        <w:t>
      За последние годы выполнен значительный объем работ по обеспечению разработок и утверждению Генеральных планов. Так по состоянию на 1 января 2013 года города Астана, Алматы и 14 областных центров обеспечены генеральными планами.</w:t>
      </w:r>
      <w:r>
        <w:br/>
      </w:r>
      <w:r>
        <w:rPr>
          <w:rFonts w:ascii="Times New Roman"/>
          <w:b w:val="false"/>
          <w:i w:val="false"/>
          <w:color w:val="000000"/>
          <w:sz w:val="28"/>
        </w:rPr>
        <w:t>
      Также необходимо создание Государственного градостроительного кадастра Республики Казахстан (далее – ГГК), который является составной частью государственной системы кадастров Республики Казахстан и ведется по единой системе на трех территориальных уровнях (республиканский, областной и базовый) в границах соответствующих административно-территориальных единиц Республики Казахстан.</w:t>
      </w:r>
      <w:r>
        <w:br/>
      </w:r>
      <w:r>
        <w:rPr>
          <w:rFonts w:ascii="Times New Roman"/>
          <w:b w:val="false"/>
          <w:i w:val="false"/>
          <w:color w:val="000000"/>
          <w:sz w:val="28"/>
        </w:rPr>
        <w:t>
      В 2012 году разработан и одобрен постановлением НТС Агентства Республики Казахстан по делам строительства и жилищно-коммунального хозяйства отчет проектного этапа по разработке Генеральной схемы. Также, в 2012 году завершена разработка специализированного программного обеспечения «Автоматизированная информационная система Государственного градостроительного кадастра республиканского уровня» (далее – АИС ГГК). Разработаны и согласованы с уполномоченными органами базы данных ГГК республиканского уровня. Сформировано информационное взаимодействие с АИС «Адресный регистр» и базой данных физических и юридических лиц. Работа по созданию АИС ГГК республиканского уровня одобрена постановлением НТС от 19 декабря 2012 года № 12-3 и утверждена приказом Председателя Агентства Республики Казахстан по делам строительства и жилищно-коммунального хозяйства от 19 декабря 2012 года № 626.</w:t>
      </w:r>
      <w:r>
        <w:br/>
      </w:r>
      <w:r>
        <w:rPr>
          <w:rFonts w:ascii="Times New Roman"/>
          <w:b w:val="false"/>
          <w:i w:val="false"/>
          <w:color w:val="000000"/>
          <w:sz w:val="28"/>
        </w:rPr>
        <w:t>
</w:t>
      </w:r>
      <w:r>
        <w:rPr>
          <w:rFonts w:ascii="Times New Roman"/>
          <w:b w:val="false"/>
          <w:i w:val="false"/>
          <w:color w:val="000000"/>
          <w:sz w:val="28"/>
        </w:rPr>
        <w:t>
      Модернизация и развитие ЖКХ.</w:t>
      </w:r>
      <w:r>
        <w:br/>
      </w:r>
      <w:r>
        <w:rPr>
          <w:rFonts w:ascii="Times New Roman"/>
          <w:b w:val="false"/>
          <w:i w:val="false"/>
          <w:color w:val="000000"/>
          <w:sz w:val="28"/>
        </w:rPr>
        <w:t>
</w:t>
      </w:r>
      <w:r>
        <w:rPr>
          <w:rFonts w:ascii="Times New Roman"/>
          <w:b w:val="false"/>
          <w:i w:val="false"/>
          <w:color w:val="ff0000"/>
          <w:sz w:val="28"/>
        </w:rPr>
        <w:t xml:space="preserve">      Сноска. Подраздел с изменением, внесенным постановлением Правительства РК от 29.05.2014 </w:t>
      </w:r>
      <w:r>
        <w:rPr>
          <w:rFonts w:ascii="Times New Roman"/>
          <w:b w:val="false"/>
          <w:i w:val="false"/>
          <w:color w:val="000000"/>
          <w:sz w:val="28"/>
        </w:rPr>
        <w:t>№ 576</w:t>
      </w:r>
      <w:r>
        <w:rPr>
          <w:rFonts w:ascii="Times New Roman"/>
          <w:b w:val="false"/>
          <w:i w:val="false"/>
          <w:color w:val="ff0000"/>
          <w:sz w:val="28"/>
        </w:rPr>
        <w:t>.</w:t>
      </w:r>
      <w:r>
        <w:br/>
      </w:r>
      <w:r>
        <w:rPr>
          <w:rFonts w:ascii="Times New Roman"/>
          <w:b w:val="false"/>
          <w:i w:val="false"/>
          <w:color w:val="000000"/>
          <w:sz w:val="28"/>
        </w:rPr>
        <w:t>
      По состоянию на 1 января 2013 года доступ городского населения к централизованному водоснабжению составляет – 84 %.</w:t>
      </w:r>
      <w:r>
        <w:br/>
      </w:r>
      <w:r>
        <w:rPr>
          <w:rFonts w:ascii="Times New Roman"/>
          <w:b w:val="false"/>
          <w:i w:val="false"/>
          <w:color w:val="000000"/>
          <w:sz w:val="28"/>
        </w:rPr>
        <w:t>
      По данным АС в 2011 году общая протяженность водопроводных сетей в городах по республике составляет 29,9 тыс. км.</w:t>
      </w:r>
      <w:r>
        <w:br/>
      </w:r>
      <w:r>
        <w:rPr>
          <w:rFonts w:ascii="Times New Roman"/>
          <w:b w:val="false"/>
          <w:i w:val="false"/>
          <w:color w:val="000000"/>
          <w:sz w:val="28"/>
        </w:rPr>
        <w:t>
      По состоянию на 1 января 2013 года доступ городского населения к централизованному водоотведению составляет – 75 %.</w:t>
      </w:r>
      <w:r>
        <w:br/>
      </w:r>
      <w:r>
        <w:rPr>
          <w:rFonts w:ascii="Times New Roman"/>
          <w:b w:val="false"/>
          <w:i w:val="false"/>
          <w:color w:val="000000"/>
          <w:sz w:val="28"/>
        </w:rPr>
        <w:t>
      В 39 городах и поселках очистные сооружения вообще отсутствуют, соответственно сброс сточных вод осуществляется без очистки.</w:t>
      </w:r>
      <w:r>
        <w:br/>
      </w:r>
      <w:r>
        <w:rPr>
          <w:rFonts w:ascii="Times New Roman"/>
          <w:b w:val="false"/>
          <w:i w:val="false"/>
          <w:color w:val="000000"/>
          <w:sz w:val="28"/>
        </w:rPr>
        <w:t>
      Доступ к централизованному водоснабжению в сельских населенных пунктах составляет 43 %, водоотведению – 9 %.</w:t>
      </w:r>
      <w:r>
        <w:br/>
      </w:r>
      <w:r>
        <w:rPr>
          <w:rFonts w:ascii="Times New Roman"/>
          <w:b w:val="false"/>
          <w:i w:val="false"/>
          <w:color w:val="000000"/>
          <w:sz w:val="28"/>
        </w:rPr>
        <w:t>
      Во исполнение Указа Президента Республики Казахстан от 18 февраля 2011 года № 1158 принята новая </w:t>
      </w:r>
      <w:r>
        <w:rPr>
          <w:rFonts w:ascii="Times New Roman"/>
          <w:b w:val="false"/>
          <w:i w:val="false"/>
          <w:color w:val="000000"/>
          <w:sz w:val="28"/>
        </w:rPr>
        <w:t>Программа</w:t>
      </w:r>
      <w:r>
        <w:rPr>
          <w:rFonts w:ascii="Times New Roman"/>
          <w:b w:val="false"/>
          <w:i w:val="false"/>
          <w:color w:val="000000"/>
          <w:sz w:val="28"/>
        </w:rPr>
        <w:t xml:space="preserve"> модернизации жилищно-коммунального хозяйства Республики Казахстан, утвержденная постановлением Правительства Республики Казахстан от 30 апреля 2011 года № 473 (далее – Программа), целью которой являются обеспечение комфортных условий проживания населения и улучшение состояния коммунальной инфраструктуры.</w:t>
      </w:r>
      <w:r>
        <w:br/>
      </w:r>
      <w:r>
        <w:rPr>
          <w:rFonts w:ascii="Times New Roman"/>
          <w:b w:val="false"/>
          <w:i w:val="false"/>
          <w:color w:val="000000"/>
          <w:sz w:val="28"/>
        </w:rPr>
        <w:t>
      Сфера ЖКХ представлена двумя основными взаимосвязанными элементами:</w:t>
      </w:r>
      <w:r>
        <w:br/>
      </w:r>
      <w:r>
        <w:rPr>
          <w:rFonts w:ascii="Times New Roman"/>
          <w:b w:val="false"/>
          <w:i w:val="false"/>
          <w:color w:val="000000"/>
          <w:sz w:val="28"/>
        </w:rPr>
        <w:t>
      1) жилищный сектор, включающий в себя многоквартирные жилые дома (далее – МЖД) и индивидуальные домостроения, являющиеся основными потребителями коммунальных услуг;</w:t>
      </w:r>
      <w:r>
        <w:br/>
      </w:r>
      <w:r>
        <w:rPr>
          <w:rFonts w:ascii="Times New Roman"/>
          <w:b w:val="false"/>
          <w:i w:val="false"/>
          <w:color w:val="000000"/>
          <w:sz w:val="28"/>
        </w:rPr>
        <w:t>
      2) коммунальный сектор, включающий в себя сети и сооружения (системы), обеспечивающие тепло-, газо- и электроснабжение.</w:t>
      </w:r>
      <w:r>
        <w:br/>
      </w:r>
      <w:r>
        <w:rPr>
          <w:rFonts w:ascii="Times New Roman"/>
          <w:b w:val="false"/>
          <w:i w:val="false"/>
          <w:color w:val="000000"/>
          <w:sz w:val="28"/>
        </w:rPr>
        <w:t>
      По данным АС в 2011 году жилищный сектор республики насчитывал 283,9 млн. кв. метров общей площади, из них 273,6 млн. кв. метров или 96,4 % жилья находится в частной собственности.</w:t>
      </w:r>
      <w:r>
        <w:br/>
      </w:r>
      <w:r>
        <w:rPr>
          <w:rFonts w:ascii="Times New Roman"/>
          <w:b w:val="false"/>
          <w:i w:val="false"/>
          <w:color w:val="000000"/>
          <w:sz w:val="28"/>
        </w:rPr>
        <w:t>
      По данным МИО в 2012 году 44,1 млн. кв. метров, или 28 % от жилищного фонда, относящегося к МЖД, требуют проведения отдельных видов ремонта.</w:t>
      </w:r>
      <w:r>
        <w:br/>
      </w:r>
      <w:r>
        <w:rPr>
          <w:rFonts w:ascii="Times New Roman"/>
          <w:b w:val="false"/>
          <w:i w:val="false"/>
          <w:color w:val="000000"/>
          <w:sz w:val="28"/>
        </w:rPr>
        <w:t>
</w:t>
      </w:r>
      <w:r>
        <w:rPr>
          <w:rFonts w:ascii="Times New Roman"/>
          <w:b w:val="false"/>
          <w:i w:val="false"/>
          <w:color w:val="000000"/>
          <w:sz w:val="28"/>
        </w:rPr>
        <w:t>
      Теплоснабжение.</w:t>
      </w:r>
      <w:r>
        <w:br/>
      </w:r>
      <w:r>
        <w:rPr>
          <w:rFonts w:ascii="Times New Roman"/>
          <w:b w:val="false"/>
          <w:i w:val="false"/>
          <w:color w:val="000000"/>
          <w:sz w:val="28"/>
        </w:rPr>
        <w:t>
      По данным АС в 2011 году общая протяженность тепловых сетей в двухтрубном исчислении составляет 12,2 тыс. км. При этом 63% от общей протяженности сетей нуждается в замене и ремонте.</w:t>
      </w:r>
      <w:r>
        <w:br/>
      </w:r>
      <w:r>
        <w:rPr>
          <w:rFonts w:ascii="Times New Roman"/>
          <w:b w:val="false"/>
          <w:i w:val="false"/>
          <w:color w:val="000000"/>
          <w:sz w:val="28"/>
        </w:rPr>
        <w:t>
</w:t>
      </w:r>
      <w:r>
        <w:rPr>
          <w:rFonts w:ascii="Times New Roman"/>
          <w:b w:val="false"/>
          <w:i w:val="false"/>
          <w:color w:val="000000"/>
          <w:sz w:val="28"/>
        </w:rPr>
        <w:t>
      Электроснабжение.</w:t>
      </w:r>
      <w:r>
        <w:br/>
      </w:r>
      <w:r>
        <w:rPr>
          <w:rFonts w:ascii="Times New Roman"/>
          <w:b w:val="false"/>
          <w:i w:val="false"/>
          <w:color w:val="000000"/>
          <w:sz w:val="28"/>
        </w:rPr>
        <w:t>
      Общая протяженность электрических сетей 0,4 кВ по республике 133,6 тыс. км, требуют ремонта – 73 %.</w:t>
      </w:r>
      <w:r>
        <w:br/>
      </w:r>
      <w:r>
        <w:rPr>
          <w:rFonts w:ascii="Times New Roman"/>
          <w:b w:val="false"/>
          <w:i w:val="false"/>
          <w:color w:val="000000"/>
          <w:sz w:val="28"/>
        </w:rPr>
        <w:t>
</w:t>
      </w:r>
      <w:r>
        <w:rPr>
          <w:rFonts w:ascii="Times New Roman"/>
          <w:b w:val="false"/>
          <w:i w:val="false"/>
          <w:color w:val="000000"/>
          <w:sz w:val="28"/>
        </w:rPr>
        <w:t>
      Газоснабжение.</w:t>
      </w:r>
      <w:r>
        <w:br/>
      </w:r>
      <w:r>
        <w:rPr>
          <w:rFonts w:ascii="Times New Roman"/>
          <w:b w:val="false"/>
          <w:i w:val="false"/>
          <w:color w:val="000000"/>
          <w:sz w:val="28"/>
        </w:rPr>
        <w:t>
      Общая протяженность газовых сетей в целом по республике составляет 20,2 тыс. км. При этом 4 % от общей протяженности сетей нуждается в замене и ремонте.</w:t>
      </w:r>
    </w:p>
    <w:bookmarkEnd w:id="9"/>
    <w:p>
      <w:pPr>
        <w:spacing w:after="0"/>
        <w:ind w:left="0"/>
        <w:jc w:val="both"/>
      </w:pPr>
      <w:r>
        <w:drawing>
          <wp:inline distT="0" distB="0" distL="0" distR="0">
            <wp:extent cx="61214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21400" cy="2641600"/>
                    </a:xfrm>
                    <a:prstGeom prst="rect">
                      <a:avLst/>
                    </a:prstGeom>
                  </pic:spPr>
                </pic:pic>
              </a:graphicData>
            </a:graphic>
          </wp:inline>
        </w:drawing>
      </w:r>
    </w:p>
    <w:bookmarkStart w:name="z31" w:id="10"/>
    <w:p>
      <w:pPr>
        <w:spacing w:after="0"/>
        <w:ind w:left="0"/>
        <w:jc w:val="both"/>
      </w:pPr>
      <w:r>
        <w:rPr>
          <w:rFonts w:ascii="Times New Roman"/>
          <w:b w:val="false"/>
          <w:i w:val="false"/>
          <w:color w:val="000000"/>
          <w:sz w:val="28"/>
        </w:rPr>
        <w:t>
      2) Анализ основных проблем</w:t>
      </w:r>
      <w:r>
        <w:br/>
      </w:r>
      <w:r>
        <w:rPr>
          <w:rFonts w:ascii="Times New Roman"/>
          <w:b w:val="false"/>
          <w:i w:val="false"/>
          <w:color w:val="000000"/>
          <w:sz w:val="28"/>
        </w:rPr>
        <w:t>
</w:t>
      </w:r>
      <w:r>
        <w:rPr>
          <w:rFonts w:ascii="Times New Roman"/>
          <w:b w:val="false"/>
          <w:i w:val="false"/>
          <w:color w:val="000000"/>
          <w:sz w:val="28"/>
        </w:rPr>
        <w:t>
      Жилищное строительство:</w:t>
      </w:r>
      <w:r>
        <w:br/>
      </w:r>
      <w:r>
        <w:rPr>
          <w:rFonts w:ascii="Times New Roman"/>
          <w:b w:val="false"/>
          <w:i w:val="false"/>
          <w:color w:val="000000"/>
          <w:sz w:val="28"/>
        </w:rPr>
        <w:t>
      1) опережение и превышение спроса на жилье над предложением;</w:t>
      </w:r>
      <w:r>
        <w:br/>
      </w:r>
      <w:r>
        <w:rPr>
          <w:rFonts w:ascii="Times New Roman"/>
          <w:b w:val="false"/>
          <w:i w:val="false"/>
          <w:color w:val="000000"/>
          <w:sz w:val="28"/>
        </w:rPr>
        <w:t>
      2) несовершенство действующего законодательства в долевом строительстве;</w:t>
      </w:r>
      <w:r>
        <w:br/>
      </w:r>
      <w:r>
        <w:rPr>
          <w:rFonts w:ascii="Times New Roman"/>
          <w:b w:val="false"/>
          <w:i w:val="false"/>
          <w:color w:val="000000"/>
          <w:sz w:val="28"/>
        </w:rPr>
        <w:t>
      3) неэффективное освоение бюджетных средств местными исполнительными органами в жилищном строительстве.</w:t>
      </w:r>
      <w:r>
        <w:br/>
      </w:r>
      <w:r>
        <w:rPr>
          <w:rFonts w:ascii="Times New Roman"/>
          <w:b w:val="false"/>
          <w:i w:val="false"/>
          <w:color w:val="000000"/>
          <w:sz w:val="28"/>
        </w:rPr>
        <w:t>
</w:t>
      </w:r>
      <w:r>
        <w:rPr>
          <w:rFonts w:ascii="Times New Roman"/>
          <w:b w:val="false"/>
          <w:i w:val="false"/>
          <w:color w:val="000000"/>
          <w:sz w:val="28"/>
        </w:rPr>
        <w:t>
      Архитектура, градостроительство и строительная деятельность.</w:t>
      </w:r>
      <w:r>
        <w:br/>
      </w:r>
      <w:r>
        <w:rPr>
          <w:rFonts w:ascii="Times New Roman"/>
          <w:b w:val="false"/>
          <w:i w:val="false"/>
          <w:color w:val="000000"/>
          <w:sz w:val="28"/>
        </w:rPr>
        <w:t>
      Одним из серьезных препятствий на пути интеграции Казахстана в мировое сообщество является устаревшая и неэффективная система технического регулирования строительной отрасли, включающая нормативную базу, систему контроля и надзора, а также оценки соответствия.</w:t>
      </w:r>
      <w:r>
        <w:br/>
      </w:r>
      <w:r>
        <w:rPr>
          <w:rFonts w:ascii="Times New Roman"/>
          <w:b w:val="false"/>
          <w:i w:val="false"/>
          <w:color w:val="000000"/>
          <w:sz w:val="28"/>
        </w:rPr>
        <w:t>
      В связи с чем, необходим кардинальный пересмотр всей системы технического регулирования строительной отрасли Республики Казахстан.</w:t>
      </w:r>
      <w:r>
        <w:br/>
      </w:r>
      <w:r>
        <w:rPr>
          <w:rFonts w:ascii="Times New Roman"/>
          <w:b w:val="false"/>
          <w:i w:val="false"/>
          <w:color w:val="000000"/>
          <w:sz w:val="28"/>
        </w:rPr>
        <w:t>
      Действующая нормативная база сферы ЖКХ разработана в 1970 – 1990-е годы и не соответствует современным условиям эксплуатации и управления объектами коммунальной сферы, а также слабо регулирует правоотношения всех участников рынка коммунальных услуг.</w:t>
      </w:r>
      <w:r>
        <w:br/>
      </w:r>
      <w:r>
        <w:rPr>
          <w:rFonts w:ascii="Times New Roman"/>
          <w:b w:val="false"/>
          <w:i w:val="false"/>
          <w:color w:val="000000"/>
          <w:sz w:val="28"/>
        </w:rPr>
        <w:t xml:space="preserve">
      Сейсмические районы Казахстана по площади занимают порядка </w:t>
      </w:r>
      <w:r>
        <w:br/>
      </w:r>
      <w:r>
        <w:rPr>
          <w:rFonts w:ascii="Times New Roman"/>
          <w:b w:val="false"/>
          <w:i w:val="false"/>
          <w:color w:val="000000"/>
          <w:sz w:val="28"/>
        </w:rPr>
        <w:t>
475 тыс. кв. км, что составляет около 18 % от общей площади территории республики. Численность населения, проживающего в сейсмических районах, достигает примерно 6000 тыс. человек или примерно 38 % от общей численности населения Казахстана.</w:t>
      </w:r>
      <w:r>
        <w:br/>
      </w:r>
      <w:r>
        <w:rPr>
          <w:rFonts w:ascii="Times New Roman"/>
          <w:b w:val="false"/>
          <w:i w:val="false"/>
          <w:color w:val="000000"/>
          <w:sz w:val="28"/>
        </w:rPr>
        <w:t>
      Передача функций лицензиара с республиканского уровня на уровень областей и городов республиканского значения привела к отсутствию единой политики в системе лицензирования. В отдельных регионах через систему лицензирования в строительную отрасль допускаются неквалифицированные и недобросовестные проектные и строительные организации.</w:t>
      </w:r>
      <w:r>
        <w:br/>
      </w:r>
      <w:r>
        <w:rPr>
          <w:rFonts w:ascii="Times New Roman"/>
          <w:b w:val="false"/>
          <w:i w:val="false"/>
          <w:color w:val="000000"/>
          <w:sz w:val="28"/>
        </w:rPr>
        <w:t>
</w:t>
      </w:r>
      <w:r>
        <w:rPr>
          <w:rFonts w:ascii="Times New Roman"/>
          <w:b w:val="false"/>
          <w:i w:val="false"/>
          <w:color w:val="000000"/>
          <w:sz w:val="28"/>
        </w:rPr>
        <w:t>
      Модернизация и развитие ЖКХ.</w:t>
      </w:r>
      <w:r>
        <w:br/>
      </w:r>
      <w:r>
        <w:rPr>
          <w:rFonts w:ascii="Times New Roman"/>
          <w:b w:val="false"/>
          <w:i w:val="false"/>
          <w:color w:val="000000"/>
          <w:sz w:val="28"/>
        </w:rPr>
        <w:t>
</w:t>
      </w:r>
      <w:r>
        <w:rPr>
          <w:rFonts w:ascii="Times New Roman"/>
          <w:b w:val="false"/>
          <w:i w:val="false"/>
          <w:color w:val="000000"/>
          <w:sz w:val="28"/>
        </w:rPr>
        <w:t>
      Проблемы жилищного сектора:</w:t>
      </w:r>
      <w:r>
        <w:br/>
      </w:r>
      <w:r>
        <w:rPr>
          <w:rFonts w:ascii="Times New Roman"/>
          <w:b w:val="false"/>
          <w:i w:val="false"/>
          <w:color w:val="000000"/>
          <w:sz w:val="28"/>
        </w:rPr>
        <w:t>
      1) неразвитая система общественного контроля за управлением объектами кондоминиумов со стороны собственников помещений (квартир);</w:t>
      </w:r>
      <w:r>
        <w:br/>
      </w:r>
      <w:r>
        <w:rPr>
          <w:rFonts w:ascii="Times New Roman"/>
          <w:b w:val="false"/>
          <w:i w:val="false"/>
          <w:color w:val="000000"/>
          <w:sz w:val="28"/>
        </w:rPr>
        <w:t>
      2) низкий уровень собираемости платежей на содержание и капитальный ремонт жилого дома;</w:t>
      </w:r>
      <w:r>
        <w:br/>
      </w:r>
      <w:r>
        <w:rPr>
          <w:rFonts w:ascii="Times New Roman"/>
          <w:b w:val="false"/>
          <w:i w:val="false"/>
          <w:color w:val="000000"/>
          <w:sz w:val="28"/>
        </w:rPr>
        <w:t>
      3) необходимость повсеместного проведения ремонта и повышения эксплуатационных характеристик жилых домов;</w:t>
      </w:r>
      <w:r>
        <w:br/>
      </w:r>
      <w:r>
        <w:rPr>
          <w:rFonts w:ascii="Times New Roman"/>
          <w:b w:val="false"/>
          <w:i w:val="false"/>
          <w:color w:val="000000"/>
          <w:sz w:val="28"/>
        </w:rPr>
        <w:t>
      4) недостаточность разъяснительной работы среди населения по проведению капитального и текущего ремонта МЖД;</w:t>
      </w:r>
      <w:r>
        <w:br/>
      </w:r>
      <w:r>
        <w:rPr>
          <w:rFonts w:ascii="Times New Roman"/>
          <w:b w:val="false"/>
          <w:i w:val="false"/>
          <w:color w:val="000000"/>
          <w:sz w:val="28"/>
        </w:rPr>
        <w:t>
      5) слабая практика накопления денежных средств на капитальный ремонт общего имущества.</w:t>
      </w:r>
      <w:r>
        <w:br/>
      </w:r>
      <w:r>
        <w:rPr>
          <w:rFonts w:ascii="Times New Roman"/>
          <w:b w:val="false"/>
          <w:i w:val="false"/>
          <w:color w:val="000000"/>
          <w:sz w:val="28"/>
        </w:rPr>
        <w:t>
</w:t>
      </w:r>
      <w:r>
        <w:rPr>
          <w:rFonts w:ascii="Times New Roman"/>
          <w:b w:val="false"/>
          <w:i w:val="false"/>
          <w:color w:val="000000"/>
          <w:sz w:val="28"/>
        </w:rPr>
        <w:t>
      Основные проблемы коммунальной инфраструктуры:</w:t>
      </w:r>
      <w:r>
        <w:br/>
      </w:r>
      <w:r>
        <w:rPr>
          <w:rFonts w:ascii="Times New Roman"/>
          <w:b w:val="false"/>
          <w:i w:val="false"/>
          <w:color w:val="000000"/>
          <w:sz w:val="28"/>
        </w:rPr>
        <w:t>
      1) неудовлетворительное состояние водопроводных сетей (исходя из нормативного срока эксплуатации в 25 лет в рабочем состоянии находятся 36 % сетей водоснабжения, а 64 % требуют капитального ремонта или их полной замены;</w:t>
      </w:r>
      <w:r>
        <w:br/>
      </w:r>
      <w:r>
        <w:rPr>
          <w:rFonts w:ascii="Times New Roman"/>
          <w:b w:val="false"/>
          <w:i w:val="false"/>
          <w:color w:val="000000"/>
          <w:sz w:val="28"/>
        </w:rPr>
        <w:t>
      2) высокий уровень аварийности сетей водоотведения;</w:t>
      </w:r>
      <w:r>
        <w:br/>
      </w:r>
      <w:r>
        <w:rPr>
          <w:rFonts w:ascii="Times New Roman"/>
          <w:b w:val="false"/>
          <w:i w:val="false"/>
          <w:color w:val="000000"/>
          <w:sz w:val="28"/>
        </w:rPr>
        <w:t>
      3) низкая численность сельского населения, пользующихся питьевой водой;</w:t>
      </w:r>
      <w:r>
        <w:br/>
      </w:r>
      <w:r>
        <w:rPr>
          <w:rFonts w:ascii="Times New Roman"/>
          <w:b w:val="false"/>
          <w:i w:val="false"/>
          <w:color w:val="000000"/>
          <w:sz w:val="28"/>
        </w:rPr>
        <w:t>
      4) высокий уровень износа инженерных сетей и сооружений;</w:t>
      </w:r>
      <w:r>
        <w:br/>
      </w:r>
      <w:r>
        <w:rPr>
          <w:rFonts w:ascii="Times New Roman"/>
          <w:b w:val="false"/>
          <w:i w:val="false"/>
          <w:color w:val="000000"/>
          <w:sz w:val="28"/>
        </w:rPr>
        <w:t>
      5) низкий уровень обеспеченности приборами учета потребления ресурсов;</w:t>
      </w:r>
      <w:r>
        <w:br/>
      </w:r>
      <w:r>
        <w:rPr>
          <w:rFonts w:ascii="Times New Roman"/>
          <w:b w:val="false"/>
          <w:i w:val="false"/>
          <w:color w:val="000000"/>
          <w:sz w:val="28"/>
        </w:rPr>
        <w:t>
      6) технологическая отсталость отрасли, в том числе слабая практика применения инновационных энерго- и ресурсосберегающих технологий и мероприятий;</w:t>
      </w:r>
      <w:r>
        <w:br/>
      </w:r>
      <w:r>
        <w:rPr>
          <w:rFonts w:ascii="Times New Roman"/>
          <w:b w:val="false"/>
          <w:i w:val="false"/>
          <w:color w:val="000000"/>
          <w:sz w:val="28"/>
        </w:rPr>
        <w:t>
      7) недостаточные объемы финансирования проектов по реконструкции сетей и сооружений из внебюджетных источников.</w:t>
      </w:r>
      <w:r>
        <w:br/>
      </w:r>
      <w:r>
        <w:rPr>
          <w:rFonts w:ascii="Times New Roman"/>
          <w:b w:val="false"/>
          <w:i w:val="false"/>
          <w:color w:val="000000"/>
          <w:sz w:val="28"/>
        </w:rPr>
        <w:t>
      Срок эксплуатации некоторых существующих электрических сетей превышает 40 лет. Высокий уровень износа увеличивает потери электроэнергии при передаче.</w:t>
      </w:r>
      <w:r>
        <w:br/>
      </w:r>
      <w:r>
        <w:rPr>
          <w:rFonts w:ascii="Times New Roman"/>
          <w:b w:val="false"/>
          <w:i w:val="false"/>
          <w:color w:val="000000"/>
          <w:sz w:val="28"/>
        </w:rPr>
        <w:t>
      Помимо износа основных фондов, сверхнормативные потери связаны и с коммерческими потерями, обусловленными неэффективным учетом.</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Жилищное строительство.</w:t>
      </w:r>
      <w:r>
        <w:br/>
      </w:r>
      <w:r>
        <w:rPr>
          <w:rFonts w:ascii="Times New Roman"/>
          <w:b w:val="false"/>
          <w:i w:val="false"/>
          <w:color w:val="000000"/>
          <w:sz w:val="28"/>
        </w:rPr>
        <w:t>
      Внешними факторами, оказывающими влияние на строительную отрасль, может являться повторение мирового финансового кризиса, следствием чего будет являться снижение инвестиций в строительство. Кроме того, повышение на мировом рынке цен на строительные материалы приведет к удорожанию жилищного строительства.</w:t>
      </w:r>
      <w:r>
        <w:br/>
      </w:r>
      <w:r>
        <w:rPr>
          <w:rFonts w:ascii="Times New Roman"/>
          <w:b w:val="false"/>
          <w:i w:val="false"/>
          <w:color w:val="000000"/>
          <w:sz w:val="28"/>
        </w:rPr>
        <w:t>
      Внутренними факторами, оказывающими влияние на развитие жилищного строительства, будут являться соблюдение своих обязательств подрядными организациями и своевременное выделение финансовых средств из бюджета на строительство жилых объектов.</w:t>
      </w:r>
      <w:r>
        <w:br/>
      </w:r>
      <w:r>
        <w:rPr>
          <w:rFonts w:ascii="Times New Roman"/>
          <w:b w:val="false"/>
          <w:i w:val="false"/>
          <w:color w:val="000000"/>
          <w:sz w:val="28"/>
        </w:rPr>
        <w:t>
</w:t>
      </w:r>
      <w:r>
        <w:rPr>
          <w:rFonts w:ascii="Times New Roman"/>
          <w:b w:val="false"/>
          <w:i w:val="false"/>
          <w:color w:val="000000"/>
          <w:sz w:val="28"/>
        </w:rPr>
        <w:t>
      Архитектура, градостроительство и строительная деятельность.</w:t>
      </w:r>
      <w:r>
        <w:br/>
      </w:r>
      <w:r>
        <w:rPr>
          <w:rFonts w:ascii="Times New Roman"/>
          <w:b w:val="false"/>
          <w:i w:val="false"/>
          <w:color w:val="000000"/>
          <w:sz w:val="28"/>
        </w:rPr>
        <w:t>
      Основными внешними факторами, оказывающими влияние на технический уровень нормативной базы в сфере архитектуры, градостроительства, строительства и жилищно-коммунального хозяйства, является развитие науки, техники и технологий, которое обуславливает появление новых строительных материалов и изделий, методов и технологий строительного производства и передовых проектных решений.</w:t>
      </w:r>
      <w:r>
        <w:br/>
      </w:r>
      <w:r>
        <w:rPr>
          <w:rFonts w:ascii="Times New Roman"/>
          <w:b w:val="false"/>
          <w:i w:val="false"/>
          <w:color w:val="000000"/>
          <w:sz w:val="28"/>
        </w:rPr>
        <w:t>
      Внутренними факторами, оказывающими влияние на технический уровень нормативной базы в сфере архитектуры, градостроительства, строительства и жилищно-коммунального хозяйства, являются социально-экономическое развитие страны, фундаментальные и прикладные исследования в области архитектуры, градостроительства, строительства и ЖКХ, которые являются источником наукоемких технологий, позволяющих создавать комфортную и безопасную среду жизнедеятельности человека.</w:t>
      </w:r>
      <w:r>
        <w:br/>
      </w:r>
      <w:r>
        <w:rPr>
          <w:rFonts w:ascii="Times New Roman"/>
          <w:b w:val="false"/>
          <w:i w:val="false"/>
          <w:color w:val="000000"/>
          <w:sz w:val="28"/>
        </w:rPr>
        <w:t>
</w:t>
      </w:r>
      <w:r>
        <w:rPr>
          <w:rFonts w:ascii="Times New Roman"/>
          <w:b w:val="false"/>
          <w:i w:val="false"/>
          <w:color w:val="000000"/>
          <w:sz w:val="28"/>
        </w:rPr>
        <w:t>
      Модернизация и развитие ЖКХ.</w:t>
      </w:r>
      <w:r>
        <w:br/>
      </w:r>
      <w:r>
        <w:rPr>
          <w:rFonts w:ascii="Times New Roman"/>
          <w:b w:val="false"/>
          <w:i w:val="false"/>
          <w:color w:val="000000"/>
          <w:sz w:val="28"/>
        </w:rPr>
        <w:t>
      Внутренними факторами, оказывающими влияние на развитие жилищно-коммунального хозяйства, могут стать решение 2/3 владельцев квартир для проведения ремонта МЖД, обязательное утверждение на общем собрании сметы затрат на ремонт, размера расходов на каждую квартиру, размера ежемесячных накоплений, выбора подрядной организации, обеспечение возвратности денежных средств при ремонте многоквартирных жилых домов, а также риск недополучения заявленных средств по ранее начатым инвестиционным проектам по водоснабжению и тепло-, газо- и электроснабжению, продление сроков строительно-монтажных работ.</w:t>
      </w:r>
      <w:r>
        <w:br/>
      </w:r>
      <w:r>
        <w:rPr>
          <w:rFonts w:ascii="Times New Roman"/>
          <w:b w:val="false"/>
          <w:i w:val="false"/>
          <w:color w:val="000000"/>
          <w:sz w:val="28"/>
        </w:rPr>
        <w:t>
</w:t>
      </w:r>
      <w:r>
        <w:rPr>
          <w:rFonts w:ascii="Times New Roman"/>
          <w:b w:val="false"/>
          <w:i w:val="false"/>
          <w:color w:val="000000"/>
          <w:sz w:val="28"/>
        </w:rPr>
        <w:t>
      3. Стратегическое направление 3. Использование земельных ресурсов и развитие отрасли геодезии и картографии.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 регулируемой отрасли состояния рационального использования земель и геодезии и картографии.</w:t>
      </w:r>
      <w:r>
        <w:br/>
      </w:r>
      <w:r>
        <w:rPr>
          <w:rFonts w:ascii="Times New Roman"/>
          <w:b w:val="false"/>
          <w:i w:val="false"/>
          <w:color w:val="000000"/>
          <w:sz w:val="28"/>
        </w:rPr>
        <w:t>
      Территория Республики Казахстан составляет 272,5 млн. га и в соответствии с целевым назначением подразделяется на категории: земли сельскохозяйственного назначения – 93,4 млн. га (34,3 % от земельного фонда республики); населенных пунктов – 23,8 млн. га (8,7 %); промышленности, транспорта, связи, для нужд космической деятельности, обороны, национальной безопасности и иного несельскохозяйственного назначения – 13,9 млн. га (5,1 %, в том числе 11,3 млн. га земли испытательных полигонов и космодрома Байконур, используемых Российской Федерацией на территории Казахстана на условиях аренды); особо охраняемых природных территорий, земли оздоровительного, рекреационного и историко-культурного назначения – 5,8 млн. га (2,1 %); лесного фонда – 23 млн. га (8,5 %); водного фонда – 4,1 млн. га (1,5 %) и запаса – 108,4 млн. га (39,8 %). В систему административно-территориального устройства республики входят 14 областей, 2 города республиканского значения, 161 административного района, 223 городов и поселков, а также 6936 СНП (по состоянию на 1.01.2013 г.).</w:t>
      </w:r>
      <w:r>
        <w:br/>
      </w:r>
      <w:r>
        <w:rPr>
          <w:rFonts w:ascii="Times New Roman"/>
          <w:b w:val="false"/>
          <w:i w:val="false"/>
          <w:color w:val="000000"/>
          <w:sz w:val="28"/>
        </w:rPr>
        <w:t xml:space="preserve">
      Протяженность сухопутной Государственной границы Казахстана составляет 13,4 тыс. км, в том числе: с Российской Федерацией – </w:t>
      </w:r>
      <w:r>
        <w:br/>
      </w:r>
      <w:r>
        <w:rPr>
          <w:rFonts w:ascii="Times New Roman"/>
          <w:b w:val="false"/>
          <w:i w:val="false"/>
          <w:color w:val="000000"/>
          <w:sz w:val="28"/>
        </w:rPr>
        <w:t>
7548 км, Республикой Узбекистан – 2351 км, Китайской Народной Республикой – 1783 км, Кыргызской Республикой – 1242 км, Республикой Туркменистан – 459 км.</w:t>
      </w:r>
      <w:r>
        <w:br/>
      </w:r>
      <w:r>
        <w:rPr>
          <w:rFonts w:ascii="Times New Roman"/>
          <w:b w:val="false"/>
          <w:i w:val="false"/>
          <w:color w:val="000000"/>
          <w:sz w:val="28"/>
        </w:rPr>
        <w:t>
      Рациональное использование земельных ресурсов имеет большое значение в экономике сельского хозяйства и страны в целом. В сельском хозяйстве получение продукции связано с качественным состоянием земли, с характером и условиями ее использования.</w:t>
      </w:r>
      <w:r>
        <w:br/>
      </w:r>
      <w:r>
        <w:rPr>
          <w:rFonts w:ascii="Times New Roman"/>
          <w:b w:val="false"/>
          <w:i w:val="false"/>
          <w:color w:val="000000"/>
          <w:sz w:val="28"/>
        </w:rPr>
        <w:t>
      За последние пять лет (2006 – 2012 годы) площади земель сельскохозяйственного использования увеличены на 11,5 млн. га и в настоящее время достигла 93,4 млн. га, в том числе пашни 24,2 млн. га, из них орошаемой 1,4 млн. га, многолетние насаждения – 70,4 тыс. га, залежь – 2,6 млн. га, сенокосы – 2 млн.га, пастбища – 61,1 млн.га, несельскохозяйственные угодья – 3,3 млн.га.</w:t>
      </w:r>
      <w:r>
        <w:br/>
      </w:r>
      <w:r>
        <w:rPr>
          <w:rFonts w:ascii="Times New Roman"/>
          <w:b w:val="false"/>
          <w:i w:val="false"/>
          <w:color w:val="000000"/>
          <w:sz w:val="28"/>
        </w:rPr>
        <w:t>
      С целью автоматизации процессов ведения государственного земельного кадастра в республике создана единая автоматизированная информационная система государственного земельного кадастра (далее – АИС ГЗК). Формирование баз данных АИС ГЗК осуществляется на трех уровнях управления: республиканский, областной и районный уровни.</w:t>
      </w:r>
      <w:r>
        <w:br/>
      </w:r>
      <w:r>
        <w:rPr>
          <w:rFonts w:ascii="Times New Roman"/>
          <w:b w:val="false"/>
          <w:i w:val="false"/>
          <w:color w:val="000000"/>
          <w:sz w:val="28"/>
        </w:rPr>
        <w:t>
      Результатом реализации проекта создания АИС ГЗК является – ежедневные передачи данных ГЗК из областных центров в Республиканский и передачи этих данных во все заинтересованные государственные органы, учреждения, физическим и юридическим лицам.</w:t>
      </w:r>
      <w:r>
        <w:br/>
      </w:r>
      <w:r>
        <w:rPr>
          <w:rFonts w:ascii="Times New Roman"/>
          <w:b w:val="false"/>
          <w:i w:val="false"/>
          <w:color w:val="000000"/>
          <w:sz w:val="28"/>
        </w:rPr>
        <w:t>
      В настоящее время в республиканской базе данных АИС ГЗК имеется свыше 4,4 млн. сведений по действующим земельным правоотношениям и 1,9 млн. – по аннулированным (историческим сведениям). Реализован механизм централизованного предоставления информации из республиканской базы АИС ГЗК в информационные системы и государственные базы данных «Электронного правительства», в т.ч. информационную систему Налогового комитета «Реестр налогоплательщиков и объектов налогообложения» передано 4,4 млн. сведений.</w:t>
      </w:r>
      <w:r>
        <w:br/>
      </w:r>
      <w:r>
        <w:rPr>
          <w:rFonts w:ascii="Times New Roman"/>
          <w:b w:val="false"/>
          <w:i w:val="false"/>
          <w:color w:val="000000"/>
          <w:sz w:val="28"/>
        </w:rPr>
        <w:t>
      Открыт доступ к республиканской базе данных АИС ГЗК через интернет–сайт www.aisgzk.kz 610 пользователям государственных органов и учреждении.</w:t>
      </w:r>
      <w:r>
        <w:br/>
      </w:r>
      <w:r>
        <w:rPr>
          <w:rFonts w:ascii="Times New Roman"/>
          <w:b w:val="false"/>
          <w:i w:val="false"/>
          <w:color w:val="000000"/>
          <w:sz w:val="28"/>
        </w:rPr>
        <w:t>
      Данные АИС ГЗК являются общегосударственным информационным ресурсом, и они востребованы как составная часть «электронного правительства» при оказании государственных услуг, оптимизации и автоматизации бизнес-процессов. В 2013 – 2016 годах совместно с местными исполнительными органами планируется реализовать в электронном виде государственную услугу по оформлению права на земельные участки.</w:t>
      </w:r>
      <w:r>
        <w:br/>
      </w:r>
      <w:r>
        <w:rPr>
          <w:rFonts w:ascii="Times New Roman"/>
          <w:b w:val="false"/>
          <w:i w:val="false"/>
          <w:color w:val="000000"/>
          <w:sz w:val="28"/>
        </w:rPr>
        <w:t>
      Во многих отраслях экономики, обороны республики немаловажной составляющей является информация о местности, в связи с чем, наблюдается растущий спрос на качественные услуги на геодезическую и картографическую продукцию, нередко эта продукция является юридическим документом. По данным Организации Объединенных Наций, доля пространственной информации в системах поддержки принятия управленческих решений составляет до 80 % от общего объема информации этих систем.</w:t>
      </w:r>
      <w:r>
        <w:br/>
      </w:r>
      <w:r>
        <w:rPr>
          <w:rFonts w:ascii="Times New Roman"/>
          <w:b w:val="false"/>
          <w:i w:val="false"/>
          <w:color w:val="000000"/>
          <w:sz w:val="28"/>
        </w:rPr>
        <w:t>
      Особую озабоченность вызывает состояние топографической обеспеченности территории Республики Казахстан, 80% карт не соответствует современному состоянию местности и топонимике. Государственные топографические карты «стареют» быстрее, чем обновляются, что может привести к значительным убыткам в экономике, а в районах боевых действий и чрезвычайных ситуаций – и к невосполнимым потерям.</w:t>
      </w:r>
      <w:r>
        <w:br/>
      </w:r>
      <w:r>
        <w:rPr>
          <w:rFonts w:ascii="Times New Roman"/>
          <w:b w:val="false"/>
          <w:i w:val="false"/>
          <w:color w:val="000000"/>
          <w:sz w:val="28"/>
        </w:rPr>
        <w:t>
      С увеличением бюджетного финансирования выполнена аэросъемка 27 % от общей площади республики, обследовано 20 % от общего количества пунктов государственной геодезической сети, пронивелировано 10 % от общей протяженности нивелирной сети, обновлено 18 % от общего количества листов государственных топографических карт и планов всего масштабного ряда.</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Одним из основных направлений реализации </w:t>
      </w:r>
      <w:r>
        <w:rPr>
          <w:rFonts w:ascii="Times New Roman"/>
          <w:b w:val="false"/>
          <w:i w:val="false"/>
          <w:color w:val="000000"/>
          <w:sz w:val="28"/>
        </w:rPr>
        <w:t>Земельного кодекса</w:t>
      </w:r>
      <w:r>
        <w:rPr>
          <w:rFonts w:ascii="Times New Roman"/>
          <w:b w:val="false"/>
          <w:i w:val="false"/>
          <w:color w:val="000000"/>
          <w:sz w:val="28"/>
        </w:rPr>
        <w:t xml:space="preserve"> Республики Казахстан является обеспечение рационального использования и охраны земельных ресурсов через формирование высокопродуктивного, экологически ориентированного и адаптированного землепользования, совершенствование землеустройства, экономических механизмов управления земельными ресурсами, контроль за соблюдением земельного законодательства.</w:t>
      </w:r>
      <w:r>
        <w:br/>
      </w:r>
      <w:r>
        <w:rPr>
          <w:rFonts w:ascii="Times New Roman"/>
          <w:b w:val="false"/>
          <w:i w:val="false"/>
          <w:color w:val="000000"/>
          <w:sz w:val="28"/>
        </w:rPr>
        <w:t>
      Наличие информации о качественном состоянии земельных ресурсов (материалы почвенных, бонитировочных и геоботанических изысканий) влияет на достижения поставленных задач по рациональному использованию земельных ресурсов направленных на увеличение объемов производства сельскохозяйственной продукции, повышения культуры земледелия, вовлечения в оборот новых и ныне неиспользуемых орошаемых земель влияет.</w:t>
      </w:r>
      <w:r>
        <w:br/>
      </w:r>
      <w:r>
        <w:rPr>
          <w:rFonts w:ascii="Times New Roman"/>
          <w:b w:val="false"/>
          <w:i w:val="false"/>
          <w:color w:val="000000"/>
          <w:sz w:val="28"/>
        </w:rPr>
        <w:t>
      В настоящее время в республике имеются материалы почвенных изысканий различных периодов обследования на площади 185,2 млн. га, что составляет 85,8% всех сельскохозяйственных угодий.</w:t>
      </w:r>
      <w:r>
        <w:br/>
      </w:r>
      <w:r>
        <w:rPr>
          <w:rFonts w:ascii="Times New Roman"/>
          <w:b w:val="false"/>
          <w:i w:val="false"/>
          <w:color w:val="000000"/>
          <w:sz w:val="28"/>
        </w:rPr>
        <w:t>
      Основные объемы почвенных изысканий были выполнены в период до 1990 года – 146 млн.га (80%) обследуемой площади, которые устарели и требуют переобследования. За период с 1990 по 2000 годы площадь почвенных изысканий составила 24, 2 млн.га, (по 2,4 млн.га ежегодно), с 2000 по 2010 годы произошло уменьшение площадей до 12,8 млн.га, в 2011 году их объемы составили 2,2 млн.га.</w:t>
      </w:r>
      <w:r>
        <w:br/>
      </w:r>
      <w:r>
        <w:rPr>
          <w:rFonts w:ascii="Times New Roman"/>
          <w:b w:val="false"/>
          <w:i w:val="false"/>
          <w:color w:val="000000"/>
          <w:sz w:val="28"/>
        </w:rPr>
        <w:t>
      В условиях продолжающего опустынивания и усиления деградации земель необходимо иметь достоверную информационную базу о сенокосах и пастбищах, их состоянии и кормоемкости, происходящих изменениях в связи с возрастающими антропогенными нагрузками, поддерживать ее в надлежащем состоянии. Это требуется в первую очередь на землях сельскохозяйственного назначения, с выявлением проектов с экологически безопасным размещением производства, внедрением почвозащитных мероприятий, созданием комплекса мероприятий по экономическому стимулированию собственников и землепользователей, направленному на обеспечение рационального использования земель и их охраны.</w:t>
      </w:r>
      <w:r>
        <w:br/>
      </w:r>
      <w:r>
        <w:rPr>
          <w:rFonts w:ascii="Times New Roman"/>
          <w:b w:val="false"/>
          <w:i w:val="false"/>
          <w:color w:val="000000"/>
          <w:sz w:val="28"/>
        </w:rPr>
        <w:t>
      На основании материалов геоботанического обследования (изучение растительного покрова) выполненного, в основном путем наземной съемки в различные годы, составлены геоботанические и экологические карты на площади 165 млн. га кормовых угодий или 88,3 % от общей их площади (без земель используемых другими государствами). Большая часть геоботанических материалов – 123,3 млн. га или 74,8% подготовлена в период до 1990 года. Периодичность и сроки обновления материалов не выдерживаются. (на 165 млн.га кормовых угодий ежегодное геоботаническое обследование составляет всего 0,85 млн.га).</w:t>
      </w:r>
      <w:r>
        <w:br/>
      </w:r>
      <w:r>
        <w:rPr>
          <w:rFonts w:ascii="Times New Roman"/>
          <w:b w:val="false"/>
          <w:i w:val="false"/>
          <w:color w:val="000000"/>
          <w:sz w:val="28"/>
        </w:rPr>
        <w:t xml:space="preserve">
      В условиях рыночной экономики существенно возрастает интерес участников экономического процесса к объективной и достоверной информации о перспективах развития рынка земли в целом. В связи с этим, целесообразно проведение комплексного анализа всех сведений, формирующих ГЗК. Эффективное ведение земельного кадастра на современном этапе невозможно без применения компьютерной технологии. С этой целью, создание и развитие АИС ГЗК направлено на </w:t>
      </w:r>
      <w:r>
        <w:br/>
      </w:r>
      <w:r>
        <w:rPr>
          <w:rFonts w:ascii="Times New Roman"/>
          <w:b w:val="false"/>
          <w:i w:val="false"/>
          <w:color w:val="000000"/>
          <w:sz w:val="28"/>
        </w:rPr>
        <w:t>
формирование информационной инфраструктуры, обеспечивающей интересы государства, отраслей экономики и населения страны информацией о земле (недвижимого имущества), защищающей права собственников земельных участков и землепользователей, а также поддерживающей функционирование рынка земли и недвижимости. В настоящее время завершено создание АИС ГЗК (28 ноября 2012 года система сдана в промышленную эксплуатацию) с земельно-информационным банком данных на всех уровнях, обеспечивающий поддержание учетной и оценочной частей государственного земельного кадастра. Для дальнейшего совершенствования и модернизации информационной системы Комитета в рамках «электронного правительства» необходима реализация мероприятий по системному и техническому обслуживанию АИС ГЗК, включая телекоммуникационные услуги для эксплуатации АИС ГЗК, техническую поддержку лицензионных программных продуктов и сопровождение разработанных подсистем АИС ГЗК, локально-вычислительных сетей и баз данных АИС ГЗК.</w:t>
      </w:r>
      <w:r>
        <w:br/>
      </w:r>
      <w:r>
        <w:rPr>
          <w:rFonts w:ascii="Times New Roman"/>
          <w:b w:val="false"/>
          <w:i w:val="false"/>
          <w:color w:val="000000"/>
          <w:sz w:val="28"/>
        </w:rPr>
        <w:t>
      В отрасли геодезии и картографии наметились позитивные предпосылки, вместе с тем к главным нерешенным проблемам можно отнести следующее:</w:t>
      </w:r>
      <w:r>
        <w:br/>
      </w:r>
      <w:r>
        <w:rPr>
          <w:rFonts w:ascii="Times New Roman"/>
          <w:b w:val="false"/>
          <w:i w:val="false"/>
          <w:color w:val="000000"/>
          <w:sz w:val="28"/>
        </w:rPr>
        <w:t>
      государственная геодезическая сеть, являющаяся основой для картографирования, частично утрачена, и в итоге не в полной мере отвечает предъявляемым к ней требованиям;</w:t>
      </w:r>
      <w:r>
        <w:br/>
      </w:r>
      <w:r>
        <w:rPr>
          <w:rFonts w:ascii="Times New Roman"/>
          <w:b w:val="false"/>
          <w:i w:val="false"/>
          <w:color w:val="000000"/>
          <w:sz w:val="28"/>
        </w:rPr>
        <w:t>
      особую озабоченность вызывает состояние топографической и картографической обеспеченности территории Республики Казахстан, степень современности карт составляет 10 – 20 лет;</w:t>
      </w:r>
      <w:r>
        <w:br/>
      </w:r>
      <w:r>
        <w:rPr>
          <w:rFonts w:ascii="Times New Roman"/>
          <w:b w:val="false"/>
          <w:i w:val="false"/>
          <w:color w:val="000000"/>
          <w:sz w:val="28"/>
        </w:rPr>
        <w:t>
      не полный охват всей сейсмоактивной территории и прикаспийского региона Казахстана высокоточными геодезическими измерениями;</w:t>
      </w:r>
      <w:r>
        <w:br/>
      </w:r>
      <w:r>
        <w:rPr>
          <w:rFonts w:ascii="Times New Roman"/>
          <w:b w:val="false"/>
          <w:i w:val="false"/>
          <w:color w:val="000000"/>
          <w:sz w:val="28"/>
        </w:rPr>
        <w:t>
      отсутствие должного притока молодых специалистов, качество подготовки и переподготовки специалистов не соответствует современным требованиям техники и технологии;</w:t>
      </w:r>
      <w:r>
        <w:br/>
      </w:r>
      <w:r>
        <w:rPr>
          <w:rFonts w:ascii="Times New Roman"/>
          <w:b w:val="false"/>
          <w:i w:val="false"/>
          <w:color w:val="000000"/>
          <w:sz w:val="28"/>
        </w:rPr>
        <w:t>
      защита рынка от недостоверной геодезической и картографической продукции, использование которой может нанести ущерб государству и потребителям.</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Внешние факторы.</w:t>
      </w:r>
      <w:r>
        <w:br/>
      </w:r>
      <w:r>
        <w:rPr>
          <w:rFonts w:ascii="Times New Roman"/>
          <w:b w:val="false"/>
          <w:i w:val="false"/>
          <w:color w:val="000000"/>
          <w:sz w:val="28"/>
        </w:rPr>
        <w:t>
      На достижение целевых индикаторов в области управления земельными ресурсами влияют в основном уровень деятельности местных исполнительных органов, в компетенцию которых входит в целом регулирование земельных отношений и лиц, осуществляющих землеустроительную деятельность.</w:t>
      </w:r>
      <w:r>
        <w:br/>
      </w:r>
      <w:r>
        <w:rPr>
          <w:rFonts w:ascii="Times New Roman"/>
          <w:b w:val="false"/>
          <w:i w:val="false"/>
          <w:color w:val="000000"/>
          <w:sz w:val="28"/>
        </w:rPr>
        <w:t>
      Установление оснований, условий и пределов возникновения, изменения и прекращения права собственности на земельный участок и права землепользования,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создание и развитие рынка недвижимости, укрепление законности в области земельных отношений являются основными направлениями земельного законодательства, которые реализовываются на основе землеустроительной деятельности.</w:t>
      </w:r>
      <w:r>
        <w:br/>
      </w:r>
      <w:r>
        <w:rPr>
          <w:rFonts w:ascii="Times New Roman"/>
          <w:b w:val="false"/>
          <w:i w:val="false"/>
          <w:color w:val="000000"/>
          <w:sz w:val="28"/>
        </w:rPr>
        <w:t>
      Согласно земельному законодательству проведение землеустройства осуществляется физическими и юридическими лицами Республики Казахстан.</w:t>
      </w:r>
      <w:r>
        <w:br/>
      </w:r>
      <w:r>
        <w:rPr>
          <w:rFonts w:ascii="Times New Roman"/>
          <w:b w:val="false"/>
          <w:i w:val="false"/>
          <w:color w:val="000000"/>
          <w:sz w:val="28"/>
        </w:rPr>
        <w:t>
      Именно качество работ по землеустройству, напрямую влияет на ведение государственного земельного кадастра, формирование сведений о количественном и качественном состоянии земельных ресурсов, повышение уровня информационного обеспечения, перевод его на автоматизированные технологии, оценку земель для целей функционирования рынка земли и налогообложения, изучение земельных ресурсов, разработку проектов улучшение качественного состояния земель за счет реализации мероприятий по сохранению и восстановлению почв и вовлечение в хозяйственный оборот площадей пахотно пригодных и неиспользуемых земель.</w:t>
      </w:r>
      <w:r>
        <w:br/>
      </w:r>
      <w:r>
        <w:rPr>
          <w:rFonts w:ascii="Times New Roman"/>
          <w:b w:val="false"/>
          <w:i w:val="false"/>
          <w:color w:val="000000"/>
          <w:sz w:val="28"/>
        </w:rPr>
        <w:t>
      Смешение землеустроительных работ в сторону обеспечения ведения государственного земельного кадастра учитывая возрастающий интерес государственных органов и учреждений, граждан создает условия для реализации основных видов работ по постановке на государственный кадастровый учет земельных участков всех форм собственности, создание базы данных об объектах кадастрового учета – Единого государственного реестра земель; создание системы электронного обмена сведениями с другими информационными системами и государственными базами данных; предоставление информации кадастра заинтересованным госорганам, учреждениям и населению через посредством автоматизированной системы государственного земельного кадастра.</w:t>
      </w:r>
      <w:r>
        <w:br/>
      </w:r>
      <w:r>
        <w:rPr>
          <w:rFonts w:ascii="Times New Roman"/>
          <w:b w:val="false"/>
          <w:i w:val="false"/>
          <w:color w:val="000000"/>
          <w:sz w:val="28"/>
        </w:rPr>
        <w:t>
</w:t>
      </w:r>
      <w:r>
        <w:rPr>
          <w:rFonts w:ascii="Times New Roman"/>
          <w:b w:val="false"/>
          <w:i w:val="false"/>
          <w:color w:val="000000"/>
          <w:sz w:val="28"/>
        </w:rPr>
        <w:t>
      Внутренние факторы.</w:t>
      </w:r>
      <w:r>
        <w:br/>
      </w:r>
      <w:r>
        <w:rPr>
          <w:rFonts w:ascii="Times New Roman"/>
          <w:b w:val="false"/>
          <w:i w:val="false"/>
          <w:color w:val="000000"/>
          <w:sz w:val="28"/>
        </w:rPr>
        <w:t>
      Качественное и количественное состояние земельных ресурсов определяется на основании почвенных, геоботанических работ, бонитировки почв, работ по мониторингу земель и т.д.</w:t>
      </w:r>
      <w:r>
        <w:br/>
      </w:r>
      <w:r>
        <w:rPr>
          <w:rFonts w:ascii="Times New Roman"/>
          <w:b w:val="false"/>
          <w:i w:val="false"/>
          <w:color w:val="000000"/>
          <w:sz w:val="28"/>
        </w:rPr>
        <w:t>
      Осуществление указанных работ в основном проводятся специализированными предприятиями, ведущими земельный кадастр, и составляет основу системы государственного земельного кадастра и обеспечивает его ведение.</w:t>
      </w:r>
      <w:r>
        <w:br/>
      </w:r>
      <w:r>
        <w:rPr>
          <w:rFonts w:ascii="Times New Roman"/>
          <w:b w:val="false"/>
          <w:i w:val="false"/>
          <w:color w:val="000000"/>
          <w:sz w:val="28"/>
        </w:rPr>
        <w:t>
      Достижение запланированных объемов изысканий позволит приблизиться к соблюдению сроков установленной периодичности обследования и обеспечить доброкачественной продукцией потребности народного хозяйства республики.</w:t>
      </w:r>
      <w:r>
        <w:br/>
      </w:r>
      <w:r>
        <w:rPr>
          <w:rFonts w:ascii="Times New Roman"/>
          <w:b w:val="false"/>
          <w:i w:val="false"/>
          <w:color w:val="000000"/>
          <w:sz w:val="28"/>
        </w:rPr>
        <w:t>
      На эффективное ведение земельного кадастра на современном этапе влияет применения новейшей компьютерной техники и информационно-коммуникационных технологий, которые обеспечат комплексную автоматизации процессов ведения государственного земельного кадастра и управление земельными ресурсами, автоматизацию предоставления земельно-кадастровых услуг физическим и юридическим лицам, а также дальнейшего развития электронных услуг, оказываемых населению в рамках «Электронного правительства».</w:t>
      </w:r>
      <w:r>
        <w:br/>
      </w:r>
      <w:r>
        <w:rPr>
          <w:rFonts w:ascii="Times New Roman"/>
          <w:b w:val="false"/>
          <w:i w:val="false"/>
          <w:color w:val="000000"/>
          <w:sz w:val="28"/>
        </w:rPr>
        <w:t>
      Для дальнейшего совершенствования и модернизации информационной системы в рамках «электронного правительства» необходима реализация мероприятий по системному и техническому обслуживанию АИС ГЗК, включая телекоммуникационные услуги для эксплуатации АИС ГЗК, техническую поддержку лицензионных программных продуктов и сопровождение разработанных подсистем АИС ГЗК, локально-вычислительных сетей и баз данных АИС ГЗК.</w:t>
      </w:r>
      <w:r>
        <w:br/>
      </w:r>
      <w:r>
        <w:rPr>
          <w:rFonts w:ascii="Times New Roman"/>
          <w:b w:val="false"/>
          <w:i w:val="false"/>
          <w:color w:val="000000"/>
          <w:sz w:val="28"/>
        </w:rPr>
        <w:t>
      Уровень технического, технологическое и программное обеспечение отрасли геодезии и картографии, а также отсутствие его научно-технической базы является отрицательно влияющим фактором на дальнейшее развитие отрасли.</w:t>
      </w:r>
    </w:p>
    <w:bookmarkEnd w:id="10"/>
    <w:bookmarkStart w:name="z63" w:id="11"/>
    <w:p>
      <w:pPr>
        <w:spacing w:after="0"/>
        <w:ind w:left="0"/>
        <w:jc w:val="left"/>
      </w:pPr>
      <w:r>
        <w:rPr>
          <w:rFonts w:ascii="Times New Roman"/>
          <w:b/>
          <w:i w:val="false"/>
          <w:color w:val="000000"/>
        </w:rPr>
        <w:t xml:space="preserve"> 
Раздел 3.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11"/>
    <w:bookmarkStart w:name="z64" w:id="12"/>
    <w:p>
      <w:pPr>
        <w:spacing w:after="0"/>
        <w:ind w:left="0"/>
        <w:jc w:val="left"/>
      </w:pPr>
      <w:r>
        <w:rPr>
          <w:rFonts w:ascii="Times New Roman"/>
          <w:b/>
          <w:i w:val="false"/>
          <w:color w:val="000000"/>
        </w:rPr>
        <w:t xml:space="preserve"> 
3.1. Стратегические направления, цели, задачи,</w:t>
      </w:r>
      <w:r>
        <w:br/>
      </w:r>
      <w:r>
        <w:rPr>
          <w:rFonts w:ascii="Times New Roman"/>
          <w:b/>
          <w:i w:val="false"/>
          <w:color w:val="000000"/>
        </w:rPr>
        <w:t>
целевые индикаторы, мероприятия и показатели результатов</w:t>
      </w:r>
    </w:p>
    <w:bookmarkEnd w:id="12"/>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29.05.2014 </w:t>
      </w:r>
      <w:r>
        <w:rPr>
          <w:rFonts w:ascii="Times New Roman"/>
          <w:b w:val="false"/>
          <w:i w:val="false"/>
          <w:color w:val="ff0000"/>
          <w:sz w:val="28"/>
        </w:rPr>
        <w:t>№ 576</w:t>
      </w:r>
      <w:r>
        <w:rPr>
          <w:rFonts w:ascii="Times New Roman"/>
          <w:b w:val="false"/>
          <w:i w:val="false"/>
          <w:color w:val="ff0000"/>
          <w:sz w:val="28"/>
        </w:rPr>
        <w:t>.</w:t>
      </w:r>
    </w:p>
    <w:bookmarkStart w:name="z65" w:id="13"/>
    <w:p>
      <w:pPr>
        <w:spacing w:after="0"/>
        <w:ind w:left="0"/>
        <w:jc w:val="both"/>
      </w:pPr>
      <w:r>
        <w:rPr>
          <w:rFonts w:ascii="Times New Roman"/>
          <w:b w:val="false"/>
          <w:i w:val="false"/>
          <w:color w:val="000000"/>
          <w:sz w:val="28"/>
        </w:rPr>
        <w:t>
Стратегическое направление 1. Социально-экономическое развитие регионов и государственная поддержка предпринимательства</w:t>
      </w:r>
      <w:r>
        <w:br/>
      </w:r>
      <w:r>
        <w:rPr>
          <w:rFonts w:ascii="Times New Roman"/>
          <w:b w:val="false"/>
          <w:i w:val="false"/>
          <w:color w:val="000000"/>
          <w:sz w:val="28"/>
        </w:rPr>
        <w:t>
</w:t>
      </w:r>
      <w:r>
        <w:rPr>
          <w:rFonts w:ascii="Times New Roman"/>
          <w:b w:val="false"/>
          <w:i w:val="false"/>
          <w:color w:val="000000"/>
          <w:sz w:val="28"/>
        </w:rPr>
        <w:t>
Цель 1.1. Обеспечение роста социально-экономического развития регионов</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011, 015, 017, 018, 040</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0"/>
        <w:gridCol w:w="1530"/>
        <w:gridCol w:w="817"/>
        <w:gridCol w:w="1108"/>
        <w:gridCol w:w="1297"/>
        <w:gridCol w:w="1297"/>
        <w:gridCol w:w="1188"/>
        <w:gridCol w:w="987"/>
        <w:gridCol w:w="1067"/>
        <w:gridCol w:w="1109"/>
      </w:tblGrid>
      <w:tr>
        <w:trPr>
          <w:trHeight w:val="30" w:hRule="atLeast"/>
        </w:trPr>
        <w:tc>
          <w:tcPr>
            <w:tcW w:w="3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различий между регионами по ВРП на душу населения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численности населения агломераций</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Снижение разницы до 7 баллов от средне арифметического показателя эффективности деятельности местных исполнительных органов в достижении и реализации стратегических целей и задач</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ежегодной оценки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МИО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Позиция Казахстана в рейтинге ГИК ВЭФ по показателю «Прозрачность принимаемых решений»</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ГИК ВЭФ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Позиция Казахстана в рейтинге ГИК ВЭФ по показателю «Общественное доверие политикам»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ГИК ВЭФ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Позиция Казахстана в рейтинге ГИК ВЭФ по показателю «Фаворитизм в решениях чиновников»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ГИК ВЭФ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bl>
    <w:bookmarkStart w:name="z68" w:id="14"/>
    <w:p>
      <w:pPr>
        <w:spacing w:after="0"/>
        <w:ind w:left="0"/>
        <w:jc w:val="both"/>
      </w:pPr>
      <w:r>
        <w:rPr>
          <w:rFonts w:ascii="Times New Roman"/>
          <w:b w:val="false"/>
          <w:i w:val="false"/>
          <w:color w:val="000000"/>
          <w:sz w:val="28"/>
        </w:rPr>
        <w:t>
      Пути, средства и методы достижения целевого индикатора:</w:t>
      </w:r>
      <w:r>
        <w:br/>
      </w:r>
      <w:r>
        <w:rPr>
          <w:rFonts w:ascii="Times New Roman"/>
          <w:b w:val="false"/>
          <w:i w:val="false"/>
          <w:color w:val="000000"/>
          <w:sz w:val="28"/>
        </w:rPr>
        <w:t>
</w:t>
      </w:r>
      <w:r>
        <w:rPr>
          <w:rFonts w:ascii="Times New Roman"/>
          <w:b w:val="false"/>
          <w:i w:val="false"/>
          <w:color w:val="000000"/>
          <w:sz w:val="28"/>
        </w:rPr>
        <w:t>
      Задача 1.1.1. Создание рациональной территориальной организации экономического потенциала и благоприятных условий жизнедеятельности населения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2"/>
        <w:gridCol w:w="1535"/>
        <w:gridCol w:w="819"/>
        <w:gridCol w:w="1328"/>
        <w:gridCol w:w="989"/>
        <w:gridCol w:w="1370"/>
        <w:gridCol w:w="1140"/>
        <w:gridCol w:w="1018"/>
        <w:gridCol w:w="1140"/>
        <w:gridCol w:w="879"/>
      </w:tblGrid>
      <w:tr>
        <w:trPr>
          <w:trHeight w:val="30" w:hRule="atLeast"/>
        </w:trPr>
        <w:tc>
          <w:tcPr>
            <w:tcW w:w="3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Формирование агломераций 1-го уровня (города Астана, Алматы, Шымкент)</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заинтересован-</w:t>
            </w:r>
            <w:r>
              <w:br/>
            </w:r>
            <w:r>
              <w:rPr>
                <w:rFonts w:ascii="Times New Roman"/>
                <w:b w:val="false"/>
                <w:i w:val="false"/>
                <w:color w:val="000000"/>
                <w:sz w:val="20"/>
              </w:rPr>
              <w:t>
</w:t>
            </w:r>
            <w:r>
              <w:rPr>
                <w:rFonts w:ascii="Times New Roman"/>
                <w:b w:val="false"/>
                <w:i w:val="false"/>
                <w:color w:val="000000"/>
                <w:sz w:val="20"/>
              </w:rPr>
              <w:t>ных централь-</w:t>
            </w:r>
            <w:r>
              <w:br/>
            </w:r>
            <w:r>
              <w:rPr>
                <w:rFonts w:ascii="Times New Roman"/>
                <w:b w:val="false"/>
                <w:i w:val="false"/>
                <w:color w:val="000000"/>
                <w:sz w:val="20"/>
              </w:rPr>
              <w:t>
</w:t>
            </w:r>
            <w:r>
              <w:rPr>
                <w:rFonts w:ascii="Times New Roman"/>
                <w:b w:val="false"/>
                <w:i w:val="false"/>
                <w:color w:val="000000"/>
                <w:sz w:val="20"/>
              </w:rPr>
              <w:t>ных государствен-</w:t>
            </w:r>
            <w:r>
              <w:br/>
            </w:r>
            <w:r>
              <w:rPr>
                <w:rFonts w:ascii="Times New Roman"/>
                <w:b w:val="false"/>
                <w:i w:val="false"/>
                <w:color w:val="000000"/>
                <w:sz w:val="20"/>
              </w:rPr>
              <w:t>
</w:t>
            </w:r>
            <w:r>
              <w:rPr>
                <w:rFonts w:ascii="Times New Roman"/>
                <w:b w:val="false"/>
                <w:i w:val="false"/>
                <w:color w:val="000000"/>
                <w:sz w:val="20"/>
              </w:rPr>
              <w:t>ных органов и МИО</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Реализованные проекты по строительству инженерно-коммуникацион-</w:t>
            </w:r>
            <w:r>
              <w:br/>
            </w:r>
            <w:r>
              <w:rPr>
                <w:rFonts w:ascii="Times New Roman"/>
                <w:b w:val="false"/>
                <w:i w:val="false"/>
                <w:color w:val="000000"/>
                <w:sz w:val="20"/>
              </w:rPr>
              <w:t>
</w:t>
            </w:r>
            <w:r>
              <w:rPr>
                <w:rFonts w:ascii="Times New Roman"/>
                <w:b w:val="false"/>
                <w:i w:val="false"/>
                <w:color w:val="000000"/>
                <w:sz w:val="20"/>
              </w:rPr>
              <w:t>ной инфраструктуры города-спутника «Gate City» (количество проектов завершающихся в текущем году/количество проектов, переходящих на следующий год)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Инвестиционные проекты, реализованные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моногородов на 2012 – 2020 годы» (всего проектов завершающихся в текущем году/количество проектов, переходящих на следующий год)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Инвестиционные проекты, реализованные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 (всего проектов завершающихся в текущем году/количество проектов, переходящих на следующий год)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МИО</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22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Населенные пункты, в которых реализуются инвестиционные проекты по развитию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«Развитие регионов»</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Охват оценкой эффективности деятельности местных исполнительных органов</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экспертной комиссии</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7"/>
        <w:gridCol w:w="1151"/>
        <w:gridCol w:w="1239"/>
        <w:gridCol w:w="1000"/>
        <w:gridCol w:w="1126"/>
        <w:gridCol w:w="887"/>
      </w:tblGrid>
      <w:tr>
        <w:trPr>
          <w:trHeight w:val="30" w:hRule="atLeast"/>
        </w:trPr>
        <w:tc>
          <w:tcPr>
            <w:tcW w:w="8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Реализация проектов по обустройству и развитию инженерно-коммуникационной инфраструктуры городов-спутников, моногородов, малых городов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оценки эффективности деятельности местных исполнительных органов по направлению «Достижение и реализация стратегических целей и задач в курируемых отрасли/сфере/регионе»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и утверждение методики по оценке эффективности достижение и реализация стратегических целей и задач в курируемых отрасли/сфере/регионе и ее методологическое сопровождение для местных исполнительных органов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Мониторинг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Мониторинг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2012-2020 годы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Обеспечение мониторинга </w:t>
            </w:r>
            <w:r>
              <w:rPr>
                <w:rFonts w:ascii="Times New Roman"/>
                <w:b w:val="false"/>
                <w:i w:val="false"/>
                <w:color w:val="000000"/>
                <w:sz w:val="20"/>
              </w:rPr>
              <w:t>Прогнозной схемы</w:t>
            </w:r>
            <w:r>
              <w:rPr>
                <w:rFonts w:ascii="Times New Roman"/>
                <w:b w:val="false"/>
                <w:i w:val="false"/>
                <w:color w:val="000000"/>
                <w:sz w:val="20"/>
              </w:rPr>
              <w:t xml:space="preserve"> территориально-пространственного развития страны до 2020 года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Проведение работ с бизнес–структурами, населением по повышению их информированности о решениях Правительства в курируемых сферах Министерства регионального развития Республики Казахстан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Рассмотрение вопроса создания АО «Центр развития регионов»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Реализация Комплекса мер по развитию приграничных районов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70" w:id="15"/>
    <w:p>
      <w:pPr>
        <w:spacing w:after="0"/>
        <w:ind w:left="0"/>
        <w:jc w:val="both"/>
      </w:pPr>
      <w:r>
        <w:rPr>
          <w:rFonts w:ascii="Times New Roman"/>
          <w:b w:val="false"/>
          <w:i w:val="false"/>
          <w:color w:val="000000"/>
          <w:sz w:val="28"/>
        </w:rPr>
        <w:t>
Задача 1.1.2. Развитие системы местного самоуправления и сельских территорий</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1378"/>
        <w:gridCol w:w="997"/>
        <w:gridCol w:w="1384"/>
        <w:gridCol w:w="1131"/>
        <w:gridCol w:w="1245"/>
        <w:gridCol w:w="1131"/>
        <w:gridCol w:w="1004"/>
        <w:gridCol w:w="1131"/>
        <w:gridCol w:w="763"/>
      </w:tblGrid>
      <w:tr>
        <w:trPr>
          <w:trHeight w:val="30" w:hRule="atLeast"/>
        </w:trPr>
        <w:tc>
          <w:tcPr>
            <w:tcW w:w="3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Привлечение специалистов здравоохранения, образования, социального обеспечения, культуры, спорта и ветеринарии для работы и проживания в сельских населенных пунктах путем предоставления бюджетного кредита на приобретение жилья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МИО</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сел, в которых проведены мероприятия по благоустройству в рамках финансовой поддержки местного самоуправления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МИО</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5"/>
        <w:gridCol w:w="1269"/>
        <w:gridCol w:w="1150"/>
        <w:gridCol w:w="1018"/>
        <w:gridCol w:w="1150"/>
        <w:gridCol w:w="768"/>
      </w:tblGrid>
      <w:tr>
        <w:trPr>
          <w:trHeight w:val="30" w:hRule="atLeast"/>
        </w:trPr>
        <w:tc>
          <w:tcPr>
            <w:tcW w:w="8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мониторинга и анализ социально-экономического потенциала сельских населенных пунктов</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реализации мер социальной поддержки специалистам образования, здравоохранения, социального обеспечения, культуры, спорта и ветеринарии, прибывшим для работы и проживания в сельские населенные пункты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проекта Закона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 (2 этап)</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Согласование программ развития областей, города республиканского значения и столицы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71" w:id="16"/>
    <w:p>
      <w:pPr>
        <w:spacing w:after="0"/>
        <w:ind w:left="0"/>
        <w:jc w:val="both"/>
      </w:pPr>
      <w:r>
        <w:rPr>
          <w:rFonts w:ascii="Times New Roman"/>
          <w:b w:val="false"/>
          <w:i w:val="false"/>
          <w:color w:val="000000"/>
          <w:sz w:val="28"/>
        </w:rPr>
        <w:t>
Цель 1.2. Обеспечение роста уровня предпринимательства в Республике Казахстан</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003, 004, 005, 006, 007, 008, 010, 013, 014, 016, 017, 018</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5"/>
        <w:gridCol w:w="1165"/>
        <w:gridCol w:w="843"/>
        <w:gridCol w:w="1194"/>
        <w:gridCol w:w="1117"/>
        <w:gridCol w:w="897"/>
        <w:gridCol w:w="1118"/>
        <w:gridCol w:w="897"/>
        <w:gridCol w:w="1002"/>
        <w:gridCol w:w="1002"/>
      </w:tblGrid>
      <w:tr>
        <w:trPr>
          <w:trHeight w:val="30" w:hRule="atLeast"/>
        </w:trPr>
        <w:tc>
          <w:tcPr>
            <w:tcW w:w="4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выпуска продукции МСБ по сравнению с 2012 годом в реальном выражении (ИФО)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w:t>
            </w:r>
            <w:r>
              <w:br/>
            </w:r>
            <w:r>
              <w:rPr>
                <w:rFonts w:ascii="Times New Roman"/>
                <w:b w:val="false"/>
                <w:i w:val="false"/>
                <w:color w:val="000000"/>
                <w:sz w:val="20"/>
              </w:rPr>
              <w:t>
</w:t>
            </w:r>
            <w:r>
              <w:rPr>
                <w:rFonts w:ascii="Times New Roman"/>
                <w:b w:val="false"/>
                <w:i w:val="false"/>
                <w:color w:val="000000"/>
                <w:sz w:val="20"/>
              </w:rPr>
              <w:t>ные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Улучшение показателей по рейтингу Всемирного Банка «Легкость ведения бизнеса» («Doing Business»)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Всемирного Банка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Улучшение показателя «Бремя правительственного регулирования» в рейтинге Глобального индекса конкурентоспособности ВЭФ</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Улучшение показателя «Количество процедур, необходимых для начала бизнеса»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Улучшение показателя «Время, необходимое для начала бизнеса»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73" w:id="17"/>
    <w:p>
      <w:pPr>
        <w:spacing w:after="0"/>
        <w:ind w:left="0"/>
        <w:jc w:val="both"/>
      </w:pPr>
      <w:r>
        <w:rPr>
          <w:rFonts w:ascii="Times New Roman"/>
          <w:b w:val="false"/>
          <w:i w:val="false"/>
          <w:color w:val="000000"/>
          <w:sz w:val="28"/>
        </w:rPr>
        <w:t>
Пути, средства и методы достижения целевого индикатора:</w:t>
      </w:r>
      <w:r>
        <w:br/>
      </w:r>
      <w:r>
        <w:rPr>
          <w:rFonts w:ascii="Times New Roman"/>
          <w:b w:val="false"/>
          <w:i w:val="false"/>
          <w:color w:val="000000"/>
          <w:sz w:val="28"/>
        </w:rPr>
        <w:t>
</w:t>
      </w:r>
      <w:r>
        <w:rPr>
          <w:rFonts w:ascii="Times New Roman"/>
          <w:b w:val="false"/>
          <w:i w:val="false"/>
          <w:color w:val="000000"/>
          <w:sz w:val="28"/>
        </w:rPr>
        <w:t>
Задача 1.2.1. Создание условий для развития предпринимательства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1"/>
        <w:gridCol w:w="1348"/>
        <w:gridCol w:w="876"/>
        <w:gridCol w:w="1242"/>
        <w:gridCol w:w="1139"/>
        <w:gridCol w:w="1242"/>
        <w:gridCol w:w="1139"/>
        <w:gridCol w:w="1025"/>
        <w:gridCol w:w="1139"/>
        <w:gridCol w:w="1139"/>
      </w:tblGrid>
      <w:tr>
        <w:trPr>
          <w:trHeight w:val="30" w:hRule="atLeast"/>
        </w:trPr>
        <w:tc>
          <w:tcPr>
            <w:tcW w:w="3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Прирост активно действующих субъектов МСБ в общем количестве зарегистрированных субъектов МСБ (ежегодно)</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w:t>
            </w:r>
            <w:r>
              <w:br/>
            </w:r>
            <w:r>
              <w:rPr>
                <w:rFonts w:ascii="Times New Roman"/>
                <w:b w:val="false"/>
                <w:i w:val="false"/>
                <w:color w:val="000000"/>
                <w:sz w:val="20"/>
              </w:rPr>
              <w:t>
</w:t>
            </w:r>
            <w:r>
              <w:rPr>
                <w:rFonts w:ascii="Times New Roman"/>
                <w:b w:val="false"/>
                <w:i w:val="false"/>
                <w:color w:val="000000"/>
                <w:sz w:val="20"/>
              </w:rPr>
              <w:t>ные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операционных издержек, связанных с регистрацией и ведением бизнеса (получением разрешений, лицензий и сертификатов; аккредитацией; получением консультаций), включая время и затраты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Националь-</w:t>
            </w:r>
            <w:r>
              <w:br/>
            </w:r>
            <w:r>
              <w:rPr>
                <w:rFonts w:ascii="Times New Roman"/>
                <w:b w:val="false"/>
                <w:i w:val="false"/>
                <w:color w:val="000000"/>
                <w:sz w:val="20"/>
              </w:rPr>
              <w:t>
</w:t>
            </w:r>
            <w:r>
              <w:rPr>
                <w:rFonts w:ascii="Times New Roman"/>
                <w:b w:val="false"/>
                <w:i w:val="false"/>
                <w:color w:val="000000"/>
                <w:sz w:val="20"/>
              </w:rPr>
              <w:t>ного аналитичес-</w:t>
            </w:r>
            <w:r>
              <w:br/>
            </w:r>
            <w:r>
              <w:rPr>
                <w:rFonts w:ascii="Times New Roman"/>
                <w:b w:val="false"/>
                <w:i w:val="false"/>
                <w:color w:val="000000"/>
                <w:sz w:val="20"/>
              </w:rPr>
              <w:t>
</w:t>
            </w:r>
            <w:r>
              <w:rPr>
                <w:rFonts w:ascii="Times New Roman"/>
                <w:b w:val="false"/>
                <w:i w:val="false"/>
                <w:color w:val="000000"/>
                <w:sz w:val="20"/>
              </w:rPr>
              <w:t>кого центра при Правительстве по результатам соответствую-</w:t>
            </w:r>
            <w:r>
              <w:br/>
            </w:r>
            <w:r>
              <w:rPr>
                <w:rFonts w:ascii="Times New Roman"/>
                <w:b w:val="false"/>
                <w:i w:val="false"/>
                <w:color w:val="000000"/>
                <w:sz w:val="20"/>
              </w:rPr>
              <w:t>
</w:t>
            </w:r>
            <w:r>
              <w:rPr>
                <w:rFonts w:ascii="Times New Roman"/>
                <w:b w:val="false"/>
                <w:i w:val="false"/>
                <w:color w:val="000000"/>
                <w:sz w:val="20"/>
              </w:rPr>
              <w:t>щих исследова-</w:t>
            </w:r>
            <w:r>
              <w:br/>
            </w:r>
            <w:r>
              <w:rPr>
                <w:rFonts w:ascii="Times New Roman"/>
                <w:b w:val="false"/>
                <w:i w:val="false"/>
                <w:color w:val="000000"/>
                <w:sz w:val="20"/>
              </w:rPr>
              <w:t>
</w:t>
            </w:r>
            <w:r>
              <w:rPr>
                <w:rFonts w:ascii="Times New Roman"/>
                <w:b w:val="false"/>
                <w:i w:val="false"/>
                <w:color w:val="000000"/>
                <w:sz w:val="20"/>
              </w:rPr>
              <w:t>ний</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w:t>
            </w:r>
            <w:r>
              <w:br/>
            </w:r>
            <w:r>
              <w:rPr>
                <w:rFonts w:ascii="Times New Roman"/>
                <w:b w:val="false"/>
                <w:i w:val="false"/>
                <w:color w:val="000000"/>
                <w:sz w:val="20"/>
              </w:rPr>
              <w:t>
</w:t>
            </w:r>
            <w:r>
              <w:rPr>
                <w:rFonts w:ascii="Times New Roman"/>
                <w:b w:val="false"/>
                <w:i w:val="false"/>
                <w:color w:val="000000"/>
                <w:sz w:val="20"/>
              </w:rPr>
              <w:t>нию с 2013 годом</w:t>
            </w:r>
            <w:r>
              <w:rPr>
                <w:rFonts w:ascii="Times New Roman"/>
                <w:b w:val="false"/>
                <w:i w:val="false"/>
                <w:color w:val="000000"/>
                <w:vertAlign w:val="superscript"/>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Предприниматели, которым оказаны сервисные услуги (ежегодно)</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Топ-менеджеры среднего бизнеса, прошедшие обучение на базе бизнес-школы АО «Назарбаев Университет»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Предприниматели МСБ, прошедшие обучение на территории Казахстана и за рубежом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Казахстана, из них</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рубежом</w:t>
            </w: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Субсидируемые (гарантируемые) кредиты в рамках оказания поддержки предпринимательства в городе Жанаозен Мангистауской области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Количество проектов МСБ, получивших финансовую поддержку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 в том числе: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субсидированию</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гарантированию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грантам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обеспечению недостающей инфраструктурой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Обучение населения с предпринимательской инициативой и начинающих предпринимателей основам бизнеса (проект бизнес-советник)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Новые рабочие места, созданные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 МИО</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Сохраненные рабочие места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 МИО</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Количество проектов МСБ, получивших финансовую поддержку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w:t>
            </w:r>
            <w:r>
              <w:br/>
            </w:r>
            <w:r>
              <w:rPr>
                <w:rFonts w:ascii="Times New Roman"/>
                <w:b w:val="false"/>
                <w:i w:val="false"/>
                <w:color w:val="000000"/>
                <w:sz w:val="20"/>
              </w:rPr>
              <w:t>
</w:t>
            </w:r>
            <w:r>
              <w:rPr>
                <w:rFonts w:ascii="Times New Roman"/>
                <w:b w:val="false"/>
                <w:i w:val="false"/>
                <w:color w:val="000000"/>
                <w:sz w:val="20"/>
              </w:rPr>
              <w:t>2012 – 2020 годы, в том числе:</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грантам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обеспечению недостающей инфраструктурой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микрокредитованию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1 Для оценки достижения вышеуказанного индикатора АО «НАЦ» выявлено 100 % операционных издержек, связанных с регистрацией юридических лиц. По результатам исследования было установлено, что издержки бизнеса, связанные с регистрацией сократились на 78 %. Такое снижение удалось осуществить путем существенного упрощения процедур регистрации юридических лиц, что показывает перевыполнение индикатора к 2011 году. На 2013 год запланировано исследование, по результатам которого будет выявлен общий объем операционных издержек, связанных с прохождением разрешительных процедур в соответствии с законодательством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9"/>
        <w:gridCol w:w="890"/>
        <w:gridCol w:w="1004"/>
        <w:gridCol w:w="1245"/>
        <w:gridCol w:w="1131"/>
        <w:gridCol w:w="1131"/>
      </w:tblGrid>
      <w:tr>
        <w:trPr>
          <w:trHeight w:val="30" w:hRule="atLeast"/>
        </w:trPr>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Оптимизация законодательства Республики Казахстан в области совершенствования разрешительной системы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Совершенствование нормативной правовой базы по вопросам частного предпринимательства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Выработка предложений по дальнейшему совершенствованию системы оценки рисков (при необходимости внесение изменений и дополнений в совместные приказы по утверждению систем оценки рисков)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Координация деятельности заинтересованных государственных органов по улучшению индикаторов рейтинга Всемирного Банка «Легкость ведения бизнеса» («Doing Business»)</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Проведение исследований по вопросам развития частного предпринимательства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Проведение исследований на предмет сокращения операционных издержек бизнеса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Заключение соглашений о результатах по целевым трансфертам, выделяемым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Заключение соглашений о результатах по целевым трансфертам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моногородов на 2012 – 2020 годы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Обеспечение мониторинга субсидируемых и гарантируемых кредитов в рамках оказания поддержки предпринимательства в городе Жанаозен Мангистауской области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Проведение обучения топ-менеджмента среднего бизнеса на базе бизнес-школы АО «Назарбаев Университет»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Реализация проекта «Деловые связи»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Обучение населения с предпринимательской инициативой, начинающих и действующих предпринимателей (проект бизнес-советник)</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Проведение консультаций по мерам государственной поддержки в моногородах в Центрах поддержки предпринимательства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Координация деятельности социально-предпринимательских корпораций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Мониторинг реализации стратегии развития социально-предпринимательских корпораций</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Разъяснение широким слоям населения мер государственной поддержки в рамках программы «Бизнес-насихат»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Проведение мониторинга контрольно-надзорной деятельности государственных органов, осуществляющих государственный контроль, надзор и выдачу разрешительных документов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Проекты, осуществляемые консультантами ЕБРР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Анализ регионального развития и конкурентных преимуществ по привлечению иностранных инвестиций в МСБ на примере Восточно-Казахстанской, Атырауской, Кызылординской областей</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Предоставление грантов для женщин с предпринимательской инициативой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Улучшение показателей развития бизнес-среды в обзоре делового климата и эффективности работы предприятий (BEEPS) Европейского Банка Реконструкции и Развития и Всемирного Банка к 2015 году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5" w:id="18"/>
    <w:p>
      <w:pPr>
        <w:spacing w:after="0"/>
        <w:ind w:left="0"/>
        <w:jc w:val="both"/>
      </w:pPr>
      <w:r>
        <w:rPr>
          <w:rFonts w:ascii="Times New Roman"/>
          <w:b w:val="false"/>
          <w:i w:val="false"/>
          <w:color w:val="000000"/>
          <w:sz w:val="28"/>
        </w:rPr>
        <w:t>
Стратегическое направление 2. Развитие архитектуры, градостроительства, строительства 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xml:space="preserve">
Цель 2.1. Развитие жилищного строительства </w:t>
      </w:r>
      <w:r>
        <w:br/>
      </w:r>
      <w:r>
        <w:rPr>
          <w:rFonts w:ascii="Times New Roman"/>
          <w:b w:val="false"/>
          <w:i w:val="false"/>
          <w:color w:val="000000"/>
          <w:sz w:val="28"/>
        </w:rPr>
        <w:t>
Коды бюджетных программ, направленных на достижение данной цели 028, 032, 033, 037, 040, 043</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9"/>
        <w:gridCol w:w="1375"/>
        <w:gridCol w:w="1075"/>
        <w:gridCol w:w="1150"/>
        <w:gridCol w:w="1200"/>
        <w:gridCol w:w="999"/>
        <w:gridCol w:w="912"/>
        <w:gridCol w:w="1000"/>
        <w:gridCol w:w="1125"/>
        <w:gridCol w:w="1125"/>
      </w:tblGrid>
      <w:tr>
        <w:trPr>
          <w:trHeight w:val="315" w:hRule="atLeast"/>
        </w:trPr>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 ввода в эксплуатацию жилья за счет всех источников финансирования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w:t>
            </w:r>
            <w:r>
              <w:br/>
            </w:r>
            <w:r>
              <w:rPr>
                <w:rFonts w:ascii="Times New Roman"/>
                <w:b w:val="false"/>
                <w:i w:val="false"/>
                <w:color w:val="000000"/>
                <w:sz w:val="20"/>
              </w:rPr>
              <w:t>
</w:t>
            </w:r>
            <w:r>
              <w:rPr>
                <w:rFonts w:ascii="Times New Roman"/>
                <w:b w:val="false"/>
                <w:i w:val="false"/>
                <w:color w:val="000000"/>
                <w:sz w:val="20"/>
              </w:rPr>
              <w:t>ные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1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Объемы ввода в эксплуатацию жилья за счет бюджетных средств</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w:t>
            </w:r>
            <w:r>
              <w:br/>
            </w:r>
            <w:r>
              <w:rPr>
                <w:rFonts w:ascii="Times New Roman"/>
                <w:b w:val="false"/>
                <w:i w:val="false"/>
                <w:color w:val="000000"/>
                <w:sz w:val="20"/>
              </w:rPr>
              <w:t>
</w:t>
            </w:r>
            <w:r>
              <w:rPr>
                <w:rFonts w:ascii="Times New Roman"/>
                <w:b w:val="false"/>
                <w:i w:val="false"/>
                <w:color w:val="000000"/>
                <w:sz w:val="20"/>
              </w:rPr>
              <w:t>ные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bl>
    <w:bookmarkStart w:name="z77" w:id="19"/>
    <w:p>
      <w:pPr>
        <w:spacing w:after="0"/>
        <w:ind w:left="0"/>
        <w:jc w:val="both"/>
      </w:pPr>
      <w:r>
        <w:rPr>
          <w:rFonts w:ascii="Times New Roman"/>
          <w:b w:val="false"/>
          <w:i w:val="false"/>
          <w:color w:val="000000"/>
          <w:sz w:val="28"/>
        </w:rPr>
        <w:t>
Пути, средства и методы достижения целевого индикатора:</w:t>
      </w:r>
      <w:r>
        <w:br/>
      </w:r>
      <w:r>
        <w:rPr>
          <w:rFonts w:ascii="Times New Roman"/>
          <w:b w:val="false"/>
          <w:i w:val="false"/>
          <w:color w:val="000000"/>
          <w:sz w:val="28"/>
        </w:rPr>
        <w:t>
</w:t>
      </w:r>
      <w:r>
        <w:rPr>
          <w:rFonts w:ascii="Times New Roman"/>
          <w:b w:val="false"/>
          <w:i w:val="false"/>
          <w:color w:val="000000"/>
          <w:sz w:val="28"/>
        </w:rPr>
        <w:t>
Задача 2.1.1. Обеспечение строительства и приобретения жилья государственного коммунального жилищного фонда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0"/>
        <w:gridCol w:w="1400"/>
        <w:gridCol w:w="884"/>
        <w:gridCol w:w="1323"/>
        <w:gridCol w:w="1143"/>
        <w:gridCol w:w="972"/>
        <w:gridCol w:w="903"/>
        <w:gridCol w:w="984"/>
        <w:gridCol w:w="1045"/>
        <w:gridCol w:w="1116"/>
      </w:tblGrid>
      <w:tr>
        <w:trPr>
          <w:trHeight w:val="270" w:hRule="atLeast"/>
        </w:trPr>
        <w:tc>
          <w:tcPr>
            <w:tcW w:w="4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 ввода в эксплуатацию арендного (коммунального) жилья для граждан, состоящих в очереди в акиматах на получение жилья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  данные МИО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99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Объемы ввода</w:t>
            </w:r>
            <w:r>
              <w:br/>
            </w:r>
            <w:r>
              <w:rPr>
                <w:rFonts w:ascii="Times New Roman"/>
                <w:b w:val="false"/>
                <w:i w:val="false"/>
                <w:color w:val="000000"/>
                <w:sz w:val="20"/>
              </w:rPr>
              <w:t>
</w:t>
            </w:r>
            <w:r>
              <w:rPr>
                <w:rFonts w:ascii="Times New Roman"/>
                <w:b w:val="false"/>
                <w:i w:val="false"/>
                <w:color w:val="000000"/>
                <w:sz w:val="20"/>
              </w:rPr>
              <w:t>в эксплуатацию арендного жилья для молодых семей</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  данные МИО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05"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обеспеченности арендным (коммунальным) жильем граждан, состоящих в очереди в акиматах (рассчитывается к количеству очередников на 1.01.2012 г.)</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5"/>
        <w:gridCol w:w="1050"/>
        <w:gridCol w:w="1102"/>
        <w:gridCol w:w="908"/>
        <w:gridCol w:w="921"/>
        <w:gridCol w:w="1154"/>
      </w:tblGrid>
      <w:tr>
        <w:trPr>
          <w:trHeight w:val="495" w:hRule="atLeast"/>
        </w:trPr>
        <w:tc>
          <w:tcPr>
            <w:tcW w:w="8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w:t>
            </w:r>
          </w:p>
        </w:tc>
      </w:tr>
      <w:tr>
        <w:trPr>
          <w:trHeight w:val="495"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75"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Строительство и приобретение арендного коммунального жилья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2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Строительство и приобретение арендного жилья для молодых семей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2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Ввод в эксплуатацию жилья в незавершенных объектах с участием дольщиков</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9" w:id="20"/>
    <w:p>
      <w:pPr>
        <w:spacing w:after="0"/>
        <w:ind w:left="0"/>
        <w:jc w:val="both"/>
      </w:pPr>
      <w:r>
        <w:rPr>
          <w:rFonts w:ascii="Times New Roman"/>
          <w:b w:val="false"/>
          <w:i w:val="false"/>
          <w:color w:val="000000"/>
          <w:sz w:val="28"/>
        </w:rPr>
        <w:t>
Задача 2.1.2. Обеспечение строительства и приобретения жилья за счет кредитных средств</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1445"/>
        <w:gridCol w:w="982"/>
        <w:gridCol w:w="1631"/>
        <w:gridCol w:w="1365"/>
        <w:gridCol w:w="1262"/>
        <w:gridCol w:w="1169"/>
        <w:gridCol w:w="1169"/>
        <w:gridCol w:w="1169"/>
        <w:gridCol w:w="1169"/>
      </w:tblGrid>
      <w:tr>
        <w:trPr>
          <w:trHeight w:val="27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 ввода в эксплуатацию жилья за счет кредитования местных исполнительных органов</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 данные МИО</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7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обеспеченности граждан доступным жильем (рассчитывается к количеству вкладчиков ЖССБ на 1.01.2012 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(рассчитано по жилпрограмме на 2011-2014 годы)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7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Среднее количество вкладчиков, получающих премию государства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ЖССБК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человек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323166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514442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514442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1"/>
        <w:gridCol w:w="1214"/>
        <w:gridCol w:w="1112"/>
        <w:gridCol w:w="1099"/>
        <w:gridCol w:w="1099"/>
        <w:gridCol w:w="855"/>
      </w:tblGrid>
      <w:tr>
        <w:trPr>
          <w:trHeight w:val="270" w:hRule="atLeast"/>
        </w:trPr>
        <w:tc>
          <w:tcPr>
            <w:tcW w:w="8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70" w:hRule="atLeast"/>
        </w:trPr>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Строительство и приобретение кредитного жилья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70" w:hRule="atLeast"/>
        </w:trPr>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полноты выплат премий по вкладам в жилищные строительные сбережения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Строительство жилья взамен аварийного в рамках пилотных проектов по сносу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0" w:id="21"/>
    <w:p>
      <w:pPr>
        <w:spacing w:after="0"/>
        <w:ind w:left="0"/>
        <w:jc w:val="both"/>
      </w:pPr>
      <w:r>
        <w:rPr>
          <w:rFonts w:ascii="Times New Roman"/>
          <w:b w:val="false"/>
          <w:i w:val="false"/>
          <w:color w:val="000000"/>
          <w:sz w:val="28"/>
        </w:rPr>
        <w:t>
Задача 2.1.3. Обеспечение строительства и приобретения арендного жилья</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1774"/>
        <w:gridCol w:w="968"/>
        <w:gridCol w:w="1145"/>
        <w:gridCol w:w="1083"/>
        <w:gridCol w:w="1232"/>
        <w:gridCol w:w="1232"/>
        <w:gridCol w:w="1120"/>
        <w:gridCol w:w="1343"/>
        <w:gridCol w:w="1467"/>
      </w:tblGrid>
      <w:tr>
        <w:trPr>
          <w:trHeight w:val="270" w:hRule="atLeast"/>
        </w:trPr>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 арендного жилья (АО «ИО «КИК»)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АО «ИО «КИК»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4"/>
        <w:gridCol w:w="1136"/>
        <w:gridCol w:w="1495"/>
        <w:gridCol w:w="1136"/>
        <w:gridCol w:w="893"/>
        <w:gridCol w:w="1136"/>
      </w:tblGrid>
      <w:tr>
        <w:trPr>
          <w:trHeight w:val="315" w:hRule="atLeast"/>
        </w:trPr>
        <w:tc>
          <w:tcPr>
            <w:tcW w:w="8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w:t>
            </w:r>
          </w:p>
        </w:tc>
      </w:tr>
      <w:tr>
        <w:trPr>
          <w:trHeight w:val="495"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75"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приобретение арендного жилья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1" w:id="22"/>
    <w:p>
      <w:pPr>
        <w:spacing w:after="0"/>
        <w:ind w:left="0"/>
        <w:jc w:val="both"/>
      </w:pPr>
      <w:r>
        <w:rPr>
          <w:rFonts w:ascii="Times New Roman"/>
          <w:b w:val="false"/>
          <w:i w:val="false"/>
          <w:color w:val="000000"/>
          <w:sz w:val="28"/>
        </w:rPr>
        <w:t>
Задача 2.1.4. Строительство и приобретение инженерно-коммуникационной инфраструктуры в районах жилищной застройки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805"/>
        <w:gridCol w:w="965"/>
        <w:gridCol w:w="1566"/>
        <w:gridCol w:w="1541"/>
        <w:gridCol w:w="1118"/>
        <w:gridCol w:w="1390"/>
        <w:gridCol w:w="1081"/>
        <w:gridCol w:w="1081"/>
        <w:gridCol w:w="908"/>
      </w:tblGrid>
      <w:tr>
        <w:trPr>
          <w:trHeight w:val="27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 инженерно-коммуникационной инфраструктуры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9"/>
        <w:gridCol w:w="1355"/>
        <w:gridCol w:w="1201"/>
        <w:gridCol w:w="1098"/>
        <w:gridCol w:w="1098"/>
        <w:gridCol w:w="919"/>
      </w:tblGrid>
      <w:tr>
        <w:trPr>
          <w:trHeight w:val="270" w:hRule="atLeast"/>
        </w:trPr>
        <w:tc>
          <w:tcPr>
            <w:tcW w:w="8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7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приобретение инженерно-коммуникационной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82" w:id="23"/>
    <w:p>
      <w:pPr>
        <w:spacing w:after="0"/>
        <w:ind w:left="0"/>
        <w:jc w:val="both"/>
      </w:pPr>
      <w:r>
        <w:rPr>
          <w:rFonts w:ascii="Times New Roman"/>
          <w:b w:val="false"/>
          <w:i w:val="false"/>
          <w:color w:val="000000"/>
          <w:sz w:val="28"/>
        </w:rPr>
        <w:t>
Цель 2.2. Совершенствование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xml:space="preserve">
Коды бюджетных программ, направленных на достижение данной цели 001, 021, 024, 027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1368"/>
        <w:gridCol w:w="851"/>
        <w:gridCol w:w="1321"/>
        <w:gridCol w:w="1097"/>
        <w:gridCol w:w="1097"/>
        <w:gridCol w:w="1097"/>
        <w:gridCol w:w="873"/>
        <w:gridCol w:w="1097"/>
        <w:gridCol w:w="1097"/>
      </w:tblGrid>
      <w:tr>
        <w:trPr>
          <w:trHeight w:val="315" w:hRule="atLeast"/>
        </w:trPr>
        <w:tc>
          <w:tcPr>
            <w:tcW w:w="4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80"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8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 и гармонизация национальной нормативно-технической базы с требованиями международных стандартов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МРР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8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лабораторными испытаниями строительных материалов, изделий и конструкций строящихся объектов с целью обеспечения устойчивости и безопасности построенных объектов в процессе их эксплуатаций</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органов ГАСК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Создание и развитие системы градостроительного планирования территории РК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Генеральной</w:t>
            </w:r>
            <w:r>
              <w:br/>
            </w:r>
            <w:r>
              <w:rPr>
                <w:rFonts w:ascii="Times New Roman"/>
                <w:b w:val="false"/>
                <w:i w:val="false"/>
                <w:color w:val="000000"/>
                <w:sz w:val="20"/>
              </w:rPr>
              <w:t>
</w:t>
            </w:r>
            <w:r>
              <w:rPr>
                <w:rFonts w:ascii="Times New Roman"/>
                <w:b w:val="false"/>
                <w:i w:val="false"/>
                <w:color w:val="000000"/>
                <w:sz w:val="20"/>
              </w:rPr>
              <w:t>схемы</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территории, Межрегиональ-</w:t>
            </w:r>
            <w:r>
              <w:br/>
            </w:r>
            <w:r>
              <w:rPr>
                <w:rFonts w:ascii="Times New Roman"/>
                <w:b w:val="false"/>
                <w:i w:val="false"/>
                <w:color w:val="000000"/>
                <w:sz w:val="20"/>
              </w:rPr>
              <w:t>
</w:t>
            </w:r>
            <w:r>
              <w:rPr>
                <w:rFonts w:ascii="Times New Roman"/>
                <w:b w:val="false"/>
                <w:i w:val="false"/>
                <w:color w:val="000000"/>
                <w:sz w:val="20"/>
              </w:rPr>
              <w:t>ных схем территориаль-</w:t>
            </w:r>
            <w:r>
              <w:br/>
            </w:r>
            <w:r>
              <w:rPr>
                <w:rFonts w:ascii="Times New Roman"/>
                <w:b w:val="false"/>
                <w:i w:val="false"/>
                <w:color w:val="000000"/>
                <w:sz w:val="20"/>
              </w:rPr>
              <w:t>
</w:t>
            </w:r>
            <w:r>
              <w:rPr>
                <w:rFonts w:ascii="Times New Roman"/>
                <w:b w:val="false"/>
                <w:i w:val="false"/>
                <w:color w:val="000000"/>
                <w:sz w:val="20"/>
              </w:rPr>
              <w:t>ного развития, государствен-</w:t>
            </w:r>
            <w:r>
              <w:br/>
            </w:r>
            <w:r>
              <w:rPr>
                <w:rFonts w:ascii="Times New Roman"/>
                <w:b w:val="false"/>
                <w:i w:val="false"/>
                <w:color w:val="000000"/>
                <w:sz w:val="20"/>
              </w:rPr>
              <w:t>
</w:t>
            </w:r>
            <w:r>
              <w:rPr>
                <w:rFonts w:ascii="Times New Roman"/>
                <w:b w:val="false"/>
                <w:i w:val="false"/>
                <w:color w:val="000000"/>
                <w:sz w:val="20"/>
              </w:rPr>
              <w:t>ного градостроитель-</w:t>
            </w:r>
            <w:r>
              <w:br/>
            </w:r>
            <w:r>
              <w:rPr>
                <w:rFonts w:ascii="Times New Roman"/>
                <w:b w:val="false"/>
                <w:i w:val="false"/>
                <w:color w:val="000000"/>
                <w:sz w:val="20"/>
              </w:rPr>
              <w:t>
</w:t>
            </w:r>
            <w:r>
              <w:rPr>
                <w:rFonts w:ascii="Times New Roman"/>
                <w:b w:val="false"/>
                <w:i w:val="false"/>
                <w:color w:val="000000"/>
                <w:sz w:val="20"/>
              </w:rPr>
              <w:t>ного кадастра республикан-</w:t>
            </w:r>
            <w:r>
              <w:br/>
            </w:r>
            <w:r>
              <w:rPr>
                <w:rFonts w:ascii="Times New Roman"/>
                <w:b w:val="false"/>
                <w:i w:val="false"/>
                <w:color w:val="000000"/>
                <w:sz w:val="20"/>
              </w:rPr>
              <w:t>
</w:t>
            </w:r>
            <w:r>
              <w:rPr>
                <w:rFonts w:ascii="Times New Roman"/>
                <w:b w:val="false"/>
                <w:i w:val="false"/>
                <w:color w:val="000000"/>
                <w:sz w:val="20"/>
              </w:rPr>
              <w:t>ского уровня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1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Улучшение позиции Казахстана по индикатору «Получение разрешения на строительство» в рейтинге «Doing Business» Всемирного Банка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издание Всемирного Банка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рейтинга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bl>
    <w:bookmarkStart w:name="z84" w:id="24"/>
    <w:p>
      <w:pPr>
        <w:spacing w:after="0"/>
        <w:ind w:left="0"/>
        <w:jc w:val="both"/>
      </w:pPr>
      <w:r>
        <w:rPr>
          <w:rFonts w:ascii="Times New Roman"/>
          <w:b w:val="false"/>
          <w:i w:val="false"/>
          <w:color w:val="000000"/>
          <w:sz w:val="28"/>
        </w:rPr>
        <w:t>
Пути, средства и методы достижения целевого индикатора:</w:t>
      </w:r>
      <w:r>
        <w:br/>
      </w:r>
      <w:r>
        <w:rPr>
          <w:rFonts w:ascii="Times New Roman"/>
          <w:b w:val="false"/>
          <w:i w:val="false"/>
          <w:color w:val="000000"/>
          <w:sz w:val="28"/>
        </w:rPr>
        <w:t>
</w:t>
      </w:r>
      <w:r>
        <w:rPr>
          <w:rFonts w:ascii="Times New Roman"/>
          <w:b w:val="false"/>
          <w:i w:val="false"/>
          <w:color w:val="000000"/>
          <w:sz w:val="28"/>
        </w:rPr>
        <w:t>
Задача 2.2.1. Реформирование системы технического регулирования строительной отрасли и обеспечение устойчивости и долговечности зданий (сооружений) и инженерно-коммуникационной инфраструктуры с разработкой эффективных конструктивных решений и технологий</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1616"/>
        <w:gridCol w:w="986"/>
        <w:gridCol w:w="1246"/>
        <w:gridCol w:w="1132"/>
        <w:gridCol w:w="814"/>
        <w:gridCol w:w="814"/>
        <w:gridCol w:w="1030"/>
        <w:gridCol w:w="1132"/>
        <w:gridCol w:w="1221"/>
      </w:tblGrid>
      <w:tr>
        <w:trPr>
          <w:trHeight w:val="315" w:hRule="atLeast"/>
        </w:trPr>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Реформирование системы технического регулирования строительной отрасли Республики Казахстан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нормативно-технических документов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Нормативное регулирование сферы жилищно-коммунального хозяйства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нормативно-технических документов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сметно-нормативных документов в сфере архитектуры, градостроительства и строительства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нормативно-технических документов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типовых проектов</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нормативно-технических документов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 проведенных прикладных научных исследований, направленных на снижение сейсмического риска, обеспечение устойчивости и долговечности зданий (сооружений) и инженерно-коммуникационной инфраструктуры, а также разработку энерго- и ресурсосберегающих технологий (количество тем, завершающихся в текущем году/количество тем, переходящих на следующий год)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ный реестр научных и научно-технических программ и проектов, формируемый АО «Националь-</w:t>
            </w:r>
            <w:r>
              <w:br/>
            </w:r>
            <w:r>
              <w:rPr>
                <w:rFonts w:ascii="Times New Roman"/>
                <w:b w:val="false"/>
                <w:i w:val="false"/>
                <w:color w:val="000000"/>
                <w:sz w:val="20"/>
              </w:rPr>
              <w:t>
</w:t>
            </w:r>
            <w:r>
              <w:rPr>
                <w:rFonts w:ascii="Times New Roman"/>
                <w:b w:val="false"/>
                <w:i w:val="false"/>
                <w:color w:val="000000"/>
                <w:sz w:val="20"/>
              </w:rPr>
              <w:t>ный центр научно-техничес-</w:t>
            </w:r>
            <w:r>
              <w:br/>
            </w:r>
            <w:r>
              <w:rPr>
                <w:rFonts w:ascii="Times New Roman"/>
                <w:b w:val="false"/>
                <w:i w:val="false"/>
                <w:color w:val="000000"/>
                <w:sz w:val="20"/>
              </w:rPr>
              <w:t>
</w:t>
            </w:r>
            <w:r>
              <w:rPr>
                <w:rFonts w:ascii="Times New Roman"/>
                <w:b w:val="false"/>
                <w:i w:val="false"/>
                <w:color w:val="000000"/>
                <w:sz w:val="20"/>
              </w:rPr>
              <w:t>кой информации»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специализированных государственных строительных лабораторий при органах государственного архитектурно-строительного контроля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органов ГАСК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4"/>
        <w:gridCol w:w="821"/>
        <w:gridCol w:w="821"/>
        <w:gridCol w:w="1047"/>
        <w:gridCol w:w="1152"/>
        <w:gridCol w:w="1245"/>
      </w:tblGrid>
      <w:tr>
        <w:trPr>
          <w:trHeight w:val="315" w:hRule="atLeast"/>
        </w:trPr>
        <w:tc>
          <w:tcPr>
            <w:tcW w:w="8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8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гармонизированных нормативов с европейскими нормами проектирования</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нормативов в сфере жилищно-коммунального хозяйства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сметных норм и расценок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Выпуск сборников в текущих ценах на материалы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Развитие научных исследований, направленных на разработку новых технологий в области строительства и жилищно-коммунального хозяйства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Прохождение результатов завершенных научно-исследовательских работ через государственную научно-техническую экспертизу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Сбор заявок от министерств и ведомств на разработку типовых проектов</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Строительство специализированных государственных лабораторий</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86" w:id="25"/>
    <w:p>
      <w:pPr>
        <w:spacing w:after="0"/>
        <w:ind w:left="0"/>
        <w:jc w:val="both"/>
      </w:pPr>
      <w:r>
        <w:rPr>
          <w:rFonts w:ascii="Times New Roman"/>
          <w:b w:val="false"/>
          <w:i w:val="false"/>
          <w:color w:val="000000"/>
          <w:sz w:val="28"/>
        </w:rPr>
        <w:t>
Задача 2.2.2. Организация пространственного планирования развития городов и областей Республики Казахстан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1397"/>
        <w:gridCol w:w="1124"/>
        <w:gridCol w:w="1364"/>
        <w:gridCol w:w="1096"/>
        <w:gridCol w:w="968"/>
        <w:gridCol w:w="815"/>
        <w:gridCol w:w="1032"/>
        <w:gridCol w:w="1134"/>
        <w:gridCol w:w="1224"/>
      </w:tblGrid>
      <w:tr>
        <w:trPr>
          <w:trHeight w:val="315" w:hRule="atLeast"/>
        </w:trPr>
        <w:tc>
          <w:tcPr>
            <w:tcW w:w="3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развития межрегионального градостроительного планирования территории регионов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Межрегиональ-</w:t>
            </w:r>
            <w:r>
              <w:br/>
            </w:r>
            <w:r>
              <w:rPr>
                <w:rFonts w:ascii="Times New Roman"/>
                <w:b w:val="false"/>
                <w:i w:val="false"/>
                <w:color w:val="000000"/>
                <w:sz w:val="20"/>
              </w:rPr>
              <w:t>
</w:t>
            </w:r>
            <w:r>
              <w:rPr>
                <w:rFonts w:ascii="Times New Roman"/>
                <w:b w:val="false"/>
                <w:i w:val="false"/>
                <w:color w:val="000000"/>
                <w:sz w:val="20"/>
              </w:rPr>
              <w:t>ных схем территориального развития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выполненной работы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5"/>
        <w:gridCol w:w="980"/>
        <w:gridCol w:w="821"/>
        <w:gridCol w:w="1047"/>
        <w:gridCol w:w="1152"/>
        <w:gridCol w:w="1245"/>
      </w:tblGrid>
      <w:tr>
        <w:trPr>
          <w:trHeight w:val="315" w:hRule="atLeast"/>
        </w:trPr>
        <w:tc>
          <w:tcPr>
            <w:tcW w:w="8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615" w:hRule="atLeast"/>
        </w:trPr>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Разработка Межрегиональных схем территориального развития Республики Казахстан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Ведение разработанного специализированного программного обеспечения автоматизированной информационной системы государственного градостроительного кадастра (АИС ГГК) Республики Казахстан республиканского уровня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Освобождение земельного участка для строительства многофункционального комплекса Абу-даби Плаза в городе Астана (разовое мероприятие)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7" w:id="26"/>
    <w:p>
      <w:pPr>
        <w:spacing w:after="0"/>
        <w:ind w:left="0"/>
        <w:jc w:val="both"/>
      </w:pPr>
      <w:r>
        <w:rPr>
          <w:rFonts w:ascii="Times New Roman"/>
          <w:b w:val="false"/>
          <w:i w:val="false"/>
          <w:color w:val="000000"/>
          <w:sz w:val="28"/>
        </w:rPr>
        <w:t>
Задача 2.2.3. Совершенствование разрешительной системы в сфере архитектурной, градостроительной и строительной деятельности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9"/>
        <w:gridCol w:w="1402"/>
        <w:gridCol w:w="1095"/>
        <w:gridCol w:w="1366"/>
        <w:gridCol w:w="1097"/>
        <w:gridCol w:w="969"/>
        <w:gridCol w:w="816"/>
        <w:gridCol w:w="1034"/>
        <w:gridCol w:w="1136"/>
        <w:gridCol w:w="1226"/>
      </w:tblGrid>
      <w:tr>
        <w:trPr>
          <w:trHeight w:val="315" w:hRule="atLeast"/>
        </w:trPr>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сроков выдачи технических условий на подключение к инженерным сетям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w:t>
            </w:r>
            <w:r>
              <w:br/>
            </w:r>
            <w:r>
              <w:rPr>
                <w:rFonts w:ascii="Times New Roman"/>
                <w:b w:val="false"/>
                <w:i w:val="false"/>
                <w:color w:val="000000"/>
                <w:sz w:val="20"/>
              </w:rPr>
              <w:t>
</w:t>
            </w:r>
            <w:r>
              <w:rPr>
                <w:rFonts w:ascii="Times New Roman"/>
                <w:b w:val="false"/>
                <w:i w:val="false"/>
                <w:color w:val="000000"/>
                <w:sz w:val="20"/>
              </w:rPr>
              <w:t>кая информация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6"/>
        <w:gridCol w:w="985"/>
        <w:gridCol w:w="838"/>
        <w:gridCol w:w="1053"/>
        <w:gridCol w:w="1174"/>
        <w:gridCol w:w="1254"/>
      </w:tblGrid>
      <w:tr>
        <w:trPr>
          <w:trHeight w:val="315" w:hRule="atLeast"/>
        </w:trPr>
        <w:tc>
          <w:tcPr>
            <w:tcW w:w="8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Внесение соответствующих поправок в действующее законодательство по вопросам архитектуры, градостроительства и строительства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 утверждение стандартов и регламентов государственных услуг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Аттестация экспертов, оказывающих экспертные работы и инжиниринговые услуги в сфере архитектуры, градостроительства и строительства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Выдача лицензий в сфере архитектуры, градостроительства и строительства с учетом принципа категорирования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8" w:id="27"/>
    <w:p>
      <w:pPr>
        <w:spacing w:after="0"/>
        <w:ind w:left="0"/>
        <w:jc w:val="both"/>
      </w:pPr>
      <w:r>
        <w:rPr>
          <w:rFonts w:ascii="Times New Roman"/>
          <w:b w:val="false"/>
          <w:i w:val="false"/>
          <w:color w:val="000000"/>
          <w:sz w:val="28"/>
        </w:rPr>
        <w:t>
Цель 2.3. Модернизация и развитие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022, 023, 030, 031, 035, 038, 039, 041, 042, 054</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1186"/>
        <w:gridCol w:w="1221"/>
        <w:gridCol w:w="1118"/>
        <w:gridCol w:w="1118"/>
        <w:gridCol w:w="1118"/>
        <w:gridCol w:w="994"/>
        <w:gridCol w:w="994"/>
        <w:gridCol w:w="1118"/>
        <w:gridCol w:w="994"/>
      </w:tblGrid>
      <w:tr>
        <w:trPr>
          <w:trHeight w:val="42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менее 50 % потребителей к 2015 году в каждом регионе страны удовлетворены качеством коммунальных услуг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w:t>
            </w:r>
            <w:r>
              <w:br/>
            </w:r>
            <w:r>
              <w:rPr>
                <w:rFonts w:ascii="Times New Roman"/>
                <w:b w:val="false"/>
                <w:i w:val="false"/>
                <w:color w:val="000000"/>
                <w:sz w:val="20"/>
              </w:rPr>
              <w:t>
</w:t>
            </w:r>
            <w:r>
              <w:rPr>
                <w:rFonts w:ascii="Times New Roman"/>
                <w:b w:val="false"/>
                <w:i w:val="false"/>
                <w:color w:val="000000"/>
                <w:sz w:val="20"/>
              </w:rPr>
              <w:t>ные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объектов кондоминиума, обеспеченных нормативной эксплуатацией жилищного фонда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расчетные данные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1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 2020 году обеспеченность питьевой водой из централизованных источников водоснабжения в среднем по республике составит 90 %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1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 2020 году обеспеченность доступ к централизованному водоотведению в среднем по республике составит 60 %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1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Износ коммунальных сетей (тепло-, электро-, газоснабжения)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w:t>
            </w:r>
            <w:r>
              <w:br/>
            </w:r>
            <w:r>
              <w:rPr>
                <w:rFonts w:ascii="Times New Roman"/>
                <w:b w:val="false"/>
                <w:i w:val="false"/>
                <w:color w:val="000000"/>
                <w:sz w:val="20"/>
              </w:rPr>
              <w:t>
</w:t>
            </w:r>
            <w:r>
              <w:rPr>
                <w:rFonts w:ascii="Times New Roman"/>
                <w:b w:val="false"/>
                <w:i w:val="false"/>
                <w:color w:val="000000"/>
                <w:sz w:val="20"/>
              </w:rPr>
              <w:t>ные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bl>
    <w:bookmarkStart w:name="z90" w:id="28"/>
    <w:p>
      <w:pPr>
        <w:spacing w:after="0"/>
        <w:ind w:left="0"/>
        <w:jc w:val="both"/>
      </w:pPr>
      <w:r>
        <w:rPr>
          <w:rFonts w:ascii="Times New Roman"/>
          <w:b w:val="false"/>
          <w:i w:val="false"/>
          <w:color w:val="000000"/>
          <w:sz w:val="28"/>
        </w:rPr>
        <w:t>
Пути, средства и методы достижения целевого индикатора:</w:t>
      </w:r>
      <w:r>
        <w:br/>
      </w:r>
      <w:r>
        <w:rPr>
          <w:rFonts w:ascii="Times New Roman"/>
          <w:b w:val="false"/>
          <w:i w:val="false"/>
          <w:color w:val="000000"/>
          <w:sz w:val="28"/>
        </w:rPr>
        <w:t>
</w:t>
      </w:r>
      <w:r>
        <w:rPr>
          <w:rFonts w:ascii="Times New Roman"/>
          <w:b w:val="false"/>
          <w:i w:val="false"/>
          <w:color w:val="000000"/>
          <w:sz w:val="28"/>
        </w:rPr>
        <w:t>
Задача 2.3.1. Внедрение системного подхода при строительстве новых объектов водоснабжения и водоотведения и реконструкции действующих</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7"/>
        <w:gridCol w:w="1406"/>
        <w:gridCol w:w="1130"/>
        <w:gridCol w:w="1254"/>
        <w:gridCol w:w="1125"/>
        <w:gridCol w:w="971"/>
        <w:gridCol w:w="816"/>
        <w:gridCol w:w="1035"/>
        <w:gridCol w:w="1022"/>
        <w:gridCol w:w="1344"/>
      </w:tblGrid>
      <w:tr>
        <w:trPr>
          <w:trHeight w:val="315" w:hRule="atLeast"/>
        </w:trPr>
        <w:tc>
          <w:tcPr>
            <w:tcW w:w="3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количества аварий и остановок на 1 км коммунальных сетей, в том числе: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6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водоотведения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 нормативно-очищенной воды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 к централизованному водоснабжению, в том числе: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городах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0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СНП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Доступ к централизованному водоотведению в городах республики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Доступ к услугам водоотведения в СНП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Протяженность модернизированных сетей водоснабжения в год, в том числе: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городах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СНП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Строительство и реконструкция объектов водоснабжения и водоотведения в городах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Строительство и реконструкция объектов водоснабжения и водоотведения в СНП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6"/>
        <w:gridCol w:w="984"/>
        <w:gridCol w:w="850"/>
        <w:gridCol w:w="1011"/>
        <w:gridCol w:w="1037"/>
        <w:gridCol w:w="1372"/>
      </w:tblGrid>
      <w:tr>
        <w:trPr>
          <w:trHeight w:val="315" w:hRule="atLeast"/>
        </w:trPr>
        <w:tc>
          <w:tcPr>
            <w:tcW w:w="8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и реконструкция объектов водоснабжения и водоотведения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Проведение реконструкции и строительства очистных сооружений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92" w:id="29"/>
    <w:p>
      <w:pPr>
        <w:spacing w:after="0"/>
        <w:ind w:left="0"/>
        <w:jc w:val="both"/>
      </w:pPr>
      <w:r>
        <w:rPr>
          <w:rFonts w:ascii="Times New Roman"/>
          <w:b w:val="false"/>
          <w:i w:val="false"/>
          <w:color w:val="000000"/>
          <w:sz w:val="28"/>
        </w:rPr>
        <w:t>
Задача 2.3.2. Обеспечение содержания жилищного фонда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1448"/>
        <w:gridCol w:w="1125"/>
        <w:gridCol w:w="1250"/>
        <w:gridCol w:w="1122"/>
        <w:gridCol w:w="969"/>
        <w:gridCol w:w="815"/>
        <w:gridCol w:w="1033"/>
        <w:gridCol w:w="1020"/>
        <w:gridCol w:w="1340"/>
      </w:tblGrid>
      <w:tr>
        <w:trPr>
          <w:trHeight w:val="315" w:hRule="atLeast"/>
        </w:trPr>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16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капитального ремонта объектов кондоминиума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домов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1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городского населения, охваченного мероприятиями по пропаганде политики энергосбережения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«КЦМРЖКХ»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обученных от общего количества работников и специалистов сферы ЖКХ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«КЦМРЖКХ»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Типовой проект для термомодернизации жилого многоквартирного дома в </w:t>
            </w:r>
            <w:r>
              <w:br/>
            </w:r>
            <w:r>
              <w:rPr>
                <w:rFonts w:ascii="Times New Roman"/>
                <w:b w:val="false"/>
                <w:i w:val="false"/>
                <w:color w:val="000000"/>
                <w:sz w:val="20"/>
              </w:rPr>
              <w:t>
</w:t>
            </w:r>
            <w:r>
              <w:rPr>
                <w:rFonts w:ascii="Times New Roman"/>
                <w:b w:val="false"/>
                <w:i w:val="false"/>
                <w:color w:val="000000"/>
                <w:sz w:val="20"/>
              </w:rPr>
              <w:t xml:space="preserve">п. Пригородный (с возможностью тиражирования проекта для других типовых зданий на схожих территориях)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«КЦМРЖКХ»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1"/>
        <w:gridCol w:w="981"/>
        <w:gridCol w:w="822"/>
        <w:gridCol w:w="1047"/>
        <w:gridCol w:w="1034"/>
        <w:gridCol w:w="1365"/>
      </w:tblGrid>
      <w:tr>
        <w:trPr>
          <w:trHeight w:val="315" w:hRule="atLeast"/>
        </w:trPr>
        <w:tc>
          <w:tcPr>
            <w:tcW w:w="8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ремонта объектов кондоминиума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сноса объектов кондоминиума, находящихся в аварийном состоянии</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накоплений собственниками помещений (квартир) в качестве софинансирования проведения ремонта объектов кондоминиума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информационно-разъяснительной работы по пропаганде политики энергосбережения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инвентаризации состояния систем и объектов ЖКХ на регулярной основе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Сбор данных по основным показателям состояния систем и объектов ЖКХ на регулярной основе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Проведение курсов повышения квалификации работников и специалистов сферы жилищного хозяйства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rPr>
                <w:rFonts w:ascii="Times New Roman"/>
                <w:b w:val="false"/>
                <w:i w:val="false"/>
                <w:color w:val="ff0000"/>
                <w:sz w:val="20"/>
              </w:rPr>
              <w:t xml:space="preserve">Исключена постановлением Правительства РК от 29.05.2014 </w:t>
            </w:r>
            <w:r>
              <w:rPr>
                <w:rFonts w:ascii="Times New Roman"/>
                <w:b w:val="false"/>
                <w:i w:val="false"/>
                <w:color w:val="000000"/>
                <w:sz w:val="20"/>
              </w:rPr>
              <w:t>№ 576</w:t>
            </w:r>
            <w:r>
              <w:rPr>
                <w:rFonts w:ascii="Times New Roman"/>
                <w:b w:val="false"/>
                <w:i w:val="false"/>
                <w:color w:val="ff0000"/>
                <w:sz w:val="20"/>
              </w:rPr>
              <w:t>.</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Тиражирование и распространение печатной информационной продукции об энергосбережении</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Подготовка материалов и публикаций на государственном и русском языках в региональных газетах с общим тиражом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Разработка и распространение периодического издания «Реформы ЖКХ»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Организация и проведение ежегодного республиканского конкурса «Лучшая организация по управлению объектом кондоминиума»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Организация информационно-консультационных пунктов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Организация информационно-разъяснительной телевизионной программы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Проведение семинаров (10, 5, 3 дневные курсы)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Проведение региональных конференций</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Оснащение потребителей общедомовыми приборами учета тепловой энергии</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3" w:id="30"/>
    <w:p>
      <w:pPr>
        <w:spacing w:after="0"/>
        <w:ind w:left="0"/>
        <w:jc w:val="both"/>
      </w:pPr>
      <w:r>
        <w:rPr>
          <w:rFonts w:ascii="Times New Roman"/>
          <w:b w:val="false"/>
          <w:i w:val="false"/>
          <w:color w:val="000000"/>
          <w:sz w:val="28"/>
        </w:rPr>
        <w:t>
Задача 2.3.3. Модернизация коммунальной инфраструктуры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7"/>
        <w:gridCol w:w="1509"/>
        <w:gridCol w:w="1027"/>
        <w:gridCol w:w="1254"/>
        <w:gridCol w:w="1125"/>
        <w:gridCol w:w="971"/>
        <w:gridCol w:w="816"/>
        <w:gridCol w:w="1035"/>
        <w:gridCol w:w="1022"/>
        <w:gridCol w:w="1344"/>
      </w:tblGrid>
      <w:tr>
        <w:trPr>
          <w:trHeight w:val="315" w:hRule="atLeast"/>
        </w:trPr>
        <w:tc>
          <w:tcPr>
            <w:tcW w:w="3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сетей, нуждающихся в ремонте, в том числе: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Протяженность модернизированных сетей (из республиканского бюджета)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7"/>
        <w:gridCol w:w="980"/>
        <w:gridCol w:w="821"/>
        <w:gridCol w:w="1046"/>
        <w:gridCol w:w="1033"/>
        <w:gridCol w:w="1363"/>
      </w:tblGrid>
      <w:tr>
        <w:trPr>
          <w:trHeight w:val="315" w:hRule="atLeast"/>
        </w:trPr>
        <w:tc>
          <w:tcPr>
            <w:tcW w:w="8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реконструкции и модернизации сетей путем выделения целевых трансфертов на развитие коммунального хозяйства и благоустройство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оценки технического состояния инженерных сетей (систем теплоснабжения)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Проектно-сметная документация для модернизации сети теплоснабжения п. Пригородный (разовое мероприятие)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и реализация проекта «Реабилитация сетей централизованного теплоснабжения в г. Караганда» в соответствии со</w:t>
            </w:r>
            <w:r>
              <w:rPr>
                <w:rFonts w:ascii="Times New Roman"/>
                <w:b w:val="false"/>
                <w:i w:val="false"/>
                <w:color w:val="000000"/>
                <w:sz w:val="20"/>
              </w:rPr>
              <w:t> </w:t>
            </w:r>
            <w:r>
              <w:rPr>
                <w:rFonts w:ascii="Times New Roman"/>
                <w:b w:val="false"/>
                <w:i w:val="false"/>
                <w:color w:val="000000"/>
                <w:sz w:val="20"/>
              </w:rPr>
              <w:t xml:space="preserve">Страновой стратегией партнерства Азиатского Банка Развития и Казахстана на 2012 – 2016 годы от 23 июля 2012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94" w:id="31"/>
    <w:p>
      <w:pPr>
        <w:spacing w:after="0"/>
        <w:ind w:left="0"/>
        <w:jc w:val="both"/>
      </w:pPr>
      <w:r>
        <w:rPr>
          <w:rFonts w:ascii="Times New Roman"/>
          <w:b w:val="false"/>
          <w:i w:val="false"/>
          <w:color w:val="000000"/>
          <w:sz w:val="28"/>
        </w:rPr>
        <w:t>
Стратегическое направление 3. Использование земельных ресурсов и развитие отрасли геодезии и картографии</w:t>
      </w:r>
      <w:r>
        <w:br/>
      </w:r>
      <w:r>
        <w:rPr>
          <w:rFonts w:ascii="Times New Roman"/>
          <w:b w:val="false"/>
          <w:i w:val="false"/>
          <w:color w:val="000000"/>
          <w:sz w:val="28"/>
        </w:rPr>
        <w:t>
</w:t>
      </w:r>
      <w:r>
        <w:rPr>
          <w:rFonts w:ascii="Times New Roman"/>
          <w:b w:val="false"/>
          <w:i w:val="false"/>
          <w:color w:val="000000"/>
          <w:sz w:val="28"/>
        </w:rPr>
        <w:t>
Цель 3.1. Формирование системы сведений о земельных ресурсах, соблюдения земельного законодательства</w:t>
      </w:r>
      <w:r>
        <w:br/>
      </w:r>
      <w:r>
        <w:rPr>
          <w:rFonts w:ascii="Times New Roman"/>
          <w:b w:val="false"/>
          <w:i w:val="false"/>
          <w:color w:val="000000"/>
          <w:sz w:val="28"/>
        </w:rPr>
        <w:t>
</w:t>
      </w:r>
      <w:r>
        <w:rPr>
          <w:rFonts w:ascii="Times New Roman"/>
          <w:b w:val="false"/>
          <w:i w:val="false"/>
          <w:color w:val="000000"/>
          <w:sz w:val="28"/>
        </w:rPr>
        <w:t>
Код бюджетной программы, направленных на достижение данной цели, 019</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1376"/>
        <w:gridCol w:w="1109"/>
        <w:gridCol w:w="1325"/>
        <w:gridCol w:w="1125"/>
        <w:gridCol w:w="1125"/>
        <w:gridCol w:w="1125"/>
        <w:gridCol w:w="1000"/>
        <w:gridCol w:w="1125"/>
        <w:gridCol w:w="887"/>
      </w:tblGrid>
      <w:tr>
        <w:trPr>
          <w:trHeight w:val="315" w:hRule="atLeast"/>
        </w:trPr>
        <w:tc>
          <w:tcPr>
            <w:tcW w:w="3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обновления информации по качественному состоянию земель для повышения плодородия почв, а также исчисления налогов, арендной платы и кадастровой стоимости земель</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w:t>
            </w:r>
            <w:r>
              <w:br/>
            </w:r>
            <w:r>
              <w:rPr>
                <w:rFonts w:ascii="Times New Roman"/>
                <w:b w:val="false"/>
                <w:i w:val="false"/>
                <w:color w:val="000000"/>
                <w:sz w:val="20"/>
              </w:rPr>
              <w:t>
</w:t>
            </w:r>
            <w:r>
              <w:rPr>
                <w:rFonts w:ascii="Times New Roman"/>
                <w:b w:val="false"/>
                <w:i w:val="false"/>
                <w:color w:val="000000"/>
                <w:sz w:val="20"/>
              </w:rPr>
              <w:t>кий отчет о состоянии и использовании земель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Обеспечение сведениями земельного кадастра государственных органов, учреждений, граждан в электронном формате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w:t>
            </w:r>
            <w:r>
              <w:br/>
            </w:r>
            <w:r>
              <w:rPr>
                <w:rFonts w:ascii="Times New Roman"/>
                <w:b w:val="false"/>
                <w:i w:val="false"/>
                <w:color w:val="000000"/>
                <w:sz w:val="20"/>
              </w:rPr>
              <w:t>
</w:t>
            </w:r>
            <w:r>
              <w:rPr>
                <w:rFonts w:ascii="Times New Roman"/>
                <w:b w:val="false"/>
                <w:i w:val="false"/>
                <w:color w:val="000000"/>
                <w:sz w:val="20"/>
              </w:rPr>
              <w:t xml:space="preserve">кий отчет о состоянии и использовании земель Республики Казахстан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bl>
    <w:bookmarkStart w:name="z97" w:id="32"/>
    <w:p>
      <w:pPr>
        <w:spacing w:after="0"/>
        <w:ind w:left="0"/>
        <w:jc w:val="both"/>
      </w:pPr>
      <w:r>
        <w:rPr>
          <w:rFonts w:ascii="Times New Roman"/>
          <w:b w:val="false"/>
          <w:i w:val="false"/>
          <w:color w:val="000000"/>
          <w:sz w:val="28"/>
        </w:rPr>
        <w:t>
Пути, средства и методы достижения целевого индикатора:</w:t>
      </w:r>
      <w:r>
        <w:br/>
      </w:r>
      <w:r>
        <w:rPr>
          <w:rFonts w:ascii="Times New Roman"/>
          <w:b w:val="false"/>
          <w:i w:val="false"/>
          <w:color w:val="000000"/>
          <w:sz w:val="28"/>
        </w:rPr>
        <w:t>
</w:t>
      </w:r>
      <w:r>
        <w:rPr>
          <w:rFonts w:ascii="Times New Roman"/>
          <w:b w:val="false"/>
          <w:i w:val="false"/>
          <w:color w:val="000000"/>
          <w:sz w:val="28"/>
        </w:rPr>
        <w:t>
Задача 3.1.1. Повышение уровня информационного обеспечения о качественном состоянии земельных ресурсов</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1371"/>
        <w:gridCol w:w="913"/>
        <w:gridCol w:w="1536"/>
        <w:gridCol w:w="1169"/>
        <w:gridCol w:w="1272"/>
        <w:gridCol w:w="958"/>
        <w:gridCol w:w="1135"/>
        <w:gridCol w:w="1192"/>
        <w:gridCol w:w="946"/>
      </w:tblGrid>
      <w:tr>
        <w:trPr>
          <w:trHeight w:val="360" w:hRule="atLeast"/>
        </w:trPr>
        <w:tc>
          <w:tcPr>
            <w:tcW w:w="3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Почвенные обследования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w:t>
            </w:r>
            <w:r>
              <w:br/>
            </w:r>
            <w:r>
              <w:rPr>
                <w:rFonts w:ascii="Times New Roman"/>
                <w:b w:val="false"/>
                <w:i w:val="false"/>
                <w:color w:val="000000"/>
                <w:sz w:val="20"/>
              </w:rPr>
              <w:t>
</w:t>
            </w:r>
            <w:r>
              <w:rPr>
                <w:rFonts w:ascii="Times New Roman"/>
                <w:b w:val="false"/>
                <w:i w:val="false"/>
                <w:color w:val="000000"/>
                <w:sz w:val="20"/>
              </w:rPr>
              <w:t>кий отчет о состоянии и использовании земель Республики Казахстан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w:t>
            </w:r>
          </w:p>
        </w:tc>
      </w:tr>
      <w:tr>
        <w:trPr>
          <w:trHeight w:val="7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Обновление почвенных материалов для паспортизации земель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w:t>
            </w:r>
            <w:r>
              <w:br/>
            </w:r>
            <w:r>
              <w:rPr>
                <w:rFonts w:ascii="Times New Roman"/>
                <w:b w:val="false"/>
                <w:i w:val="false"/>
                <w:color w:val="000000"/>
                <w:sz w:val="20"/>
              </w:rPr>
              <w:t>
</w:t>
            </w:r>
            <w:r>
              <w:rPr>
                <w:rFonts w:ascii="Times New Roman"/>
                <w:b w:val="false"/>
                <w:i w:val="false"/>
                <w:color w:val="000000"/>
                <w:sz w:val="20"/>
              </w:rPr>
              <w:t>кий отчет о состоянии и использовании земель Республики Казахстан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12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Геоботанические обследования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w:t>
            </w:r>
            <w:r>
              <w:br/>
            </w:r>
            <w:r>
              <w:rPr>
                <w:rFonts w:ascii="Times New Roman"/>
                <w:b w:val="false"/>
                <w:i w:val="false"/>
                <w:color w:val="000000"/>
                <w:sz w:val="20"/>
              </w:rPr>
              <w:t>
</w:t>
            </w:r>
            <w:r>
              <w:rPr>
                <w:rFonts w:ascii="Times New Roman"/>
                <w:b w:val="false"/>
                <w:i w:val="false"/>
                <w:color w:val="000000"/>
                <w:sz w:val="20"/>
              </w:rPr>
              <w:t xml:space="preserve">кий отчет о состоянии и использовании земель Республики Казахстан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12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Определение бонитета почв сельскохозяйственного назначения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аналитический отчет о состоянии и использовании земель Республики Казахстан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w:t>
            </w:r>
          </w:p>
        </w:tc>
      </w:tr>
      <w:tr>
        <w:trPr>
          <w:trHeight w:val="49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бонитета почв для целей паспортизации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аналитический отчет о состоянии и использовании земель Республики Казахстан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49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Мониторинг земель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аналитический отчет о состоянии и использовании земель Республики Казахстан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49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Паспортизация земельных участков крестьянских хозяйств</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аналитический отчет о состоянии и использовании земель Республики Казахстан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9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Увеличение государственных услуг, оказываемых физическим и юридическим лицам в электронном формате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аналитический отчет о состоянии и использовании земель Республики Казахстан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0"/>
        <w:gridCol w:w="1106"/>
        <w:gridCol w:w="1158"/>
        <w:gridCol w:w="1054"/>
        <w:gridCol w:w="1132"/>
        <w:gridCol w:w="1340"/>
      </w:tblGrid>
      <w:tr>
        <w:trPr>
          <w:trHeight w:val="165" w:hRule="atLeast"/>
        </w:trPr>
        <w:tc>
          <w:tcPr>
            <w:tcW w:w="8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изысканий сельскохозяйственных угодий, подлежащих обследованию, в том числе: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почвенной карты и написание почвенного очерка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геоботанической карты кормовых угодий</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картограммы баллов бонитета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Ведение мониторинга земель</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Составление паспорта земельного участка крестьянских хозяйств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Предоставление информации и рекомендаций для своевременного принятия мер по предотвращению ухудшения качественного состояния земель</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Принятие мер по автоматизации государственных услуг</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и утверждение стандартов и регламентов государственных услуг</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Вычисление площадей сельско-хозяйственных угодий, почвенных и геоботанических контуров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99" w:id="33"/>
    <w:p>
      <w:pPr>
        <w:spacing w:after="0"/>
        <w:ind w:left="0"/>
        <w:jc w:val="both"/>
      </w:pPr>
      <w:r>
        <w:rPr>
          <w:rFonts w:ascii="Times New Roman"/>
          <w:b w:val="false"/>
          <w:i w:val="false"/>
          <w:color w:val="000000"/>
          <w:sz w:val="28"/>
        </w:rPr>
        <w:t>
Задача 3.1.2. Повышение уровня информационного обеспечения о количественном состоянии земельных ресурсов и земельно-кадастровых сведений в электронном формате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1"/>
        <w:gridCol w:w="1661"/>
        <w:gridCol w:w="787"/>
        <w:gridCol w:w="1175"/>
        <w:gridCol w:w="1238"/>
        <w:gridCol w:w="1358"/>
        <w:gridCol w:w="1394"/>
        <w:gridCol w:w="900"/>
        <w:gridCol w:w="996"/>
        <w:gridCol w:w="780"/>
      </w:tblGrid>
      <w:tr>
        <w:trPr>
          <w:trHeight w:val="315" w:hRule="atLeast"/>
        </w:trPr>
        <w:tc>
          <w:tcPr>
            <w:tcW w:w="3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Инвентаризация сельскохозяйственных угодий, вовлеченных в сельскохозяйственный оборот (ежегодно)</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наличии и использовании земель сельскохозяйствен-</w:t>
            </w:r>
            <w:r>
              <w:br/>
            </w:r>
            <w:r>
              <w:rPr>
                <w:rFonts w:ascii="Times New Roman"/>
                <w:b w:val="false"/>
                <w:i w:val="false"/>
                <w:color w:val="000000"/>
                <w:sz w:val="20"/>
              </w:rPr>
              <w:t>
</w:t>
            </w:r>
            <w:r>
              <w:rPr>
                <w:rFonts w:ascii="Times New Roman"/>
                <w:b w:val="false"/>
                <w:i w:val="false"/>
                <w:color w:val="000000"/>
                <w:sz w:val="20"/>
              </w:rPr>
              <w:t xml:space="preserve">ного назначения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электронного архива земельно-кадастровых дел (сканирование)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w:t>
            </w:r>
            <w:r>
              <w:br/>
            </w:r>
            <w:r>
              <w:rPr>
                <w:rFonts w:ascii="Times New Roman"/>
                <w:b w:val="false"/>
                <w:i w:val="false"/>
                <w:color w:val="000000"/>
                <w:sz w:val="20"/>
              </w:rPr>
              <w:t>
</w:t>
            </w:r>
            <w:r>
              <w:rPr>
                <w:rFonts w:ascii="Times New Roman"/>
                <w:b w:val="false"/>
                <w:i w:val="false"/>
                <w:color w:val="000000"/>
                <w:sz w:val="20"/>
              </w:rPr>
              <w:t>кий отчет о состоянии и использовании земель Республики Казахстан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шт.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электронных земельно-кадастровых карт учетных кварталов, сформированных на землях городов и населенных пунктов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w:t>
            </w:r>
            <w:r>
              <w:br/>
            </w:r>
            <w:r>
              <w:rPr>
                <w:rFonts w:ascii="Times New Roman"/>
                <w:b w:val="false"/>
                <w:i w:val="false"/>
                <w:color w:val="000000"/>
                <w:sz w:val="20"/>
              </w:rPr>
              <w:t>
</w:t>
            </w:r>
            <w:r>
              <w:rPr>
                <w:rFonts w:ascii="Times New Roman"/>
                <w:b w:val="false"/>
                <w:i w:val="false"/>
                <w:color w:val="000000"/>
                <w:sz w:val="20"/>
              </w:rPr>
              <w:t>кий отчет о состоянии и использовании земель Республики Казахстан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9"/>
        <w:gridCol w:w="1144"/>
        <w:gridCol w:w="1444"/>
        <w:gridCol w:w="923"/>
        <w:gridCol w:w="1027"/>
        <w:gridCol w:w="793"/>
      </w:tblGrid>
      <w:tr>
        <w:trPr>
          <w:trHeight w:val="375" w:hRule="atLeast"/>
        </w:trPr>
        <w:tc>
          <w:tcPr>
            <w:tcW w:w="8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495" w:hRule="atLeast"/>
        </w:trPr>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180"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Ведение государственного учета земель</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Инвентаризация сельскохозяйственных угодий, вовлеченных в сельскохозяйственный оборот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аэрокосмосъемочных работ для получения цифровой планово-картографической продукции, обеспечивающей ведение государственного земельного кадастра на территории Республики Казахстан, в том числе: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цифровая аэрокосмосъемка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дешифрирование сельскохозяйственных угодий, топографических контуров, земель городов, поселков, СНП и выполнение комплекса изыскательских работ по привязке аэрокосмоснимков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выдача конечной цифровой планово-картографической продукции</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Осуществление сканирования земельно-кадастровых дел посредством подсистемы АИС ГЗК «Архив»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Изготовление электронных земельно-кадастровых карт учетных кварталов, сформированных на землях городов и населенных пунктов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Реализация взаимодействия АИС ГЗК с ИС государственных органов Республики Казахстан в рамках электронного правительства» путем передачи сведений о земельных участках и их землепользователях/собственниках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Актуализация базы данных АИС ГЗК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Представление сведений государственного земельного кадастра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0" w:id="34"/>
    <w:p>
      <w:pPr>
        <w:spacing w:after="0"/>
        <w:ind w:left="0"/>
        <w:jc w:val="both"/>
      </w:pPr>
      <w:r>
        <w:rPr>
          <w:rFonts w:ascii="Times New Roman"/>
          <w:b w:val="false"/>
          <w:i w:val="false"/>
          <w:color w:val="000000"/>
          <w:sz w:val="28"/>
        </w:rPr>
        <w:t>
Задача 3.1.3. Выявление и устранение нарушений земельного законодательства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4"/>
        <w:gridCol w:w="1378"/>
        <w:gridCol w:w="959"/>
        <w:gridCol w:w="1201"/>
        <w:gridCol w:w="1126"/>
        <w:gridCol w:w="762"/>
        <w:gridCol w:w="1000"/>
        <w:gridCol w:w="1126"/>
        <w:gridCol w:w="1000"/>
        <w:gridCol w:w="774"/>
      </w:tblGrid>
      <w:tr>
        <w:trPr>
          <w:trHeight w:val="150" w:hRule="atLeast"/>
        </w:trPr>
        <w:tc>
          <w:tcPr>
            <w:tcW w:w="4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15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Устраняемость выявленных нарушений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7"/>
        <w:gridCol w:w="1029"/>
        <w:gridCol w:w="1055"/>
        <w:gridCol w:w="846"/>
        <w:gridCol w:w="1016"/>
        <w:gridCol w:w="767"/>
      </w:tblGrid>
      <w:tr>
        <w:trPr>
          <w:trHeight w:val="150" w:hRule="atLeast"/>
        </w:trPr>
        <w:tc>
          <w:tcPr>
            <w:tcW w:w="9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15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135" w:hRule="atLeast"/>
        </w:trPr>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соответствующих мер по устранению нарушений земельного законодательства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1" w:id="35"/>
    <w:p>
      <w:pPr>
        <w:spacing w:after="0"/>
        <w:ind w:left="0"/>
        <w:jc w:val="both"/>
      </w:pPr>
      <w:r>
        <w:rPr>
          <w:rFonts w:ascii="Times New Roman"/>
          <w:b w:val="false"/>
          <w:i w:val="false"/>
          <w:color w:val="000000"/>
          <w:sz w:val="28"/>
        </w:rPr>
        <w:t>
Цель 3.2. Геодезическое и картографическое обеспечение территории Республики Казахстан, соответствующее современному состоянию местности и топонимике</w:t>
      </w:r>
      <w:r>
        <w:br/>
      </w:r>
      <w:r>
        <w:rPr>
          <w:rFonts w:ascii="Times New Roman"/>
          <w:b w:val="false"/>
          <w:i w:val="false"/>
          <w:color w:val="000000"/>
          <w:sz w:val="28"/>
        </w:rPr>
        <w:t>
</w:t>
      </w:r>
      <w:r>
        <w:rPr>
          <w:rFonts w:ascii="Times New Roman"/>
          <w:b w:val="false"/>
          <w:i w:val="false"/>
          <w:color w:val="000000"/>
          <w:sz w:val="28"/>
        </w:rPr>
        <w:t>
Код бюджетной программы, направленной на достижение данной цели, 020</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8"/>
        <w:gridCol w:w="1065"/>
        <w:gridCol w:w="1099"/>
        <w:gridCol w:w="1033"/>
        <w:gridCol w:w="1119"/>
        <w:gridCol w:w="1231"/>
        <w:gridCol w:w="1119"/>
        <w:gridCol w:w="995"/>
        <w:gridCol w:w="995"/>
        <w:gridCol w:w="996"/>
      </w:tblGrid>
      <w:tr>
        <w:trPr>
          <w:trHeight w:val="375" w:hRule="atLeast"/>
        </w:trPr>
        <w:tc>
          <w:tcPr>
            <w:tcW w:w="4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55"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геодезической и картографической продукцией, соответствующей современному состоянию местности и топонимике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каталоги координат и высот, карты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bookmarkStart w:name="z103" w:id="36"/>
    <w:p>
      <w:pPr>
        <w:spacing w:after="0"/>
        <w:ind w:left="0"/>
        <w:jc w:val="both"/>
      </w:pPr>
      <w:r>
        <w:rPr>
          <w:rFonts w:ascii="Times New Roman"/>
          <w:b w:val="false"/>
          <w:i w:val="false"/>
          <w:color w:val="000000"/>
          <w:sz w:val="28"/>
        </w:rPr>
        <w:t>
Пути, средства и методы достижения целевого индикатора:</w:t>
      </w:r>
      <w:r>
        <w:br/>
      </w:r>
      <w:r>
        <w:rPr>
          <w:rFonts w:ascii="Times New Roman"/>
          <w:b w:val="false"/>
          <w:i w:val="false"/>
          <w:color w:val="000000"/>
          <w:sz w:val="28"/>
        </w:rPr>
        <w:t>
</w:t>
      </w:r>
      <w:r>
        <w:rPr>
          <w:rFonts w:ascii="Times New Roman"/>
          <w:b w:val="false"/>
          <w:i w:val="false"/>
          <w:color w:val="000000"/>
          <w:sz w:val="28"/>
        </w:rPr>
        <w:t>
Задача 3.2.1. Геодезическое обеспечение обновления государственных топографических карт, создания крупномасштабных планов городов на основе дистанционного зондирования Земли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4"/>
        <w:gridCol w:w="976"/>
        <w:gridCol w:w="1073"/>
        <w:gridCol w:w="1201"/>
        <w:gridCol w:w="1176"/>
        <w:gridCol w:w="1176"/>
        <w:gridCol w:w="1055"/>
        <w:gridCol w:w="1143"/>
        <w:gridCol w:w="1143"/>
        <w:gridCol w:w="1143"/>
      </w:tblGrid>
      <w:tr>
        <w:trPr>
          <w:trHeight w:val="150" w:hRule="atLeast"/>
        </w:trPr>
        <w:tc>
          <w:tcPr>
            <w:tcW w:w="3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Аэрокосмосъемочные материалы территорий,</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аэрокосмоснимок, ортофотоплан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водоемов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Государственные топографические карты масштабного ряда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обновленный</w:t>
            </w:r>
            <w:r>
              <w:br/>
            </w:r>
            <w:r>
              <w:rPr>
                <w:rFonts w:ascii="Times New Roman"/>
                <w:b w:val="false"/>
                <w:i w:val="false"/>
                <w:color w:val="000000"/>
                <w:sz w:val="20"/>
              </w:rPr>
              <w:t>
</w:t>
            </w:r>
            <w:r>
              <w:rPr>
                <w:rFonts w:ascii="Times New Roman"/>
                <w:b w:val="false"/>
                <w:i w:val="false"/>
                <w:color w:val="000000"/>
                <w:sz w:val="20"/>
              </w:rPr>
              <w:t>оригинал</w:t>
            </w:r>
            <w:r>
              <w:br/>
            </w:r>
            <w:r>
              <w:rPr>
                <w:rFonts w:ascii="Times New Roman"/>
                <w:b w:val="false"/>
                <w:i w:val="false"/>
                <w:color w:val="000000"/>
                <w:sz w:val="20"/>
              </w:rPr>
              <w:t>
</w:t>
            </w:r>
            <w:r>
              <w:rPr>
                <w:rFonts w:ascii="Times New Roman"/>
                <w:b w:val="false"/>
                <w:i w:val="false"/>
                <w:color w:val="000000"/>
                <w:sz w:val="20"/>
              </w:rPr>
              <w:t>карты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Крупномасштабные планы: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топографичес-</w:t>
            </w:r>
            <w:r>
              <w:br/>
            </w:r>
            <w:r>
              <w:rPr>
                <w:rFonts w:ascii="Times New Roman"/>
                <w:b w:val="false"/>
                <w:i w:val="false"/>
                <w:color w:val="000000"/>
                <w:sz w:val="20"/>
              </w:rPr>
              <w:t>
</w:t>
            </w:r>
            <w:r>
              <w:rPr>
                <w:rFonts w:ascii="Times New Roman"/>
                <w:b w:val="false"/>
                <w:i w:val="false"/>
                <w:color w:val="000000"/>
                <w:sz w:val="20"/>
              </w:rPr>
              <w:t>кий план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полевые (кв. км)/камераль-</w:t>
            </w:r>
            <w:r>
              <w:br/>
            </w:r>
            <w:r>
              <w:rPr>
                <w:rFonts w:ascii="Times New Roman"/>
                <w:b w:val="false"/>
                <w:i w:val="false"/>
                <w:color w:val="000000"/>
                <w:sz w:val="20"/>
              </w:rPr>
              <w:t>
</w:t>
            </w:r>
            <w:r>
              <w:rPr>
                <w:rFonts w:ascii="Times New Roman"/>
                <w:b w:val="false"/>
                <w:i w:val="false"/>
                <w:color w:val="000000"/>
                <w:sz w:val="20"/>
              </w:rPr>
              <w:t>ные  (лист)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596/446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 875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 1400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1711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 1404</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водоемов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Нивелирование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r>
              <w:br/>
            </w:r>
            <w:r>
              <w:rPr>
                <w:rFonts w:ascii="Times New Roman"/>
                <w:b w:val="false"/>
                <w:i w:val="false"/>
                <w:color w:val="000000"/>
                <w:sz w:val="20"/>
              </w:rPr>
              <w:t>
</w:t>
            </w:r>
            <w:r>
              <w:rPr>
                <w:rFonts w:ascii="Times New Roman"/>
                <w:b w:val="false"/>
                <w:i w:val="false"/>
                <w:color w:val="000000"/>
                <w:sz w:val="20"/>
              </w:rPr>
              <w:t>высот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погон</w:t>
            </w:r>
            <w:r>
              <w:br/>
            </w:r>
            <w:r>
              <w:rPr>
                <w:rFonts w:ascii="Times New Roman"/>
                <w:b w:val="false"/>
                <w:i w:val="false"/>
                <w:color w:val="000000"/>
                <w:sz w:val="20"/>
              </w:rPr>
              <w:t>
</w:t>
            </w:r>
            <w:r>
              <w:rPr>
                <w:rFonts w:ascii="Times New Roman"/>
                <w:b w:val="false"/>
                <w:i w:val="false"/>
                <w:color w:val="000000"/>
                <w:sz w:val="20"/>
              </w:rPr>
              <w:t>км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3"/>
        <w:gridCol w:w="1086"/>
        <w:gridCol w:w="983"/>
        <w:gridCol w:w="1086"/>
        <w:gridCol w:w="1086"/>
        <w:gridCol w:w="1086"/>
      </w:tblGrid>
      <w:tr>
        <w:trPr>
          <w:trHeight w:val="270" w:hRule="atLeast"/>
        </w:trPr>
        <w:tc>
          <w:tcPr>
            <w:tcW w:w="8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70" w:hRule="atLeast"/>
        </w:trPr>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Аэрокосмосъемка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территорий,</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городов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работ по нивелированию</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Обновление государственных топографических карт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крупномасштабных планов городов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Геодинамическое исследование для определения современных движений земной коры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5" w:id="37"/>
    <w:p>
      <w:pPr>
        <w:spacing w:after="0"/>
        <w:ind w:left="0"/>
        <w:jc w:val="both"/>
      </w:pPr>
      <w:r>
        <w:rPr>
          <w:rFonts w:ascii="Times New Roman"/>
          <w:b w:val="false"/>
          <w:i w:val="false"/>
          <w:color w:val="000000"/>
          <w:sz w:val="28"/>
        </w:rPr>
        <w:t>
Задача 3.2.2. Создание и издание картографической продукции, формирование и ведение Национального картографо-геодезического фонда Республики Казахстан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7"/>
        <w:gridCol w:w="1172"/>
        <w:gridCol w:w="950"/>
        <w:gridCol w:w="1227"/>
        <w:gridCol w:w="1116"/>
        <w:gridCol w:w="1141"/>
        <w:gridCol w:w="1067"/>
        <w:gridCol w:w="1412"/>
        <w:gridCol w:w="1449"/>
        <w:gridCol w:w="1019"/>
      </w:tblGrid>
      <w:tr>
        <w:trPr>
          <w:trHeight w:val="270" w:hRule="atLeast"/>
        </w:trPr>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7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Картографическая продукция в цифровом виде на государственном</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цифровая</w:t>
            </w:r>
            <w:r>
              <w:br/>
            </w:r>
            <w:r>
              <w:rPr>
                <w:rFonts w:ascii="Times New Roman"/>
                <w:b w:val="false"/>
                <w:i w:val="false"/>
                <w:color w:val="000000"/>
                <w:sz w:val="20"/>
              </w:rPr>
              <w:t>
</w:t>
            </w:r>
            <w:r>
              <w:rPr>
                <w:rFonts w:ascii="Times New Roman"/>
                <w:b w:val="false"/>
                <w:i w:val="false"/>
                <w:color w:val="000000"/>
                <w:sz w:val="20"/>
              </w:rPr>
              <w:t>карта</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русском языках,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топографических карт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Государственные каталоги географических названий Республики Казахстан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4"/>
        <w:gridCol w:w="919"/>
        <w:gridCol w:w="1292"/>
        <w:gridCol w:w="996"/>
        <w:gridCol w:w="983"/>
        <w:gridCol w:w="996"/>
      </w:tblGrid>
      <w:tr>
        <w:trPr>
          <w:trHeight w:val="270" w:hRule="atLeast"/>
        </w:trPr>
        <w:tc>
          <w:tcPr>
            <w:tcW w:w="8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70" w:hRule="atLeast"/>
        </w:trPr>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и издание государственных топографических карт на основе цифрового картографирования на государственном и русском языках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Расширение базы данных, обновление государственных каталогов географических названий Республики Казахстан на государственном и русском языках Республики Казахстан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нормативно-технических документов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Учет, хранение и обеспечение субъектов геодезической и картографической деятельности геодезическими и картографическими данными и материалами Национального картографо-геодезического фонда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6" w:id="38"/>
    <w:p>
      <w:pPr>
        <w:spacing w:after="0"/>
        <w:ind w:left="0"/>
        <w:jc w:val="both"/>
      </w:pPr>
      <w:r>
        <w:rPr>
          <w:rFonts w:ascii="Times New Roman"/>
          <w:b w:val="false"/>
          <w:i w:val="false"/>
          <w:color w:val="000000"/>
          <w:sz w:val="28"/>
        </w:rPr>
        <w:t>
3.2. Соответствие стратегических направлений и целей</w:t>
      </w:r>
      <w:r>
        <w:br/>
      </w:r>
      <w:r>
        <w:rPr>
          <w:rFonts w:ascii="Times New Roman"/>
          <w:b w:val="false"/>
          <w:i w:val="false"/>
          <w:color w:val="000000"/>
          <w:sz w:val="28"/>
        </w:rPr>
        <w:t>
государственного органа стратегическим целям государства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6795"/>
      </w:tblGrid>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Социально-экономическое развитие регионов и государственная поддержка предпринимательства</w:t>
            </w:r>
            <w:r>
              <w:br/>
            </w:r>
            <w:r>
              <w:rPr>
                <w:rFonts w:ascii="Times New Roman"/>
                <w:b w:val="false"/>
                <w:i w:val="false"/>
                <w:color w:val="000000"/>
                <w:sz w:val="20"/>
              </w:rPr>
              <w:t>
</w:t>
            </w:r>
            <w:r>
              <w:rPr>
                <w:rFonts w:ascii="Times New Roman"/>
                <w:b w:val="false"/>
                <w:i w:val="false"/>
                <w:color w:val="000000"/>
                <w:sz w:val="20"/>
              </w:rPr>
              <w:t>Цель 1.1. Обеспечение роста социально-экономического развития регионов</w:t>
            </w:r>
            <w:r>
              <w:br/>
            </w:r>
            <w:r>
              <w:rPr>
                <w:rFonts w:ascii="Times New Roman"/>
                <w:b w:val="false"/>
                <w:i w:val="false"/>
                <w:color w:val="000000"/>
                <w:sz w:val="20"/>
              </w:rPr>
              <w:t>
</w:t>
            </w:r>
            <w:r>
              <w:rPr>
                <w:rFonts w:ascii="Times New Roman"/>
                <w:b w:val="false"/>
                <w:i w:val="false"/>
                <w:color w:val="000000"/>
                <w:sz w:val="20"/>
              </w:rPr>
              <w:t>Цель 1.2. Обеспечение роста уровня предпринимательства в Республике Казахстан</w:t>
            </w:r>
          </w:p>
          <w:p>
            <w:pPr>
              <w:spacing w:after="20"/>
              <w:ind w:left="20"/>
              <w:jc w:val="both"/>
            </w:pPr>
            <w:r>
              <w:rPr>
                <w:rFonts w:ascii="Times New Roman"/>
                <w:b w:val="false"/>
                <w:i w:val="false"/>
                <w:color w:val="000000"/>
                <w:sz w:val="20"/>
              </w:rPr>
              <w:t>Стратегическое направление 2. Развитие архитектуры, градостроительства, строительства и 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 xml:space="preserve">Цель 2.1. Развитие жилищного строительства Цель 2.2. Совершенствование архитектурной, градостроительной и строительной деятельности </w:t>
            </w:r>
            <w:r>
              <w:br/>
            </w:r>
            <w:r>
              <w:rPr>
                <w:rFonts w:ascii="Times New Roman"/>
                <w:b w:val="false"/>
                <w:i w:val="false"/>
                <w:color w:val="000000"/>
                <w:sz w:val="20"/>
              </w:rPr>
              <w:t>
</w:t>
            </w:r>
            <w:r>
              <w:rPr>
                <w:rFonts w:ascii="Times New Roman"/>
                <w:b w:val="false"/>
                <w:i w:val="false"/>
                <w:color w:val="000000"/>
                <w:sz w:val="20"/>
              </w:rPr>
              <w:t xml:space="preserve">Цель 2.3. Модернизация и развитие жилищно-коммунального хозяйства </w:t>
            </w:r>
          </w:p>
          <w:p>
            <w:pPr>
              <w:spacing w:after="20"/>
              <w:ind w:left="20"/>
              <w:jc w:val="both"/>
            </w:pPr>
            <w:r>
              <w:rPr>
                <w:rFonts w:ascii="Times New Roman"/>
                <w:b w:val="false"/>
                <w:i w:val="false"/>
                <w:color w:val="000000"/>
                <w:sz w:val="20"/>
              </w:rPr>
              <w:t>Стратегическое направление 3. Использование земельных ресурсов и развитие отрасли геодезии и картографии</w:t>
            </w:r>
            <w:r>
              <w:br/>
            </w:r>
            <w:r>
              <w:rPr>
                <w:rFonts w:ascii="Times New Roman"/>
                <w:b w:val="false"/>
                <w:i w:val="false"/>
                <w:color w:val="000000"/>
                <w:sz w:val="20"/>
              </w:rPr>
              <w:t>
</w:t>
            </w:r>
            <w:r>
              <w:rPr>
                <w:rFonts w:ascii="Times New Roman"/>
                <w:b w:val="false"/>
                <w:i w:val="false"/>
                <w:color w:val="000000"/>
                <w:sz w:val="20"/>
              </w:rPr>
              <w:t xml:space="preserve">Цель 3.1. Формирование системы сведений о земельных ресурсах, соблюдения земельного законодательства </w:t>
            </w:r>
            <w:r>
              <w:br/>
            </w:r>
            <w:r>
              <w:rPr>
                <w:rFonts w:ascii="Times New Roman"/>
                <w:b w:val="false"/>
                <w:i w:val="false"/>
                <w:color w:val="000000"/>
                <w:sz w:val="20"/>
              </w:rPr>
              <w:t>
</w:t>
            </w:r>
            <w:r>
              <w:rPr>
                <w:rFonts w:ascii="Times New Roman"/>
                <w:b w:val="false"/>
                <w:i w:val="false"/>
                <w:color w:val="000000"/>
                <w:sz w:val="20"/>
              </w:rPr>
              <w:t>Цель 3.2. Геодезическое и картографическое обеспечение территории Республики Казахстан, соответствующее современному состоянию местности и топонимике</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 Казахстан до 2020 года, утвержденный Указом Президента Республики Казахстан от 1 февраля 2010 года № 922</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 – 2014 годы, утвержденная Указом Президента Республики Казахстан от 19 марта 2010 года № 958</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Прогнозная схема</w:t>
            </w:r>
            <w:r>
              <w:rPr>
                <w:rFonts w:ascii="Times New Roman"/>
                <w:b w:val="false"/>
                <w:i w:val="false"/>
                <w:color w:val="000000"/>
                <w:sz w:val="20"/>
              </w:rPr>
              <w:t xml:space="preserve"> территориально-пространственного развития страны до 2020 года, утвержденная Указом Президента Республики Казахстан от 21 июля 2011 года № 118</w:t>
            </w:r>
          </w:p>
        </w:tc>
      </w:tr>
      <w:tr>
        <w:trPr>
          <w:trHeight w:val="126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w:t>
            </w:r>
            <w:r>
              <w:br/>
            </w:r>
            <w:r>
              <w:rPr>
                <w:rFonts w:ascii="Times New Roman"/>
                <w:b w:val="false"/>
                <w:i w:val="false"/>
                <w:color w:val="000000"/>
                <w:sz w:val="20"/>
              </w:rPr>
              <w:t>
</w:t>
            </w:r>
            <w:r>
              <w:rPr>
                <w:rFonts w:ascii="Times New Roman"/>
                <w:b w:val="false"/>
                <w:i w:val="false"/>
                <w:color w:val="000000"/>
                <w:sz w:val="20"/>
              </w:rPr>
              <w:t xml:space="preserve">28 января 2011 года «Построим будущее вместе!» </w:t>
            </w:r>
          </w:p>
        </w:tc>
      </w:tr>
      <w:tr>
        <w:trPr>
          <w:trHeight w:val="192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27 января 2012 года «Социально-экономическая модернизация – главный вектор развития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w:t>
            </w:r>
            <w:r>
              <w:br/>
            </w:r>
            <w:r>
              <w:rPr>
                <w:rFonts w:ascii="Times New Roman"/>
                <w:b w:val="false"/>
                <w:i w:val="false"/>
                <w:color w:val="000000"/>
                <w:sz w:val="20"/>
              </w:rPr>
              <w:t>
</w:t>
            </w:r>
            <w:r>
              <w:rPr>
                <w:rFonts w:ascii="Times New Roman"/>
                <w:b w:val="false"/>
                <w:i w:val="false"/>
                <w:color w:val="000000"/>
                <w:sz w:val="20"/>
              </w:rPr>
              <w:t>14 декабря 2012 года «Стратегия «Казахстан-2050»</w:t>
            </w:r>
          </w:p>
        </w:tc>
      </w:tr>
    </w:tbl>
    <w:bookmarkStart w:name="z107" w:id="39"/>
    <w:p>
      <w:pPr>
        <w:spacing w:after="0"/>
        <w:ind w:left="0"/>
        <w:jc w:val="both"/>
      </w:pPr>
      <w:r>
        <w:rPr>
          <w:rFonts w:ascii="Times New Roman"/>
          <w:b w:val="false"/>
          <w:i w:val="false"/>
          <w:color w:val="000000"/>
          <w:sz w:val="28"/>
        </w:rPr>
        <w:t>
</w:t>
      </w:r>
      <w:r>
        <w:rPr>
          <w:rFonts w:ascii="Times New Roman"/>
          <w:b/>
          <w:i w:val="false"/>
          <w:color w:val="000000"/>
          <w:sz w:val="28"/>
        </w:rPr>
        <w:t>             Раздел 4. Развитие функциональных возможностей</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1"/>
        <w:gridCol w:w="5763"/>
        <w:gridCol w:w="2976"/>
      </w:tblGrid>
      <w:tr>
        <w:trPr>
          <w:trHeight w:val="30" w:hRule="atLeast"/>
        </w:trPr>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государственного органа</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цели и задачи государственного органа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Социально-экономическое развитие регионов и государственная поддержка предпринимательства</w:t>
            </w:r>
            <w:r>
              <w:br/>
            </w:r>
            <w:r>
              <w:rPr>
                <w:rFonts w:ascii="Times New Roman"/>
                <w:b w:val="false"/>
                <w:i w:val="false"/>
                <w:color w:val="000000"/>
                <w:sz w:val="20"/>
              </w:rPr>
              <w:t>
</w:t>
            </w:r>
            <w:r>
              <w:rPr>
                <w:rFonts w:ascii="Times New Roman"/>
                <w:b w:val="false"/>
                <w:i w:val="false"/>
                <w:color w:val="000000"/>
                <w:sz w:val="20"/>
              </w:rPr>
              <w:t xml:space="preserve">Цель 1.1. Обеспечение роста социально-экономического развития регионов </w:t>
            </w:r>
            <w:r>
              <w:br/>
            </w:r>
            <w:r>
              <w:rPr>
                <w:rFonts w:ascii="Times New Roman"/>
                <w:b w:val="false"/>
                <w:i w:val="false"/>
                <w:color w:val="000000"/>
                <w:sz w:val="20"/>
              </w:rPr>
              <w:t>
</w:t>
            </w:r>
            <w:r>
              <w:rPr>
                <w:rFonts w:ascii="Times New Roman"/>
                <w:b w:val="false"/>
                <w:i w:val="false"/>
                <w:color w:val="000000"/>
                <w:sz w:val="20"/>
              </w:rPr>
              <w:t xml:space="preserve">Задача 1.1.1. Создание рациональной территориальной организации экономического потенциала и благоприятных условий жизнедеятельности населения </w:t>
            </w:r>
            <w:r>
              <w:br/>
            </w:r>
            <w:r>
              <w:rPr>
                <w:rFonts w:ascii="Times New Roman"/>
                <w:b w:val="false"/>
                <w:i w:val="false"/>
                <w:color w:val="000000"/>
                <w:sz w:val="20"/>
              </w:rPr>
              <w:t>
</w:t>
            </w:r>
            <w:r>
              <w:rPr>
                <w:rFonts w:ascii="Times New Roman"/>
                <w:b w:val="false"/>
                <w:i w:val="false"/>
                <w:color w:val="000000"/>
                <w:sz w:val="20"/>
              </w:rPr>
              <w:t xml:space="preserve">Задача 1.1.2. Развитие системы местного самоуправления и сельских территорий </w:t>
            </w:r>
            <w:r>
              <w:br/>
            </w:r>
            <w:r>
              <w:rPr>
                <w:rFonts w:ascii="Times New Roman"/>
                <w:b w:val="false"/>
                <w:i w:val="false"/>
                <w:color w:val="000000"/>
                <w:sz w:val="20"/>
              </w:rPr>
              <w:t>
</w:t>
            </w:r>
            <w:r>
              <w:rPr>
                <w:rFonts w:ascii="Times New Roman"/>
                <w:b w:val="false"/>
                <w:i w:val="false"/>
                <w:color w:val="000000"/>
                <w:sz w:val="20"/>
              </w:rPr>
              <w:t xml:space="preserve">Цель 1.2. Обеспечение роста уровня предпринимательства в Республике Казахстан </w:t>
            </w:r>
            <w:r>
              <w:br/>
            </w:r>
            <w:r>
              <w:rPr>
                <w:rFonts w:ascii="Times New Roman"/>
                <w:b w:val="false"/>
                <w:i w:val="false"/>
                <w:color w:val="000000"/>
                <w:sz w:val="20"/>
              </w:rPr>
              <w:t>
</w:t>
            </w:r>
            <w:r>
              <w:rPr>
                <w:rFonts w:ascii="Times New Roman"/>
                <w:b w:val="false"/>
                <w:i w:val="false"/>
                <w:color w:val="000000"/>
                <w:sz w:val="20"/>
              </w:rPr>
              <w:t>Задача 1.2.1. Создание условий для развития предпринимательства</w:t>
            </w:r>
          </w:p>
          <w:p>
            <w:pPr>
              <w:spacing w:after="20"/>
              <w:ind w:left="20"/>
              <w:jc w:val="both"/>
            </w:pPr>
            <w:r>
              <w:rPr>
                <w:rFonts w:ascii="Times New Roman"/>
                <w:b w:val="false"/>
                <w:i w:val="false"/>
                <w:color w:val="000000"/>
                <w:sz w:val="20"/>
              </w:rPr>
              <w:t>Стратегическое направление 2. Развитие архитектуры, градостроительства, строительства и 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Цель 2.1. Развитие жилищного строительства</w:t>
            </w:r>
            <w:r>
              <w:br/>
            </w:r>
            <w:r>
              <w:rPr>
                <w:rFonts w:ascii="Times New Roman"/>
                <w:b w:val="false"/>
                <w:i w:val="false"/>
                <w:color w:val="000000"/>
                <w:sz w:val="20"/>
              </w:rPr>
              <w:t>
</w:t>
            </w:r>
            <w:r>
              <w:rPr>
                <w:rFonts w:ascii="Times New Roman"/>
                <w:b w:val="false"/>
                <w:i w:val="false"/>
                <w:color w:val="000000"/>
                <w:sz w:val="20"/>
              </w:rPr>
              <w:t xml:space="preserve">Задача 2.1.1. Обеспечение строительства и приобретения жилья государственного коммунального жилищного фонда </w:t>
            </w:r>
            <w:r>
              <w:br/>
            </w:r>
            <w:r>
              <w:rPr>
                <w:rFonts w:ascii="Times New Roman"/>
                <w:b w:val="false"/>
                <w:i w:val="false"/>
                <w:color w:val="000000"/>
                <w:sz w:val="20"/>
              </w:rPr>
              <w:t>
</w:t>
            </w:r>
            <w:r>
              <w:rPr>
                <w:rFonts w:ascii="Times New Roman"/>
                <w:b w:val="false"/>
                <w:i w:val="false"/>
                <w:color w:val="000000"/>
                <w:sz w:val="20"/>
              </w:rPr>
              <w:t xml:space="preserve">Задача 2.1.2. Обеспечение строительства и приобретения жилья за счет кредитных средств </w:t>
            </w:r>
            <w:r>
              <w:br/>
            </w:r>
            <w:r>
              <w:rPr>
                <w:rFonts w:ascii="Times New Roman"/>
                <w:b w:val="false"/>
                <w:i w:val="false"/>
                <w:color w:val="000000"/>
                <w:sz w:val="20"/>
              </w:rPr>
              <w:t>
</w:t>
            </w:r>
            <w:r>
              <w:rPr>
                <w:rFonts w:ascii="Times New Roman"/>
                <w:b w:val="false"/>
                <w:i w:val="false"/>
                <w:color w:val="000000"/>
                <w:sz w:val="20"/>
              </w:rPr>
              <w:t xml:space="preserve">Задача 2.1.3. Обеспечение строительства и приобретения арендного жилья </w:t>
            </w:r>
          </w:p>
          <w:p>
            <w:pPr>
              <w:spacing w:after="20"/>
              <w:ind w:left="20"/>
              <w:jc w:val="both"/>
            </w:pPr>
            <w:r>
              <w:rPr>
                <w:rFonts w:ascii="Times New Roman"/>
                <w:b w:val="false"/>
                <w:i w:val="false"/>
                <w:color w:val="000000"/>
                <w:sz w:val="20"/>
              </w:rPr>
              <w:t xml:space="preserve">Задача 2.1.4. Строительство и приобретение инженерно-коммуникационной инфраструктуры в районах жилищной застройки </w:t>
            </w:r>
            <w:r>
              <w:br/>
            </w:r>
            <w:r>
              <w:rPr>
                <w:rFonts w:ascii="Times New Roman"/>
                <w:b w:val="false"/>
                <w:i w:val="false"/>
                <w:color w:val="000000"/>
                <w:sz w:val="20"/>
              </w:rPr>
              <w:t>
</w:t>
            </w:r>
            <w:r>
              <w:rPr>
                <w:rFonts w:ascii="Times New Roman"/>
                <w:b w:val="false"/>
                <w:i w:val="false"/>
                <w:color w:val="000000"/>
                <w:sz w:val="20"/>
              </w:rPr>
              <w:t>Цель 2.2. Совершенствование архитектурной, градостроительной и строительной деятельности Задача 2.2.1. Реформирование системы технического регулирования строительной отрасли и обеспечение устойчивости и долговечности зданий (сооружений) и инженерно-коммуникационной инфраструктуры с разработкой конструктивных решений и технологий</w:t>
            </w:r>
          </w:p>
          <w:p>
            <w:pPr>
              <w:spacing w:after="20"/>
              <w:ind w:left="20"/>
              <w:jc w:val="both"/>
            </w:pPr>
            <w:r>
              <w:rPr>
                <w:rFonts w:ascii="Times New Roman"/>
                <w:b w:val="false"/>
                <w:i w:val="false"/>
                <w:color w:val="000000"/>
                <w:sz w:val="20"/>
              </w:rPr>
              <w:t xml:space="preserve">Задача 2.2.2 Организация пространственного планирования развития городов и областей Республики Казахстан </w:t>
            </w:r>
            <w:r>
              <w:br/>
            </w:r>
            <w:r>
              <w:rPr>
                <w:rFonts w:ascii="Times New Roman"/>
                <w:b w:val="false"/>
                <w:i w:val="false"/>
                <w:color w:val="000000"/>
                <w:sz w:val="20"/>
              </w:rPr>
              <w:t>
</w:t>
            </w:r>
            <w:r>
              <w:rPr>
                <w:rFonts w:ascii="Times New Roman"/>
                <w:b w:val="false"/>
                <w:i w:val="false"/>
                <w:color w:val="000000"/>
                <w:sz w:val="20"/>
              </w:rPr>
              <w:t>Задача 2.2.3 Совершенствование разрешительной системы в сфере архитектурной, градостроительной и строительной деятельности</w:t>
            </w:r>
            <w:r>
              <w:br/>
            </w:r>
            <w:r>
              <w:rPr>
                <w:rFonts w:ascii="Times New Roman"/>
                <w:b w:val="false"/>
                <w:i w:val="false"/>
                <w:color w:val="000000"/>
                <w:sz w:val="20"/>
              </w:rPr>
              <w:t>
</w:t>
            </w:r>
            <w:r>
              <w:rPr>
                <w:rFonts w:ascii="Times New Roman"/>
                <w:b w:val="false"/>
                <w:i w:val="false"/>
                <w:color w:val="000000"/>
                <w:sz w:val="20"/>
              </w:rPr>
              <w:t>Цель 2.3. Модернизация и развитие 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Задача 2.3.1. Внедрение системного подхода при строительстве новых объектов водоснабжения и водоотведения и реконструкции, действующих</w:t>
            </w:r>
            <w:r>
              <w:br/>
            </w:r>
            <w:r>
              <w:rPr>
                <w:rFonts w:ascii="Times New Roman"/>
                <w:b w:val="false"/>
                <w:i w:val="false"/>
                <w:color w:val="000000"/>
                <w:sz w:val="20"/>
              </w:rPr>
              <w:t>
</w:t>
            </w:r>
            <w:r>
              <w:rPr>
                <w:rFonts w:ascii="Times New Roman"/>
                <w:b w:val="false"/>
                <w:i w:val="false"/>
                <w:color w:val="000000"/>
                <w:sz w:val="20"/>
              </w:rPr>
              <w:t>Задача 2.3.2. Обеспечение содержания жилищного фонда</w:t>
            </w:r>
            <w:r>
              <w:br/>
            </w:r>
            <w:r>
              <w:rPr>
                <w:rFonts w:ascii="Times New Roman"/>
                <w:b w:val="false"/>
                <w:i w:val="false"/>
                <w:color w:val="000000"/>
                <w:sz w:val="20"/>
              </w:rPr>
              <w:t>
</w:t>
            </w:r>
            <w:r>
              <w:rPr>
                <w:rFonts w:ascii="Times New Roman"/>
                <w:b w:val="false"/>
                <w:i w:val="false"/>
                <w:color w:val="000000"/>
                <w:sz w:val="20"/>
              </w:rPr>
              <w:t xml:space="preserve">Задача 2.3.3. Модернизация коммунальной инфраструктуры </w:t>
            </w:r>
          </w:p>
          <w:p>
            <w:pPr>
              <w:spacing w:after="20"/>
              <w:ind w:left="20"/>
              <w:jc w:val="both"/>
            </w:pPr>
            <w:r>
              <w:rPr>
                <w:rFonts w:ascii="Times New Roman"/>
                <w:b w:val="false"/>
                <w:i w:val="false"/>
                <w:color w:val="000000"/>
                <w:sz w:val="20"/>
              </w:rPr>
              <w:t>Стратегическое направление 3. Использование земельных ресурсов и развитие отрасли геодезии и картографии</w:t>
            </w:r>
            <w:r>
              <w:br/>
            </w:r>
            <w:r>
              <w:rPr>
                <w:rFonts w:ascii="Times New Roman"/>
                <w:b w:val="false"/>
                <w:i w:val="false"/>
                <w:color w:val="000000"/>
                <w:sz w:val="20"/>
              </w:rPr>
              <w:t>
</w:t>
            </w:r>
            <w:r>
              <w:rPr>
                <w:rFonts w:ascii="Times New Roman"/>
                <w:b w:val="false"/>
                <w:i w:val="false"/>
                <w:color w:val="000000"/>
                <w:sz w:val="20"/>
              </w:rPr>
              <w:t>Цель 3.1. Формирование системы сведений о земельных ресурсах, соблюдения земельного законодательства</w:t>
            </w:r>
            <w:r>
              <w:br/>
            </w:r>
            <w:r>
              <w:rPr>
                <w:rFonts w:ascii="Times New Roman"/>
                <w:b w:val="false"/>
                <w:i w:val="false"/>
                <w:color w:val="000000"/>
                <w:sz w:val="20"/>
              </w:rPr>
              <w:t>
</w:t>
            </w:r>
            <w:r>
              <w:rPr>
                <w:rFonts w:ascii="Times New Roman"/>
                <w:b w:val="false"/>
                <w:i w:val="false"/>
                <w:color w:val="000000"/>
                <w:sz w:val="20"/>
              </w:rPr>
              <w:t xml:space="preserve">Задача 3.1.1. Повышение уровня информационного обеспечения о качественном состоянии земельных ресурсов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Актуализация нормативных правовых актов, входящих в компетенцию Министерства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61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квалификации работников Министерства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устойчивой динамики текучести кадров</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Принятие мер по достижению 30 % представительства женщин во власти на уровне принятия решений к 2016 году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Анализ действующей структуры Министерства и при необходимости ее изменение с целью четкого распределения обязанностей и полномочий внутри системы Министерства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241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Упорядочение и сокращение трудоемкости системы сбора и использования информации, увеличение охвата сотрудников Министерства доступом в Интернет, юридическую базу, информационные базы данных</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100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Совершенствование интернет-ресурсов Министерства, его актуальное обновление, а также открытие на нем специальных</w:t>
            </w:r>
            <w:r>
              <w:br/>
            </w:r>
            <w:r>
              <w:rPr>
                <w:rFonts w:ascii="Times New Roman"/>
                <w:b w:val="false"/>
                <w:i w:val="false"/>
                <w:color w:val="000000"/>
                <w:sz w:val="20"/>
              </w:rPr>
              <w:t>
</w:t>
            </w:r>
            <w:r>
              <w:rPr>
                <w:rFonts w:ascii="Times New Roman"/>
                <w:b w:val="false"/>
                <w:i w:val="false"/>
                <w:color w:val="000000"/>
                <w:sz w:val="20"/>
              </w:rPr>
              <w:t>веб-страниц, позволяющих «живое общение» граждан с руководством Министерства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172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Обеспечение опубликования в информационных ресурсах принимаемых решений Министерства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85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Обеспечение информационной безопасности</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160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Принятие мер по увеличению доли автоматизированных государственных услуг</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157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Взаимодействие с неправительственными организациями</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43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Координация деятельности пресс-службы по своевременному освещению социально значимых мероприятий, проводимые Министерством регионального развития Республики Казахстан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4170"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Обучение сотрудников министерства, задействованных в процедурах государственных закупок правилам государственных закупок товаров, работ, услуг в соответствии с действующим законодательством Республики Казахстан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4"/>
        <w:gridCol w:w="5368"/>
        <w:gridCol w:w="3488"/>
      </w:tblGrid>
      <w:tr>
        <w:trPr>
          <w:trHeight w:val="7335"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Повышение уровня информационного обеспечения о количественном состоянии земельных ресурсов и земельно-кадастровых сведений в электронном формате</w:t>
            </w:r>
            <w:r>
              <w:br/>
            </w:r>
            <w:r>
              <w:rPr>
                <w:rFonts w:ascii="Times New Roman"/>
                <w:b w:val="false"/>
                <w:i w:val="false"/>
                <w:color w:val="000000"/>
                <w:sz w:val="20"/>
              </w:rPr>
              <w:t>
</w:t>
            </w:r>
            <w:r>
              <w:rPr>
                <w:rFonts w:ascii="Times New Roman"/>
                <w:b w:val="false"/>
                <w:i w:val="false"/>
                <w:color w:val="000000"/>
                <w:sz w:val="20"/>
              </w:rPr>
              <w:t xml:space="preserve">Задача 3.1.3. Выявление и устранение нарушений земельного законодательства Цель 3.2. Геодезическое и картографическое обеспечение территории Республики Казахстан, соответствующее современному состоянию местности и топонимике </w:t>
            </w:r>
            <w:r>
              <w:br/>
            </w:r>
            <w:r>
              <w:rPr>
                <w:rFonts w:ascii="Times New Roman"/>
                <w:b w:val="false"/>
                <w:i w:val="false"/>
                <w:color w:val="000000"/>
                <w:sz w:val="20"/>
              </w:rPr>
              <w:t>
</w:t>
            </w:r>
            <w:r>
              <w:rPr>
                <w:rFonts w:ascii="Times New Roman"/>
                <w:b w:val="false"/>
                <w:i w:val="false"/>
                <w:color w:val="000000"/>
                <w:sz w:val="20"/>
              </w:rPr>
              <w:t xml:space="preserve">Задача 3.2.1. Геодезическое обеспечение обновления государственных топографических карт, создания крупномасштабных планов городов на основе дистанционного зондирования Земли </w:t>
            </w:r>
            <w:r>
              <w:br/>
            </w:r>
            <w:r>
              <w:rPr>
                <w:rFonts w:ascii="Times New Roman"/>
                <w:b w:val="false"/>
                <w:i w:val="false"/>
                <w:color w:val="000000"/>
                <w:sz w:val="20"/>
              </w:rPr>
              <w:t>
</w:t>
            </w:r>
            <w:r>
              <w:rPr>
                <w:rFonts w:ascii="Times New Roman"/>
                <w:b w:val="false"/>
                <w:i w:val="false"/>
                <w:color w:val="000000"/>
                <w:sz w:val="20"/>
              </w:rPr>
              <w:t>Задача 3.2.2. Создание и издание картографической продукции, формирование и ведение Национального картографо-геодезического фонда Республики Казахстан</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4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5. Межведомственное взаимодействие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3767"/>
        <w:gridCol w:w="55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 органом для установления межведомственных взаимодействий</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Социально-экономическое развитие регионов и государственная поддержка предпринимательства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Обеспечение роста социально-экономического развития регионов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Создание рациональной территориальной организации экономического потенциала и благоприятных условий жизнедеятельности населения</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Инвестиционные проекты, реализованные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моногородов на 2012 – 2020 годы» (всего проектов завершающихся в текущем году/количество проектов, переходящих на следующий год) на следующий год</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заинтересованные центральные государственные органы</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формирования перечня инвестиционных проектов за счет средств республиканского бюджета и их реализации</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Инвестиционные проекты, реализованные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 (всего проектов завершающихся в текущем году/количество проектов, переходящих на следующий год)</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формирования перечня инвестиционных проектов за счет средств республиканского бюджета и их реализации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Развитие системы местного самоуправления и сельских территорий</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специалистов здравоохранения, образования, социального обеспечения, культуры, спорта и ветеринарии для работы и проживания в сельские населенные пункты путем предоставления бюджетного кредита на приобретение жилья</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заинтересованные центральные государственные органы</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привлечению молодых специалистов для работы и проживания в СНП, а также предоставление мер социальной поддержки;</w:t>
            </w:r>
            <w:r>
              <w:br/>
            </w:r>
            <w:r>
              <w:rPr>
                <w:rFonts w:ascii="Times New Roman"/>
                <w:b w:val="false"/>
                <w:i w:val="false"/>
                <w:color w:val="000000"/>
                <w:sz w:val="20"/>
              </w:rPr>
              <w:t>
</w:t>
            </w:r>
            <w:r>
              <w:rPr>
                <w:rFonts w:ascii="Times New Roman"/>
                <w:b w:val="false"/>
                <w:i w:val="false"/>
                <w:color w:val="000000"/>
                <w:sz w:val="20"/>
              </w:rPr>
              <w:t xml:space="preserve">проведение агитационных работ для привлечения специалистов социальной сферы и ветеринарии в СНП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Обеспечение роста уровня предпринимательства в Республике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Создание условий для развития предпринимательства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Прирост активно действующих субъектов МСБ в общем количестве зарегистрированных субъектов МСБ (ежегодно)</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разработка методики и расчет доли МСБ в ВВП</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операционных издержек, связанных с регистрацией и ведением</w:t>
            </w:r>
            <w:r>
              <w:br/>
            </w:r>
            <w:r>
              <w:rPr>
                <w:rFonts w:ascii="Times New Roman"/>
                <w:b w:val="false"/>
                <w:i w:val="false"/>
                <w:color w:val="000000"/>
                <w:sz w:val="20"/>
              </w:rPr>
              <w:t>
</w:t>
            </w:r>
            <w:r>
              <w:rPr>
                <w:rFonts w:ascii="Times New Roman"/>
                <w:b w:val="false"/>
                <w:i w:val="false"/>
                <w:color w:val="000000"/>
                <w:sz w:val="20"/>
              </w:rPr>
              <w:t>бизнеса (получением разрешений, лицензий и сертификатов; аккредитацией;</w:t>
            </w:r>
            <w:r>
              <w:br/>
            </w:r>
            <w:r>
              <w:rPr>
                <w:rFonts w:ascii="Times New Roman"/>
                <w:b w:val="false"/>
                <w:i w:val="false"/>
                <w:color w:val="000000"/>
                <w:sz w:val="20"/>
              </w:rPr>
              <w:t>
</w:t>
            </w:r>
            <w:r>
              <w:rPr>
                <w:rFonts w:ascii="Times New Roman"/>
                <w:b w:val="false"/>
                <w:i w:val="false"/>
                <w:color w:val="000000"/>
                <w:sz w:val="20"/>
              </w:rPr>
              <w:t>получением консультаций), включая время и затраты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органы, 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пересмотра и оптимизации разрешительных документов и процедур;</w:t>
            </w:r>
            <w:r>
              <w:br/>
            </w:r>
            <w:r>
              <w:rPr>
                <w:rFonts w:ascii="Times New Roman"/>
                <w:b w:val="false"/>
                <w:i w:val="false"/>
                <w:color w:val="000000"/>
                <w:sz w:val="20"/>
              </w:rPr>
              <w:t>
</w:t>
            </w:r>
            <w:r>
              <w:rPr>
                <w:rFonts w:ascii="Times New Roman"/>
                <w:b w:val="false"/>
                <w:i w:val="false"/>
                <w:color w:val="000000"/>
                <w:sz w:val="20"/>
              </w:rPr>
              <w:t>ведение статистики (учета) операционных издержек;</w:t>
            </w:r>
            <w:r>
              <w:br/>
            </w:r>
            <w:r>
              <w:rPr>
                <w:rFonts w:ascii="Times New Roman"/>
                <w:b w:val="false"/>
                <w:i w:val="false"/>
                <w:color w:val="000000"/>
                <w:sz w:val="20"/>
              </w:rPr>
              <w:t>
</w:t>
            </w:r>
            <w:r>
              <w:rPr>
                <w:rFonts w:ascii="Times New Roman"/>
                <w:b w:val="false"/>
                <w:i w:val="false"/>
                <w:color w:val="000000"/>
                <w:sz w:val="20"/>
              </w:rPr>
              <w:t>представление соответствующей информации, конкретных предложений и разработка нормативных правовых актов, направленных на сокращение операционных издержек, связанных с получением разрешительных документов, выдаваемых самим государственным органом</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Предприниматели, которым оказаны сервисные услуги (ежегодно)</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r>
              <w:br/>
            </w:r>
            <w:r>
              <w:rPr>
                <w:rFonts w:ascii="Times New Roman"/>
                <w:b w:val="false"/>
                <w:i w:val="false"/>
                <w:color w:val="000000"/>
                <w:sz w:val="20"/>
              </w:rPr>
              <w:t>
</w:t>
            </w:r>
            <w:r>
              <w:rPr>
                <w:rFonts w:ascii="Times New Roman"/>
                <w:b w:val="false"/>
                <w:i w:val="false"/>
                <w:color w:val="000000"/>
                <w:sz w:val="20"/>
              </w:rPr>
              <w:t>АО «ФРП «Даму»</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Обучение населения с предпринимательской инициативой и начинающих предпринимателей основам бизнеса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r>
              <w:br/>
            </w:r>
            <w:r>
              <w:rPr>
                <w:rFonts w:ascii="Times New Roman"/>
                <w:b w:val="false"/>
                <w:i w:val="false"/>
                <w:color w:val="000000"/>
                <w:sz w:val="20"/>
              </w:rPr>
              <w:t>
</w:t>
            </w:r>
            <w:r>
              <w:rPr>
                <w:rFonts w:ascii="Times New Roman"/>
                <w:b w:val="false"/>
                <w:i w:val="false"/>
                <w:color w:val="000000"/>
                <w:sz w:val="20"/>
              </w:rPr>
              <w:t>АО «ФРП «Даму»</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Количество проектов МСБ, получивших финансовую поддержку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 – 2020 годы, в том числе: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обеспечению недостающей инженерной инфраструктурой</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микрокредитованию</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архитектуры, градостроительства, строительства и жилищно-коммунального хозяйства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Развитие жилищного строительства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Обеспечение строительства и приобретения жилья государственного коммунального жилищного фонда</w:t>
            </w:r>
          </w:p>
        </w:tc>
      </w:tr>
      <w:tr>
        <w:trPr>
          <w:trHeight w:val="225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 арендного (коммунального) жилья для граждан, состоящих в очереди в акиматах на получение жилья</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Обеспечение строительства и приобретения жилья за счет кредитных средств</w:t>
            </w:r>
          </w:p>
        </w:tc>
      </w:tr>
      <w:tr>
        <w:trPr>
          <w:trHeight w:val="193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 жилья за счет кредитования местных исполнительных органов</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Обеспечение строительства и приобретения арендного жилья</w:t>
            </w:r>
          </w:p>
        </w:tc>
      </w:tr>
      <w:tr>
        <w:trPr>
          <w:trHeight w:val="46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 арендного жилья (АО «ИО «КИК»)</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Строительство и приобретение инженерно-коммуникационной инфраструктуры в районах жилищной застройки</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 инженерно-коммуникационной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Совершенствование архитектурной, градостроительной и строительной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Реформирование системы технического регулирования строительной отрасли и обеспечение устойчивости и долговечности зданий (сооружений) и инженерно-коммуникационной инфраструктуры с разработкой эффективных конструктивных решений и технологий</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Реформирование системы технического регулирования строительной отрасли Республики Казахстан</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МНГ</w:t>
            </w:r>
            <w:r>
              <w:br/>
            </w:r>
            <w:r>
              <w:rPr>
                <w:rFonts w:ascii="Times New Roman"/>
                <w:b w:val="false"/>
                <w:i w:val="false"/>
                <w:color w:val="000000"/>
                <w:sz w:val="20"/>
              </w:rPr>
              <w:t>
</w:t>
            </w: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МЧС</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МОСВР</w:t>
            </w:r>
            <w:r>
              <w:br/>
            </w:r>
            <w:r>
              <w:rPr>
                <w:rFonts w:ascii="Times New Roman"/>
                <w:b w:val="false"/>
                <w:i w:val="false"/>
                <w:color w:val="000000"/>
                <w:sz w:val="20"/>
              </w:rPr>
              <w:t>
</w:t>
            </w:r>
            <w:r>
              <w:rPr>
                <w:rFonts w:ascii="Times New Roman"/>
                <w:b w:val="false"/>
                <w:i w:val="false"/>
                <w:color w:val="000000"/>
                <w:sz w:val="20"/>
              </w:rPr>
              <w:t>МСХ</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проектов нормативно-технических документов;</w:t>
            </w:r>
            <w:r>
              <w:br/>
            </w:r>
            <w:r>
              <w:rPr>
                <w:rFonts w:ascii="Times New Roman"/>
                <w:b w:val="false"/>
                <w:i w:val="false"/>
                <w:color w:val="000000"/>
                <w:sz w:val="20"/>
              </w:rPr>
              <w:t>
</w:t>
            </w:r>
            <w:r>
              <w:rPr>
                <w:rFonts w:ascii="Times New Roman"/>
                <w:b w:val="false"/>
                <w:i w:val="false"/>
                <w:color w:val="000000"/>
                <w:sz w:val="20"/>
              </w:rPr>
              <w:t>рассмотрение и решение разногласий в ведомственных нормативах;</w:t>
            </w:r>
            <w:r>
              <w:br/>
            </w:r>
            <w:r>
              <w:rPr>
                <w:rFonts w:ascii="Times New Roman"/>
                <w:b w:val="false"/>
                <w:i w:val="false"/>
                <w:color w:val="000000"/>
                <w:sz w:val="20"/>
              </w:rPr>
              <w:t>
</w:t>
            </w:r>
            <w:r>
              <w:rPr>
                <w:rFonts w:ascii="Times New Roman"/>
                <w:b w:val="false"/>
                <w:i w:val="false"/>
                <w:color w:val="000000"/>
                <w:sz w:val="20"/>
              </w:rPr>
              <w:t>выработка предложений по совершенствованию нормативной базы строительной отрасли, по внедрению ресурсосберегающих технологий и новых материалов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2.2.2. Организация пространственного планирования развития городов и областей Республики Казахстан</w:t>
            </w:r>
          </w:p>
        </w:tc>
      </w:tr>
      <w:tr>
        <w:trPr>
          <w:trHeight w:val="30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развития межрегионального градостроительного планирования территории регионов</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центральные государственные органы, 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межрегиональных и межотраслевых государственных интересов по программам социально-экономического и хозяйственного развития через осуществление архитектурной, градостроительной и строительной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2.3. Модернизация и развитие жилищно-коммунального хозяйства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2.3.1. Внедрение системного подхода при строительстве новых объектов водоснабжения и водоотведения и реконструкции действующих</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аварий и остановок на 1 км. коммунальных сетей, в том числе:</w:t>
            </w:r>
          </w:p>
        </w:tc>
        <w:tc>
          <w:tcPr>
            <w:tcW w:w="3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«Ақ бұлақ» на 2011–2020 годы</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водоотведения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нормативно-очищенной воды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централизованному водоснабжению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централизованному водоотведению в городах республики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услугам водоотведения в сельских населенных пунктах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2.3.2. Обеспечение содержания жилищного фонда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объектов кондоминимума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Модернизация жилищно-коммунального хозяйства на 2011–2020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2.3.3. Модернизация коммунальной инфраструктуры</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сетей, нуждающихся в ремонте</w:t>
            </w:r>
          </w:p>
        </w:tc>
        <w:tc>
          <w:tcPr>
            <w:tcW w:w="3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«Модернизация жилищно-коммунального хозяйства на 2011–2020 годы»</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модернизированных сетей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Использование земельных ресурсов и развитие отрасли геодезии и картографии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Формирование системы сведений о земельных ресурсах, соблюдения земельного законодательства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Повышение уровня информационного обеспечения о качественном состоянии земельных ресурсов</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Почвенные изыскания</w:t>
            </w:r>
          </w:p>
        </w:tc>
        <w:tc>
          <w:tcPr>
            <w:tcW w:w="3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разрешения на проведение изыскательских работ</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Геоботанические изыскания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Бонитировка почв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земель</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выявление изменения состояния земельного фонда, выработка рекомендаций по предупреждению и устранению последствий негативных процессов (деградации земель, опустынивание, засоление и др.)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Повышение уровня информационного обеспечения о количественном состоянии земельных ресурсов и земельно-кадастровых сведений в электронном формате</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информацией о фактическом количественном состоянии земельных ресурсов</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и представление отчета по земельному балансу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сельскохозяйственных угодий, вовлеченных в сельскохозяйственный оборот</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 утверждение итоговых материалов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3.1.3. Выявление и устранение нарушений земельного законодательства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Устраняемость выявленных нарушений</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принудительный привод лиц, уклоняющихся от явок государственному инспектору, осуществляющему государственный контроль за использованием и охраной земель, в том числе по установлению личностей нарушителей земельного законодательства;</w:t>
            </w:r>
            <w:r>
              <w:br/>
            </w:r>
            <w:r>
              <w:rPr>
                <w:rFonts w:ascii="Times New Roman"/>
                <w:b w:val="false"/>
                <w:i w:val="false"/>
                <w:color w:val="000000"/>
                <w:sz w:val="20"/>
              </w:rPr>
              <w:t>
</w:t>
            </w:r>
            <w:r>
              <w:rPr>
                <w:rFonts w:ascii="Times New Roman"/>
                <w:b w:val="false"/>
                <w:i w:val="false"/>
                <w:color w:val="000000"/>
                <w:sz w:val="20"/>
              </w:rPr>
              <w:t>выявление нарушений земельного законодательства и их устранение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Геодезическое и картографическое обеспечение территории Республики Казахстан, соответствующее современному состоянию местности и топонимике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3.2.1. Геодезическое обеспечение обновления государственных топографических карт, создания крупномасштабных планов городов на основе дистанционного зондирования Земли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Аэрокосмосъемочные материалы территорий, СНП, городов</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КНБ</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объектов для проведения аэросъемочных работ</w:t>
            </w:r>
          </w:p>
        </w:tc>
      </w:tr>
    </w:tbl>
    <w:bookmarkStart w:name="z109" w:id="41"/>
    <w:p>
      <w:pPr>
        <w:spacing w:after="0"/>
        <w:ind w:left="0"/>
        <w:jc w:val="both"/>
      </w:pPr>
      <w:r>
        <w:rPr>
          <w:rFonts w:ascii="Times New Roman"/>
          <w:b w:val="false"/>
          <w:i w:val="false"/>
          <w:color w:val="000000"/>
          <w:sz w:val="28"/>
        </w:rPr>
        <w:t>
                  </w:t>
      </w:r>
      <w:r>
        <w:rPr>
          <w:rFonts w:ascii="Times New Roman"/>
          <w:b/>
          <w:i w:val="false"/>
          <w:color w:val="000000"/>
          <w:sz w:val="28"/>
        </w:rPr>
        <w:t>Раздел 6. Управление рисками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4"/>
        <w:gridCol w:w="4618"/>
        <w:gridCol w:w="4151"/>
      </w:tblGrid>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Падение цен на мировых сырьевых товарных биржах</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безработицы вследствие неконкурентоспособности экономики той или иной области, падения производства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комплекса мер по развитию малого предпринимательства в целом по стране.</w:t>
            </w:r>
            <w:r>
              <w:br/>
            </w:r>
            <w:r>
              <w:rPr>
                <w:rFonts w:ascii="Times New Roman"/>
                <w:b w:val="false"/>
                <w:i w:val="false"/>
                <w:color w:val="000000"/>
                <w:sz w:val="20"/>
              </w:rPr>
              <w:t>
</w:t>
            </w:r>
            <w:r>
              <w:rPr>
                <w:rFonts w:ascii="Times New Roman"/>
                <w:b w:val="false"/>
                <w:i w:val="false"/>
                <w:color w:val="000000"/>
                <w:sz w:val="20"/>
              </w:rPr>
              <w:t>Принятие комплекса мер по диверсификации экономики моногородов, системному развитию малого предпринимательства в малых городах</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новых разрешительных документов и процедур в рамках унификации законодательства стран Таможенного союза</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Возвращение ранее отмененных разрешений, а также появление новых</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согласовании проектов соглашений в рамках Таможенного союза направлять их на заключение экспертного совета при МРР и в НЭПК «Атамекен» с установлением достаточных сроков рассмотрения. Необходимость введения разрешений рассматривать на МВК по вопросам совершенствования разрешительной системы. Позицию Казахстана на заседаниях НТС отстаивать с учетом рекомендаций МВК и заключений бизнес – сообщества</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природного и технического характера (отрицательные явления климата и повышение предельно допустимого уровня вредных веществ от ракетно-космической деятельности и др.)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Распространение процесса опустынивания, в связи с деградацией пастбищ и пахотных земель, в последствие потери огромных площадей продуктивных земель в различных регионах Казахстана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активное участие в международных Инициативах и проектах по опустыниванию и деградации земель.</w:t>
            </w:r>
            <w:r>
              <w:br/>
            </w:r>
            <w:r>
              <w:rPr>
                <w:rFonts w:ascii="Times New Roman"/>
                <w:b w:val="false"/>
                <w:i w:val="false"/>
                <w:color w:val="000000"/>
                <w:sz w:val="20"/>
              </w:rPr>
              <w:t>
</w:t>
            </w:r>
            <w:r>
              <w:rPr>
                <w:rFonts w:ascii="Times New Roman"/>
                <w:b w:val="false"/>
                <w:i w:val="false"/>
                <w:color w:val="000000"/>
                <w:sz w:val="20"/>
              </w:rPr>
              <w:t>Совместно с другими государственными органами (МОСВР, МСХ) участвовать в оценке подверженности территории Казахстана процессом опустынивания и составлении карт опустынивания</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Технологический и техногенный риск</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Необеспеченность территории республики государственными топографическими картами, соответствующими современному состоянию местности и государственной топонимике, искажение геодезических и картографических данных при передаче, хранении, не полный охват сейсмоактивной территории и прикаспийского региона Казахстана высокоточными геодезическими измерениями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Планирование обеспечения территории республики обновленными топографическими картами и планами городов на предстоящий период, исполнение государственного заказа. 2. Государственный геодезический контроль за создаваемой геодезической и картографической продукцией на соответствие требованиям нормативно-технических документов.</w:t>
            </w:r>
            <w:r>
              <w:br/>
            </w:r>
            <w:r>
              <w:rPr>
                <w:rFonts w:ascii="Times New Roman"/>
                <w:b w:val="false"/>
                <w:i w:val="false"/>
                <w:color w:val="000000"/>
                <w:sz w:val="20"/>
              </w:rPr>
              <w:t>
</w:t>
            </w:r>
            <w:r>
              <w:rPr>
                <w:rFonts w:ascii="Times New Roman"/>
                <w:b w:val="false"/>
                <w:i w:val="false"/>
                <w:color w:val="000000"/>
                <w:sz w:val="20"/>
              </w:rPr>
              <w:t xml:space="preserve">3. Расширение сети геодинамических полигонов для определения современных движений земной коры, в том числе в западном регионе республики, путем создания новых геодинамических полигонов </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Отсталость от развитых стран в части развития техники и технологий, которые обуславливают появление новых строительных материалов и изделий, методов и технологий строительного производства и передовых проектных решений</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международным строительным стандартам, отсутствие появления новых строительных материалов и изделий, методов и технологий строительного производства и передовых проектных решений</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фундаментальных и прикладных исследований в области архитектуры, градостроительства, строительства и ЖКХ, которые являются источником наукоемких технологий, позволяющих создавать комфортную и безопасную среду жизнедеятельности человека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Высокие требования банков второго уровня к субъектам малого предпринимательства, участвующим в </w:t>
            </w:r>
            <w:r>
              <w:rPr>
                <w:rFonts w:ascii="Times New Roman"/>
                <w:b w:val="false"/>
                <w:i w:val="false"/>
                <w:color w:val="000000"/>
                <w:sz w:val="20"/>
              </w:rPr>
              <w:t>Программе</w:t>
            </w:r>
            <w:r>
              <w:rPr>
                <w:rFonts w:ascii="Times New Roman"/>
                <w:b w:val="false"/>
                <w:i w:val="false"/>
                <w:color w:val="000000"/>
                <w:sz w:val="20"/>
              </w:rPr>
              <w:t xml:space="preserve"> «Дорожная карта бизнеса – 2020» при принятии залогового обеспечения</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Сокращение объема производимых и реализуемых товаров, работ и услуг, выполняемых субъектами малого и среднего предпринимательства в отдельных областях экономики</w:t>
            </w:r>
            <w:r>
              <w:br/>
            </w:r>
            <w:r>
              <w:rPr>
                <w:rFonts w:ascii="Times New Roman"/>
                <w:b w:val="false"/>
                <w:i w:val="false"/>
                <w:color w:val="000000"/>
                <w:sz w:val="20"/>
              </w:rPr>
              <w:t>
</w:t>
            </w:r>
            <w:r>
              <w:rPr>
                <w:rFonts w:ascii="Times New Roman"/>
                <w:b w:val="false"/>
                <w:i w:val="false"/>
                <w:color w:val="000000"/>
                <w:sz w:val="20"/>
              </w:rPr>
              <w:t>2. Потеря доверия к финансовым организациям со стороны населения</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разъяснительной работы среди банков второго уровня;</w:t>
            </w:r>
            <w:r>
              <w:br/>
            </w:r>
            <w:r>
              <w:rPr>
                <w:rFonts w:ascii="Times New Roman"/>
                <w:b w:val="false"/>
                <w:i w:val="false"/>
                <w:color w:val="000000"/>
                <w:sz w:val="20"/>
              </w:rPr>
              <w:t>
</w:t>
            </w:r>
            <w:r>
              <w:rPr>
                <w:rFonts w:ascii="Times New Roman"/>
                <w:b w:val="false"/>
                <w:i w:val="false"/>
                <w:color w:val="000000"/>
                <w:sz w:val="20"/>
              </w:rPr>
              <w:t>реализация программы гарантирования</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Недостаточность финансирования сферы предпринимательства, особенно предпринимателей села</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напряженность</w:t>
            </w:r>
            <w:r>
              <w:br/>
            </w:r>
            <w:r>
              <w:rPr>
                <w:rFonts w:ascii="Times New Roman"/>
                <w:b w:val="false"/>
                <w:i w:val="false"/>
                <w:color w:val="000000"/>
                <w:sz w:val="20"/>
              </w:rPr>
              <w:t>
</w:t>
            </w:r>
            <w:r>
              <w:rPr>
                <w:rFonts w:ascii="Times New Roman"/>
                <w:b w:val="false"/>
                <w:i w:val="false"/>
                <w:color w:val="000000"/>
                <w:sz w:val="20"/>
              </w:rPr>
              <w:t>населения, сокращение численности занятых работников</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отдельных банковских продуктов; </w:t>
            </w:r>
            <w:r>
              <w:br/>
            </w:r>
            <w:r>
              <w:rPr>
                <w:rFonts w:ascii="Times New Roman"/>
                <w:b w:val="false"/>
                <w:i w:val="false"/>
                <w:color w:val="000000"/>
                <w:sz w:val="20"/>
              </w:rPr>
              <w:t>
</w:t>
            </w:r>
            <w:r>
              <w:rPr>
                <w:rFonts w:ascii="Times New Roman"/>
                <w:b w:val="false"/>
                <w:i w:val="false"/>
                <w:color w:val="000000"/>
                <w:sz w:val="20"/>
              </w:rPr>
              <w:t>предоставление грантов для предпринимателей;</w:t>
            </w:r>
            <w:r>
              <w:br/>
            </w:r>
            <w:r>
              <w:rPr>
                <w:rFonts w:ascii="Times New Roman"/>
                <w:b w:val="false"/>
                <w:i w:val="false"/>
                <w:color w:val="000000"/>
                <w:sz w:val="20"/>
              </w:rPr>
              <w:t>
</w:t>
            </w:r>
            <w:r>
              <w:rPr>
                <w:rFonts w:ascii="Times New Roman"/>
                <w:b w:val="false"/>
                <w:i w:val="false"/>
                <w:color w:val="000000"/>
                <w:sz w:val="20"/>
              </w:rPr>
              <w:t>микрокредитование</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административных барьеров в сферах деятельности субъектов частного предпринимательства</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Ухудшение предпринимательского климата и снижение предпринимательской активности</w:t>
            </w:r>
            <w:r>
              <w:br/>
            </w:r>
            <w:r>
              <w:rPr>
                <w:rFonts w:ascii="Times New Roman"/>
                <w:b w:val="false"/>
                <w:i w:val="false"/>
                <w:color w:val="000000"/>
                <w:sz w:val="20"/>
              </w:rPr>
              <w:t>
</w:t>
            </w:r>
            <w:r>
              <w:rPr>
                <w:rFonts w:ascii="Times New Roman"/>
                <w:b w:val="false"/>
                <w:i w:val="false"/>
                <w:color w:val="000000"/>
                <w:sz w:val="20"/>
              </w:rPr>
              <w:t>2. Снижение доли МСБ в ВВП</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периодического пересмотра разрешительных документов; </w:t>
            </w:r>
            <w:r>
              <w:br/>
            </w:r>
            <w:r>
              <w:rPr>
                <w:rFonts w:ascii="Times New Roman"/>
                <w:b w:val="false"/>
                <w:i w:val="false"/>
                <w:color w:val="000000"/>
                <w:sz w:val="20"/>
              </w:rPr>
              <w:t>
</w:t>
            </w:r>
            <w:r>
              <w:rPr>
                <w:rFonts w:ascii="Times New Roman"/>
                <w:b w:val="false"/>
                <w:i w:val="false"/>
                <w:color w:val="000000"/>
                <w:sz w:val="20"/>
              </w:rPr>
              <w:t xml:space="preserve">проведение постоянного мониторинга деятельности органов контроля и надзора на предмет соблюдения положений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государственном контроле и надзоре в Республике Казахстан»</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Ограниченные возможности предпринимателей получения централизованных услуг по ведению и консалтингу в сфере бухгалтерского и налогового учета ведения бизнеса, маркетинга, менеджмента, юридических и финансовых вопросов в сельских районах области</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Недостаточное информирование предпринимателей</w:t>
            </w:r>
            <w:r>
              <w:br/>
            </w:r>
            <w:r>
              <w:rPr>
                <w:rFonts w:ascii="Times New Roman"/>
                <w:b w:val="false"/>
                <w:i w:val="false"/>
                <w:color w:val="000000"/>
                <w:sz w:val="20"/>
              </w:rPr>
              <w:t>
</w:t>
            </w:r>
            <w:r>
              <w:rPr>
                <w:rFonts w:ascii="Times New Roman"/>
                <w:b w:val="false"/>
                <w:i w:val="false"/>
                <w:color w:val="000000"/>
                <w:sz w:val="20"/>
              </w:rPr>
              <w:t>2. Низкий образовательный уровень предпринимателей</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Центров обслуживания предпринимателей, Центров поддержки предпринимательства в регионах</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регуляторных полномочий государственных органов</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административной нагрузки на бизнес и снижение предпринимательской активности</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полноценного анализа регуляторного воздействия, исключающего возможность введения необоснованных требований и инструментов регулирования</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монополизации экономики</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конкурентоспособности бизнес среды и торможение развития институтов саморегулирования</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развития конкуренции и институтов саморегулирования бизнеса</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заявок на получение подъемного пособия и бюджетного кредита на приобретение жилья в связи с неприбытием специалистов для работы и проживания в сельские населенные пункты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специалистов социальной сферы и ветеринарии в сельской местности</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Активизация работы по пропаганде проекта «С дипломом в село!»</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государственными органами установленных законодательством требований при выдаче разрешительных документов</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Сложность ведения бизнеса и прохождения разрешительных процедур в области строительства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работников, занимающихся выдачей разрешительных документов</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государственными</w:t>
            </w:r>
            <w:r>
              <w:br/>
            </w:r>
            <w:r>
              <w:rPr>
                <w:rFonts w:ascii="Times New Roman"/>
                <w:b w:val="false"/>
                <w:i w:val="false"/>
                <w:color w:val="000000"/>
                <w:sz w:val="20"/>
              </w:rPr>
              <w:t>
</w:t>
            </w:r>
            <w:r>
              <w:rPr>
                <w:rFonts w:ascii="Times New Roman"/>
                <w:b w:val="false"/>
                <w:i w:val="false"/>
                <w:color w:val="000000"/>
                <w:sz w:val="20"/>
              </w:rPr>
              <w:t>органами установленных</w:t>
            </w:r>
            <w:r>
              <w:br/>
            </w:r>
            <w:r>
              <w:rPr>
                <w:rFonts w:ascii="Times New Roman"/>
                <w:b w:val="false"/>
                <w:i w:val="false"/>
                <w:color w:val="000000"/>
                <w:sz w:val="20"/>
              </w:rPr>
              <w:t>
</w:t>
            </w:r>
            <w:r>
              <w:rPr>
                <w:rFonts w:ascii="Times New Roman"/>
                <w:b w:val="false"/>
                <w:i w:val="false"/>
                <w:color w:val="000000"/>
                <w:sz w:val="20"/>
              </w:rPr>
              <w:t>законодательством требований при выдаче разрешительных документов</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Сложность ведения бизнеса и прохождения разрешительных процедур в области строительства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работников, занимающихся</w:t>
            </w:r>
            <w:r>
              <w:br/>
            </w:r>
            <w:r>
              <w:rPr>
                <w:rFonts w:ascii="Times New Roman"/>
                <w:b w:val="false"/>
                <w:i w:val="false"/>
                <w:color w:val="000000"/>
                <w:sz w:val="20"/>
              </w:rPr>
              <w:t>
</w:t>
            </w:r>
            <w:r>
              <w:rPr>
                <w:rFonts w:ascii="Times New Roman"/>
                <w:b w:val="false"/>
                <w:i w:val="false"/>
                <w:color w:val="000000"/>
                <w:sz w:val="20"/>
              </w:rPr>
              <w:t>выдачей разрешительных</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подрядными</w:t>
            </w:r>
            <w:r>
              <w:br/>
            </w:r>
            <w:r>
              <w:rPr>
                <w:rFonts w:ascii="Times New Roman"/>
                <w:b w:val="false"/>
                <w:i w:val="false"/>
                <w:color w:val="000000"/>
                <w:sz w:val="20"/>
              </w:rPr>
              <w:t>
</w:t>
            </w:r>
            <w:r>
              <w:rPr>
                <w:rFonts w:ascii="Times New Roman"/>
                <w:b w:val="false"/>
                <w:i w:val="false"/>
                <w:color w:val="000000"/>
                <w:sz w:val="20"/>
              </w:rPr>
              <w:t>организациями договорных</w:t>
            </w:r>
            <w:r>
              <w:br/>
            </w:r>
            <w:r>
              <w:rPr>
                <w:rFonts w:ascii="Times New Roman"/>
                <w:b w:val="false"/>
                <w:i w:val="false"/>
                <w:color w:val="000000"/>
                <w:sz w:val="20"/>
              </w:rPr>
              <w:t>
</w:t>
            </w:r>
            <w:r>
              <w:rPr>
                <w:rFonts w:ascii="Times New Roman"/>
                <w:b w:val="false"/>
                <w:i w:val="false"/>
                <w:color w:val="000000"/>
                <w:sz w:val="20"/>
              </w:rPr>
              <w:t>обязательств</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средств</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местными</w:t>
            </w:r>
            <w:r>
              <w:br/>
            </w:r>
            <w:r>
              <w:rPr>
                <w:rFonts w:ascii="Times New Roman"/>
                <w:b w:val="false"/>
                <w:i w:val="false"/>
                <w:color w:val="000000"/>
                <w:sz w:val="20"/>
              </w:rPr>
              <w:t>
</w:t>
            </w:r>
            <w:r>
              <w:rPr>
                <w:rFonts w:ascii="Times New Roman"/>
                <w:b w:val="false"/>
                <w:i w:val="false"/>
                <w:color w:val="000000"/>
                <w:sz w:val="20"/>
              </w:rPr>
              <w:t>исполнительными органами за освоением бюджетных средств и обеспечением</w:t>
            </w:r>
            <w:r>
              <w:br/>
            </w:r>
            <w:r>
              <w:rPr>
                <w:rFonts w:ascii="Times New Roman"/>
                <w:b w:val="false"/>
                <w:i w:val="false"/>
                <w:color w:val="000000"/>
                <w:sz w:val="20"/>
              </w:rPr>
              <w:t>
</w:t>
            </w:r>
            <w:r>
              <w:rPr>
                <w:rFonts w:ascii="Times New Roman"/>
                <w:b w:val="false"/>
                <w:i w:val="false"/>
                <w:color w:val="000000"/>
                <w:sz w:val="20"/>
              </w:rPr>
              <w:t>выполнения задания по</w:t>
            </w:r>
            <w:r>
              <w:br/>
            </w:r>
            <w:r>
              <w:rPr>
                <w:rFonts w:ascii="Times New Roman"/>
                <w:b w:val="false"/>
                <w:i w:val="false"/>
                <w:color w:val="000000"/>
                <w:sz w:val="20"/>
              </w:rPr>
              <w:t>
</w:t>
            </w:r>
            <w:r>
              <w:rPr>
                <w:rFonts w:ascii="Times New Roman"/>
                <w:b w:val="false"/>
                <w:i w:val="false"/>
                <w:color w:val="000000"/>
                <w:sz w:val="20"/>
              </w:rPr>
              <w:t>вводу жилья</w:t>
            </w:r>
          </w:p>
        </w:tc>
      </w:tr>
    </w:tbl>
    <w:bookmarkStart w:name="z110" w:id="42"/>
    <w:p>
      <w:pPr>
        <w:spacing w:after="0"/>
        <w:ind w:left="0"/>
        <w:jc w:val="both"/>
      </w:pPr>
      <w:r>
        <w:rPr>
          <w:rFonts w:ascii="Times New Roman"/>
          <w:b w:val="false"/>
          <w:i w:val="false"/>
          <w:color w:val="000000"/>
          <w:sz w:val="28"/>
        </w:rPr>
        <w:t>
                  </w:t>
      </w:r>
      <w:r>
        <w:rPr>
          <w:rFonts w:ascii="Times New Roman"/>
          <w:b/>
          <w:i w:val="false"/>
          <w:color w:val="000000"/>
          <w:sz w:val="28"/>
        </w:rPr>
        <w:t>Раздел 7. Бюджетные программы</w:t>
      </w:r>
    </w:p>
    <w:bookmarkEnd w:id="42"/>
    <w:bookmarkStart w:name="z111" w:id="43"/>
    <w:p>
      <w:pPr>
        <w:spacing w:after="0"/>
        <w:ind w:left="0"/>
        <w:jc w:val="both"/>
      </w:pPr>
      <w:r>
        <w:rPr>
          <w:rFonts w:ascii="Times New Roman"/>
          <w:b w:val="false"/>
          <w:i w:val="false"/>
          <w:color w:val="000000"/>
          <w:sz w:val="28"/>
        </w:rPr>
        <w:t>
</w:t>
      </w:r>
      <w:r>
        <w:rPr>
          <w:rFonts w:ascii="Times New Roman"/>
          <w:b/>
          <w:i w:val="false"/>
          <w:color w:val="000000"/>
          <w:sz w:val="28"/>
        </w:rPr>
        <w:t>                   7.1. Бюджетные программы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2"/>
        <w:gridCol w:w="749"/>
        <w:gridCol w:w="1208"/>
        <w:gridCol w:w="1208"/>
        <w:gridCol w:w="1208"/>
        <w:gridCol w:w="1434"/>
        <w:gridCol w:w="1343"/>
        <w:gridCol w:w="1355"/>
        <w:gridCol w:w="1173"/>
      </w:tblGrid>
      <w:tr>
        <w:trPr>
          <w:trHeight w:val="13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 деятельности в области регионального развития, строительства, жилищно-коммунального хозяйства, развития предпринимательства и создания условий для эффективного использования и охраны земли, геодезического и картографического обеспечения»</w:t>
            </w:r>
          </w:p>
        </w:tc>
      </w:tr>
      <w:tr>
        <w:trPr>
          <w:trHeight w:val="13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регионального развития, строительства, жилищно-коммунального хозяйства, развития предпринимательства и создания условий для эффективного использования и охраны земли, геодезического и картографического обеспечения</w:t>
            </w:r>
          </w:p>
        </w:tc>
      </w:tr>
      <w:tr>
        <w:trPr>
          <w:trHeight w:val="270" w:hRule="atLeast"/>
        </w:trPr>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обеспечивающего реализацию государственной политики развития строительства, жилищно-коммунальной сферы развития предпринимательства и создания условий для эффективного использования и охраны земли, геодезического и картографического обеспечения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территориальных департаментов, обеспечивающих реализацию государственной политики развития строительства, жилищно-коммунальной сферы развития предпринимательства и создания условий для эффективного использования и охраны земли, геодезического и картографического обеспечения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центрального аппарата, проходящих повышение квалификации и/или переподготовку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проводимых исследований оказание аналитических и консалтинговых услуг в сфере регионального развития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различий между регионами по ВРП на душу населения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показателей по рейтингу Всемирного Банка «Легкость ведения бизнеса» («Doing Business») к 2020 году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строительства жилья за счет бюджетных средств</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обновления информации по качественному состоянию земель для повышения плодородия почв, а также исчисления налогов, арендной платы и кадастровой стоимости земель</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разработанного специализированного программного обеспечения автоматизированной информационной системы государственного градостроительного кадастра (АИС ГГК) Республики Казахстан республиканского уровня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высокого уровня функционирования Министерства в целях эффективной реализации государственной политики в области регионального развития, строительства, жилищно-коммунального хозяйства, развития предпринимательства и создания условий для эффективного использования и охраны земли, геодезического и картографического обеспечения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одной единицы штатной численности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затрат на единицу исследования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69 722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3 096 931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3 703 146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2 909 067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2 837 678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773"/>
        <w:gridCol w:w="1241"/>
        <w:gridCol w:w="1241"/>
        <w:gridCol w:w="1266"/>
        <w:gridCol w:w="1505"/>
        <w:gridCol w:w="1354"/>
        <w:gridCol w:w="1367"/>
        <w:gridCol w:w="1140"/>
      </w:tblGrid>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«Капитальные расходы Министерства регионального развития Республики Казахстан»</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укрепление материально-технической базы центрального аппарата и территориальных департаментов</w:t>
            </w:r>
          </w:p>
        </w:tc>
      </w:tr>
      <w:tr>
        <w:trPr>
          <w:trHeight w:val="27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преобретаемых рабочих станций, серверов и прочего серверного оборудования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состояния материально-технической базы Министерства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Бесперебойная работа средств вычислительной и организационной техники, улучшение материально-технической базы, улучшение условий труда работников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расходы на материально-техническое оснащение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6 864,8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340 061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123 566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766"/>
        <w:gridCol w:w="1231"/>
        <w:gridCol w:w="1231"/>
        <w:gridCol w:w="1231"/>
        <w:gridCol w:w="1467"/>
        <w:gridCol w:w="1343"/>
        <w:gridCol w:w="1356"/>
        <w:gridCol w:w="1120"/>
      </w:tblGrid>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«Оздоровление и усиление предпринимательского потенциала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кредитам банков, предоставление отсрочки по налогам и другим платежам в бюджет, прочие меры по оздоровлению предприятий</w:t>
            </w:r>
          </w:p>
        </w:tc>
      </w:tr>
      <w:tr>
        <w:trPr>
          <w:trHeight w:val="27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 (гарантируемых) кредитов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человек прошедших обучение в рамках проекта «Бизнес Советник»</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 МСБ, прошедших по проекту «Старшие Сеньоры»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 прошедшие курсы повышения квалификации в АО «Назарбаев Университет»</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Обучающие видеоролики по предпринимательству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МСБ обрабатывающей промышленности в структуре ВВП</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и оперативное субсидирование процентной ставки по кредитам банков второго уровня по заявкам участников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вознаграждения по новым кредитам банков второго уровня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5 652 462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1 646 218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1 285 624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588 063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766"/>
        <w:gridCol w:w="1231"/>
        <w:gridCol w:w="1231"/>
        <w:gridCol w:w="1231"/>
        <w:gridCol w:w="1467"/>
        <w:gridCol w:w="1467"/>
        <w:gridCol w:w="1232"/>
        <w:gridCol w:w="1120"/>
      </w:tblGrid>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«Оплата услуг оператора и финансового агента, оказываемых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оператора и финансового агента</w:t>
            </w:r>
          </w:p>
        </w:tc>
      </w:tr>
      <w:tr>
        <w:trPr>
          <w:trHeight w:val="3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обслуженных проектов:</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кол-во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субсидированию</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гарантированию</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субъектами предпринимательства услуг финансового агента в регионах страны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регионов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и оперативное оказание услуг финансового агента по запросам участников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финансововго агента: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Программы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253 893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253 893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253 893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253 893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субсидирования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370 662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370 662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средств, для субсидирования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оператора Программы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741"/>
        <w:gridCol w:w="1241"/>
        <w:gridCol w:w="1241"/>
        <w:gridCol w:w="1266"/>
        <w:gridCol w:w="1506"/>
        <w:gridCol w:w="1481"/>
        <w:gridCol w:w="1266"/>
        <w:gridCol w:w="1141"/>
      </w:tblGrid>
      <w:tr>
        <w:trPr>
          <w:trHeight w:val="13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«Повышение квалификации руководящих работников и менеджеров в сфере предпринимательства»</w:t>
            </w:r>
          </w:p>
        </w:tc>
      </w:tr>
      <w:tr>
        <w:trPr>
          <w:trHeight w:val="13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услуг по повышению квалификации руководящих работников и менеджеров работников в сфере экономики в рамках компонента «Деловые связи»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270" w:hRule="atLeast"/>
        </w:trPr>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руководящих работников и менеджеров, прошедших повышение квалификации на территории Казахстана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руководящих работников и менеджеров, направляемых на стажировку за рубеж</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договоров на поставку оборудования, сырья, материалов предпринимателей, получивших поддержку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документов</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менеджеров, расширивших свой бизнес после окончания программы по повышению квалификации руководящих работников и менеджеров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качества преподавания путем опроса среди менеджеров, прошедших обучение по программе повышения квалификации руководящих работников и менеджеров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(по 5 бальной шкале)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одного руководящего работника и менеджера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5"/>
        <w:gridCol w:w="776"/>
        <w:gridCol w:w="1244"/>
        <w:gridCol w:w="1244"/>
        <w:gridCol w:w="1358"/>
        <w:gridCol w:w="1371"/>
        <w:gridCol w:w="1485"/>
        <w:gridCol w:w="1244"/>
        <w:gridCol w:w="1143"/>
      </w:tblGrid>
      <w:tr>
        <w:trPr>
          <w:trHeight w:val="13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«Информационное обеспечение предпринимателей»</w:t>
            </w:r>
          </w:p>
        </w:tc>
      </w:tr>
      <w:tr>
        <w:trPr>
          <w:trHeight w:val="13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обеспечение предпринимателей</w:t>
            </w:r>
          </w:p>
        </w:tc>
      </w:tr>
      <w:tr>
        <w:trPr>
          <w:trHeight w:val="270" w:hRule="atLeast"/>
        </w:trPr>
        <w:tc>
          <w:tcPr>
            <w:tcW w:w="4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консультационных услуг, предоставленных субъектам МСБ</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центров поддержки предпринимательства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оперативное предоставление информации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rPr>
                <w:rFonts w:ascii="Times New Roman"/>
                <w:b w:val="false"/>
                <w:i w:val="false"/>
                <w:color w:val="000000"/>
                <w:sz w:val="20"/>
              </w:rPr>
              <w:t>тенге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594 263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7"/>
        <w:gridCol w:w="768"/>
        <w:gridCol w:w="1234"/>
        <w:gridCol w:w="1234"/>
        <w:gridCol w:w="1347"/>
        <w:gridCol w:w="1359"/>
        <w:gridCol w:w="1471"/>
        <w:gridCol w:w="1235"/>
        <w:gridCol w:w="1135"/>
      </w:tblGrid>
      <w:tr>
        <w:trPr>
          <w:trHeight w:val="13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«Обеспечение реализации исследований проектов, осуществляемых совместно с международными организациями»</w:t>
            </w:r>
          </w:p>
        </w:tc>
      </w:tr>
      <w:tr>
        <w:trPr>
          <w:trHeight w:val="13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Программы совместных экономических исследований между Правительством Республики Казахстан и Международным Банком Реконструкции и Развития, Казахстанско-Aмериканской программы по экономическому развитию между Правительством Республики Казахстан и Правительством Соединенных Штатов Америки</w:t>
            </w:r>
          </w:p>
        </w:tc>
      </w:tr>
      <w:tr>
        <w:trPr>
          <w:trHeight w:val="270" w:hRule="atLeast"/>
        </w:trPr>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осуществляемых консультантами ЕБРР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Применимость результатов*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кол-ва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эффективности программы BAS ЕБРР через опрос предпринимателей, получивших индивидуальные консультации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до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в рамках Программы деловых консультационных услуг между МРР и BAS ЕБРР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ЕБРР в рамках Программы деловых консультационных услуг между МРР и BAS ЕБРР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232 843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1 209 605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1 262 722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734 436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гранта из республиканского бюджета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925 918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1 006 572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590 003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283 687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144 433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Показатели конечного результата будут достигнуты путем оценки применимости результатов исследований. Учитывая, что некоторые мероприятия представляется возможным оценить сразу по завершению проектов, а некоторые из них ввиду своей специфики могут быть применимы в последующие годы, прогнозируемые показатели конечного результата запланированы следующим образом: 2013 г. - 90 %, 2014 г. - 95 %, 2015 г. – 100 %.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770"/>
        <w:gridCol w:w="1236"/>
        <w:gridCol w:w="1236"/>
        <w:gridCol w:w="1374"/>
        <w:gridCol w:w="1387"/>
        <w:gridCol w:w="1499"/>
        <w:gridCol w:w="1236"/>
        <w:gridCol w:w="1162"/>
      </w:tblGrid>
      <w:tr>
        <w:trPr>
          <w:trHeight w:val="13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«Повышение конкурентоспособности регионов»</w:t>
            </w:r>
          </w:p>
        </w:tc>
      </w:tr>
      <w:tr>
        <w:trPr>
          <w:trHeight w:val="13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регионов и поддержка в развитии малого и среднего бизнеса путем привлечения иностранных инвестиций</w:t>
            </w:r>
          </w:p>
        </w:tc>
      </w:tr>
      <w:tr>
        <w:trPr>
          <w:trHeight w:val="27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районов Восточно-Казахстанской области, проекты которых были профинансированы за счет средств проекта, выделенных на решение проблем местного значения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регионального развития и конкурентных преимуществ, разработка на ее основе стратегии по привлечению прямые иностранные инвестиции (ПИИ) в МСБ на примере Восточно-Казахстанской, Атырауской, Кызылординской областей</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стратегии привлечения ПИИ в МСБ для Восточно-Казахстанской, Атырауской, Кызылординской областей с возможностью дальнейшей ее имплементацией в других областях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местных исполнительных органов, получивших свои знания по практике планирования, реализации, мониторинга и оценки социально-экономических программ с целью более эффективной защиты прав и интересов уязвимых групп населения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населения Восточно-Казахстанской области, которое получит улучшенный доступ к медицинским, социальным и экономическим услугам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Применимость результатов</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кол-ва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первых руководителей местных исполнительных органов в Комитете по управлению программой для мониторинга исполнения программы и координации усилий с международными организациями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эффективности проводимых мер через опрос заинтересованных лиц для извлечения уроков, которые имеют значения для выработки политики в области местного самоуправления и улучшения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5 бальной системе)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заседания Рабочих групп по реализации совместного исследования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протоколов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для участников Рабочих групп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обучения одного государственного служащего и представителя НПО</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эффективности проводимых мер через опрос членов Рабочей группы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5 бальной системе)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585 175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677 161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375 648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гранта из республиканского бюджета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297 654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360 602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316 559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773"/>
        <w:gridCol w:w="1241"/>
        <w:gridCol w:w="1241"/>
        <w:gridCol w:w="1355"/>
        <w:gridCol w:w="1368"/>
        <w:gridCol w:w="1481"/>
        <w:gridCol w:w="1242"/>
        <w:gridCol w:w="1166"/>
      </w:tblGrid>
      <w:tr>
        <w:trPr>
          <w:trHeight w:val="13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«Целевые текущие трансферты областным бюджетам на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r>
      <w:tr>
        <w:trPr>
          <w:trHeight w:val="13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оказание содействия экономическому развитию регионов и системе расселения населения, а также обустройство сельских округов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w:t>
            </w:r>
          </w:p>
        </w:tc>
      </w:tr>
      <w:tr>
        <w:trPr>
          <w:trHeight w:val="27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рассмотренных и одобренных заявок, полученных от местных исполнительных органов на получение финансовой поддержки регионов на оказание содействия экономическому развитию регионов и системе расселения населения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w:t>
            </w:r>
            <w:r>
              <w:br/>
            </w:r>
            <w:r>
              <w:rPr>
                <w:rFonts w:ascii="Times New Roman"/>
                <w:b w:val="false"/>
                <w:i w:val="false"/>
                <w:color w:val="000000"/>
                <w:sz w:val="20"/>
              </w:rPr>
              <w:t>
</w:t>
            </w:r>
            <w:r>
              <w:rPr>
                <w:rFonts w:ascii="Times New Roman"/>
                <w:b w:val="false"/>
                <w:i w:val="false"/>
                <w:color w:val="000000"/>
                <w:sz w:val="20"/>
              </w:rPr>
              <w:t>ное</w:t>
            </w:r>
          </w:p>
          <w:p>
            <w:pPr>
              <w:spacing w:after="20"/>
              <w:ind w:left="20"/>
              <w:jc w:val="both"/>
            </w:pPr>
            <w:r>
              <w:rPr>
                <w:rFonts w:ascii="Times New Roman"/>
                <w:b w:val="false"/>
                <w:i w:val="false"/>
                <w:color w:val="000000"/>
                <w:sz w:val="20"/>
              </w:rPr>
              <w:t>кол-во проектов (мероприя-</w:t>
            </w:r>
            <w:r>
              <w:br/>
            </w:r>
            <w:r>
              <w:rPr>
                <w:rFonts w:ascii="Times New Roman"/>
                <w:b w:val="false"/>
                <w:i w:val="false"/>
                <w:color w:val="000000"/>
                <w:sz w:val="20"/>
              </w:rPr>
              <w:t>
</w:t>
            </w:r>
            <w:r>
              <w:rPr>
                <w:rFonts w:ascii="Times New Roman"/>
                <w:b w:val="false"/>
                <w:i w:val="false"/>
                <w:color w:val="000000"/>
                <w:sz w:val="20"/>
              </w:rPr>
              <w:t>тий)</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 в которых проведены мероприятия по благоустройству в рамках решения актуальных вопросов местного значения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регионов для повышения их конкурентоспособности и рациональной пространственной организации экономического потенциала и расселения населения в пределах выделенных лимитов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охвата сельских населенных пунктов финансовой поддержкой государства для решения задач местного значения (ежегодно)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рассмотрение заявок обратившихся за государственной поддержкой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5 673 480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766"/>
        <w:gridCol w:w="1231"/>
        <w:gridCol w:w="1231"/>
        <w:gridCol w:w="1343"/>
        <w:gridCol w:w="1467"/>
        <w:gridCol w:w="1343"/>
        <w:gridCol w:w="1232"/>
        <w:gridCol w:w="1132"/>
      </w:tblGrid>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«Целевые текущие трансферты областному бюджету Мангистауской области на поддержку предпринимательства в городе Жанаозен</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предусмотрены г. Жанаозен Мангистауской области на поддержку предпринимательства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27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 и гарантируемых кредитов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для развития предпринимательства в пределах выделенных средств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рассмотрение заявок обратившихся за государственной поддержкой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и гарантирование процентной ставки вознаграждения по новым и действующим кредитам банков второго уровня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6"/>
        <w:gridCol w:w="776"/>
        <w:gridCol w:w="1244"/>
        <w:gridCol w:w="1244"/>
        <w:gridCol w:w="1383"/>
        <w:gridCol w:w="1485"/>
        <w:gridCol w:w="1358"/>
        <w:gridCol w:w="1168"/>
        <w:gridCol w:w="1206"/>
      </w:tblGrid>
      <w:tr>
        <w:trPr>
          <w:trHeight w:val="13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«Бюджетные кредиты местным исполнительным органам для реализации мер социальной поддержки специалистов»</w:t>
            </w:r>
          </w:p>
        </w:tc>
      </w:tr>
      <w:tr>
        <w:trPr>
          <w:trHeight w:val="13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 местным исполнительным органам под 0,01 % годовых для последующего кредитования специалистов здравоохранения, образования, социального обеспечения, культуры, спорта и ветеринарии, прибывших для работы и проживания в сельские населенные пункты на приобретение жилья в сумме, не превышающей одну тысячу пятисоткратный размер месячного расчетного показателя, сроком на пятнадцать лет по ставке вознаграждения в размере 0,01 % годовых</w:t>
            </w:r>
          </w:p>
        </w:tc>
      </w:tr>
      <w:tr>
        <w:trPr>
          <w:trHeight w:val="60" w:hRule="atLeast"/>
        </w:trPr>
        <w:tc>
          <w:tcPr>
            <w:tcW w:w="4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45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специалистов здравоохранения, образования, социального обеспечения, культуры, спорта и ветеринарии для работы и проживания в сельские населенные пункты путем предоставления бюджетного кредита на приобретение жилья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специалистов социальной сферы и ветеринарии, получивших бюджетный кредит на получения жилья, к потребности в данных специалистах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бюджетного кредита на одного специалиста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8 789 153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8 558 064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8 669 714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6"/>
        <w:gridCol w:w="777"/>
        <w:gridCol w:w="1246"/>
        <w:gridCol w:w="1246"/>
        <w:gridCol w:w="1360"/>
        <w:gridCol w:w="1487"/>
        <w:gridCol w:w="1360"/>
        <w:gridCol w:w="1246"/>
        <w:gridCol w:w="1132"/>
      </w:tblGrid>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«Целевые текущие трансферты областным бюджетам, бюджетам городов Астаны и Алматы на реализацию мер социальной поддержки специалистов»</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предоставление социальной поддержки специалистам здравоохранения, образования, социального обеспечения, культуры, спорта и ветеринарии, прибывающим для работы и проживания в сельские населенные пункты;</w:t>
            </w:r>
            <w:r>
              <w:br/>
            </w:r>
            <w:r>
              <w:rPr>
                <w:rFonts w:ascii="Times New Roman"/>
                <w:b w:val="false"/>
                <w:i w:val="false"/>
                <w:color w:val="000000"/>
                <w:sz w:val="20"/>
              </w:rPr>
              <w:t>
</w:t>
            </w:r>
            <w:r>
              <w:rPr>
                <w:rFonts w:ascii="Times New Roman"/>
                <w:b w:val="false"/>
                <w:i w:val="false"/>
                <w:color w:val="000000"/>
                <w:sz w:val="20"/>
              </w:rPr>
              <w:t>2) возмещение стоимости услуг (операционных затрат) поверенного (агента), осуществляющего в соответствии с договором поручения, обязательства по обслуживанию бюджетного кредита на приобретение жилья специалистами социальной сферы сельских населенных пунктов</w:t>
            </w:r>
          </w:p>
        </w:tc>
      </w:tr>
      <w:tr>
        <w:trPr>
          <w:trHeight w:val="60" w:hRule="atLeast"/>
        </w:trPr>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специалистов здравоохранения, образования, социального обеспечения, культуры, спорта и ветеринарии для работы и проживания в сельские населенные пункты путем предоставления подъемного пособия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специалистов социальной сферы и ветеринарии, получивших подъемное пособие к потребности в данных специалистах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подъемного пособия на одного специалиста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6"/>
        <w:gridCol w:w="760"/>
        <w:gridCol w:w="1223"/>
        <w:gridCol w:w="1113"/>
        <w:gridCol w:w="1372"/>
        <w:gridCol w:w="1482"/>
        <w:gridCol w:w="1359"/>
        <w:gridCol w:w="1372"/>
        <w:gridCol w:w="1113"/>
      </w:tblGrid>
      <w:tr>
        <w:trPr>
          <w:trHeight w:val="13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«Целевые текущие трансферты областным бюджетам, бюджетам городов Астаны и Алматы на поддержку частного предпринимательства в регионах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13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кредитам банков, частичное гарантирование кредитов, оказание сервисной поддержки, подготовка и переподготовка кадров, а также молодежная практика</w:t>
            </w:r>
          </w:p>
        </w:tc>
      </w:tr>
      <w:tr>
        <w:trPr>
          <w:trHeight w:val="270" w:hRule="atLeast"/>
        </w:trPr>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 (гарантируемых) кредитов, грантов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 МСБ, получивших сервисную поддержку ведения действующего бизнеса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 продукции (товаров и услуг) субъектами МСБ</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МСБ обрабатывающей промышленности в структуре ВВП</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и оперативное субсидирование процентной ставки по кредитам банков второго уровня по заявкам участников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активных субъектов МСБ</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749 405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749 450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749 560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27 602 227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34 874 672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27 616 282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27 616 282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1"/>
        <w:gridCol w:w="770"/>
        <w:gridCol w:w="1237"/>
        <w:gridCol w:w="1125"/>
        <w:gridCol w:w="1388"/>
        <w:gridCol w:w="1501"/>
        <w:gridCol w:w="1375"/>
        <w:gridCol w:w="1388"/>
        <w:gridCol w:w="1125"/>
      </w:tblGrid>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«Целевые трансферты на развитие областным бюджетам, бюджетам городов Астаны и Алматы на развитие индустриальной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Подведение недостающей индустриальной инфраструктуры, как для индивидуальных проектов, так и в рамках промышленных площадок</w:t>
            </w:r>
          </w:p>
        </w:tc>
      </w:tr>
      <w:tr>
        <w:trPr>
          <w:trHeight w:val="270" w:hRule="atLeast"/>
        </w:trPr>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обеспеченных недостающей инфраструктурой</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 продукции (товаров и услуг) субъектами МСБ</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МСБ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 в структуре ВВП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подведение</w:t>
            </w:r>
            <w:r>
              <w:br/>
            </w:r>
            <w:r>
              <w:rPr>
                <w:rFonts w:ascii="Times New Roman"/>
                <w:b w:val="false"/>
                <w:i w:val="false"/>
                <w:color w:val="000000"/>
                <w:sz w:val="20"/>
              </w:rPr>
              <w:t>
</w:t>
            </w:r>
            <w:r>
              <w:rPr>
                <w:rFonts w:ascii="Times New Roman"/>
                <w:b w:val="false"/>
                <w:i w:val="false"/>
                <w:color w:val="000000"/>
                <w:sz w:val="20"/>
              </w:rPr>
              <w:t>недостающей инфраструктуры по заявкам участников Программы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продолжительность ввода объекта инфраструктуры в</w:t>
            </w:r>
            <w:r>
              <w:br/>
            </w:r>
            <w:r>
              <w:rPr>
                <w:rFonts w:ascii="Times New Roman"/>
                <w:b w:val="false"/>
                <w:i w:val="false"/>
                <w:color w:val="000000"/>
                <w:sz w:val="20"/>
              </w:rPr>
              <w:t>
</w:t>
            </w:r>
            <w:r>
              <w:rPr>
                <w:rFonts w:ascii="Times New Roman"/>
                <w:b w:val="false"/>
                <w:i w:val="false"/>
                <w:color w:val="000000"/>
                <w:sz w:val="20"/>
              </w:rPr>
              <w:t>эксплуатацию</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17 546 000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16 729 501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6"/>
        <w:gridCol w:w="891"/>
        <w:gridCol w:w="1132"/>
        <w:gridCol w:w="1005"/>
        <w:gridCol w:w="1487"/>
        <w:gridCol w:w="1360"/>
        <w:gridCol w:w="1373"/>
        <w:gridCol w:w="1360"/>
        <w:gridCol w:w="1246"/>
      </w:tblGrid>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«Целевые трансферты на развитие областным бюджетам на развитие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содействия развитию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r>
      <w:tr>
        <w:trPr>
          <w:trHeight w:val="270" w:hRule="atLeast"/>
        </w:trPr>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на инженерную инфраструктуру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населенных пунктов, в которых будут проведены мероприятия по развитию инженерной инфраструктуры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населенных пунктов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для развития инженерной инфраструктуры в пределах выделенных средств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рассмотрение заявок обратившихся за государственной поддержкой для развития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15 202 978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15 980 000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1"/>
        <w:gridCol w:w="890"/>
        <w:gridCol w:w="1245"/>
        <w:gridCol w:w="1245"/>
        <w:gridCol w:w="1359"/>
        <w:gridCol w:w="1372"/>
        <w:gridCol w:w="1359"/>
        <w:gridCol w:w="1245"/>
        <w:gridCol w:w="1144"/>
      </w:tblGrid>
      <w:tr>
        <w:trPr>
          <w:trHeight w:val="13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«Кредитование областных бюджетов на содействие развитию предпринимательства в моногородах»</w:t>
            </w:r>
          </w:p>
        </w:tc>
      </w:tr>
      <w:tr>
        <w:trPr>
          <w:trHeight w:val="13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кредитование областным бюджетам на оказание мер по содействию развитию предпринимательства в моногородах (микрокредитование)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 – 2020 годы</w:t>
            </w:r>
          </w:p>
        </w:tc>
      </w:tr>
      <w:tr>
        <w:trPr>
          <w:trHeight w:val="270" w:hRule="atLeast"/>
        </w:trPr>
        <w:tc>
          <w:tcPr>
            <w:tcW w:w="4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выданных микрокредитов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микрокредитованием участников Программы, одобренных региональным координационным советом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выделение средств микрокредитной линии в пределах средств, предусмотренных республиканским бюджетом на соответствующий год</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микрокредита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1 753 724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7"/>
        <w:gridCol w:w="875"/>
        <w:gridCol w:w="1228"/>
        <w:gridCol w:w="1118"/>
        <w:gridCol w:w="1365"/>
        <w:gridCol w:w="1378"/>
        <w:gridCol w:w="1254"/>
        <w:gridCol w:w="1366"/>
        <w:gridCol w:w="1229"/>
      </w:tblGrid>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«Целевые текущие трансферты областным бюджетам на реализацию текущих мероприятий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 – 2020 годы»</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реализацию мероприятий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 – 2020 годы</w:t>
            </w:r>
          </w:p>
        </w:tc>
      </w:tr>
      <w:tr>
        <w:trPr>
          <w:trHeight w:val="27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 кредитов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планируемых к выдаче грантов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обустройству моногородов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городов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 продукции (товаров и услуг) субъектами МСБ</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для решения актуальных проблем жизнеобеспечивающей инфраструктуры моногородов в пределах выделенных лимитов финансирования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рассмотрение проектов по развитию инженерно-коммуникационной инфраструктуры моногородов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активных субъектов МСБ в сравнении к 2011 году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 раза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7 809 288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7"/>
        <w:gridCol w:w="875"/>
        <w:gridCol w:w="1228"/>
        <w:gridCol w:w="1118"/>
        <w:gridCol w:w="1254"/>
        <w:gridCol w:w="1365"/>
        <w:gridCol w:w="1378"/>
        <w:gridCol w:w="1366"/>
        <w:gridCol w:w="1229"/>
      </w:tblGrid>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«Целевые трансферты на развитие областным бюджетам на реализацию бюджетных инвестиционных проектов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 – 2020 годы»</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реализацию бюджетных инвестиционных проектов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 – 2020 годы</w:t>
            </w:r>
          </w:p>
        </w:tc>
      </w:tr>
      <w:tr>
        <w:trPr>
          <w:trHeight w:val="18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одобренных проектов на развитие недостающей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 – 2020 годы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моногородов, в которых будут проведены мероприятия по развитию инженерной инфраструктуры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 продукции (товаров и услуг) субъектами МСБ</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для решения актуальных проблем жизнеобеспечивающей инфраструктуры моногородов в пределах выделенных лимитов финансирования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подведение недостающей инфраструктуры по заявкам участников Программы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рассмотрение проектов по развитию инженерно-коммуникационной инфраструктуры моногородов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продолжительность ввода объекта инфраструктуры в эксплуатацию</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8 188 944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16 816 774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0"/>
        <w:gridCol w:w="883"/>
        <w:gridCol w:w="1237"/>
        <w:gridCol w:w="1124"/>
        <w:gridCol w:w="1375"/>
        <w:gridCol w:w="1387"/>
        <w:gridCol w:w="1375"/>
        <w:gridCol w:w="1262"/>
        <w:gridCol w:w="1237"/>
      </w:tblGrid>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«Формирование сведений государственного земельного кадастра»</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регионального развития, строительства, жилищно-коммунального хозяйства, развития предпринимательства и создания условий для эффективного использования и охраны земли, геодезического и картографического обеспечения</w:t>
            </w:r>
          </w:p>
        </w:tc>
      </w:tr>
      <w:tr>
        <w:trPr>
          <w:trHeight w:val="270" w:hRule="atLeast"/>
        </w:trPr>
        <w:tc>
          <w:tcPr>
            <w:tcW w:w="4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Почвенное обследование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почвенных материалов для паспортизации земель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Геоботаническое обследование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бонитета почв сельскохозяйственного назначения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бонитета почв для целей паспортизации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Аэро-космосъемочные работы для получения цифровой планово-картографической продукции: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цифровая аэро-космосъемка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дешифрирование сельскохозяйственных угодий, топографических контуров, земель</w:t>
            </w:r>
            <w:r>
              <w:br/>
            </w:r>
            <w:r>
              <w:rPr>
                <w:rFonts w:ascii="Times New Roman"/>
                <w:b w:val="false"/>
                <w:i w:val="false"/>
                <w:color w:val="000000"/>
                <w:sz w:val="20"/>
              </w:rPr>
              <w:t>
</w:t>
            </w:r>
            <w:r>
              <w:rPr>
                <w:rFonts w:ascii="Times New Roman"/>
                <w:b w:val="false"/>
                <w:i w:val="false"/>
                <w:color w:val="000000"/>
                <w:sz w:val="20"/>
              </w:rPr>
              <w:t>городов, поселков, СНП и выполнение комплекса изыскательских работ по привязке аэро-космоснимков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15 607,4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7 663,1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выдача конечной цифровой</w:t>
            </w:r>
            <w:r>
              <w:br/>
            </w:r>
            <w:r>
              <w:rPr>
                <w:rFonts w:ascii="Times New Roman"/>
                <w:b w:val="false"/>
                <w:i w:val="false"/>
                <w:color w:val="000000"/>
                <w:sz w:val="20"/>
              </w:rPr>
              <w:t>
</w:t>
            </w:r>
            <w:r>
              <w:rPr>
                <w:rFonts w:ascii="Times New Roman"/>
                <w:b w:val="false"/>
                <w:i w:val="false"/>
                <w:color w:val="000000"/>
                <w:sz w:val="20"/>
              </w:rPr>
              <w:t>планово-картографической продукции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15 599,2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земель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20 975,7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Паспортизация земельных участков крестьянских хозяйств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электронного архива земельно-кадастровых дел (сканирование)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кадастровых дел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сельскохозяйственных угодий вовлеченных в с/х оборот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30 582,1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электронных земельно-кадастровых карт учетных кварталов, сформированных на</w:t>
            </w:r>
            <w:r>
              <w:br/>
            </w:r>
            <w:r>
              <w:rPr>
                <w:rFonts w:ascii="Times New Roman"/>
                <w:b w:val="false"/>
                <w:i w:val="false"/>
                <w:color w:val="000000"/>
                <w:sz w:val="20"/>
              </w:rPr>
              <w:t>
</w:t>
            </w:r>
            <w:r>
              <w:rPr>
                <w:rFonts w:ascii="Times New Roman"/>
                <w:b w:val="false"/>
                <w:i w:val="false"/>
                <w:color w:val="000000"/>
                <w:sz w:val="20"/>
              </w:rPr>
              <w:t>землях городов и населенных пунктов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учетный квартал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Вычисление площадей сельскохозяйственных угодий, почвенных и геоботанических контуров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учет земель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базы данных АИС ГЗК</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участков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государственного земельного кадастра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крупномасштабной почвенной и геоботанической карт, карты бонитировки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площади сельскохозяйственных угодий, составе угодий, их качественном состоянии и предложения по их эффективному использованию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архив земельно-кадастровых дел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кадастровых</w:t>
            </w:r>
            <w:r>
              <w:br/>
            </w:r>
            <w:r>
              <w:rPr>
                <w:rFonts w:ascii="Times New Roman"/>
                <w:b w:val="false"/>
                <w:i w:val="false"/>
                <w:color w:val="000000"/>
                <w:sz w:val="20"/>
              </w:rPr>
              <w:t>
</w:t>
            </w:r>
            <w:r>
              <w:rPr>
                <w:rFonts w:ascii="Times New Roman"/>
                <w:b w:val="false"/>
                <w:i w:val="false"/>
                <w:color w:val="000000"/>
                <w:sz w:val="20"/>
              </w:rPr>
              <w:t>дел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3 088,3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3 283,3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Электронные земельно-кадастровые карты учетных кварталов, сформированных на землях городов и населенных пунктов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учетный квартал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государственным учетом земельного фонда всей территории Республики Казахстан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Почвенное обследование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почвенных материалов для паспортизации земель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Геоботанические изыскания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бонитета почв сельскохозяйственного назначения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бонитета почв для целей паспортизации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земель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с/угодий вовлеченных в с/х оборот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электронного архива земельно-кадастровых дел (сканирование)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электронных земельно-кадастровых карт учетных кварталов, сформированных на</w:t>
            </w:r>
            <w:r>
              <w:br/>
            </w:r>
            <w:r>
              <w:rPr>
                <w:rFonts w:ascii="Times New Roman"/>
                <w:b w:val="false"/>
                <w:i w:val="false"/>
                <w:color w:val="000000"/>
                <w:sz w:val="20"/>
              </w:rPr>
              <w:t>
</w:t>
            </w:r>
            <w:r>
              <w:rPr>
                <w:rFonts w:ascii="Times New Roman"/>
                <w:b w:val="false"/>
                <w:i w:val="false"/>
                <w:color w:val="000000"/>
                <w:sz w:val="20"/>
              </w:rPr>
              <w:t>землях городов и населенных пунктов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 по:</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обеспечению сельскохозяйственных угодий обследованиями, в том числе: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почвенными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тыс.гектар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геоботаническими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r>
              <w:br/>
            </w:r>
            <w:r>
              <w:rPr>
                <w:rFonts w:ascii="Times New Roman"/>
                <w:b w:val="false"/>
                <w:i w:val="false"/>
                <w:color w:val="000000"/>
                <w:sz w:val="20"/>
              </w:rPr>
              <w:t>
</w:t>
            </w: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бонитировка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r>
              <w:br/>
            </w:r>
            <w:r>
              <w:rPr>
                <w:rFonts w:ascii="Times New Roman"/>
                <w:b w:val="false"/>
                <w:i w:val="false"/>
                <w:color w:val="000000"/>
                <w:sz w:val="20"/>
              </w:rPr>
              <w:t>
</w:t>
            </w: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земель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тенге/шт.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инвентаризации сельскохозяйственных угодий вовлеченных в сельскохозяйственный оборот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r>
              <w:br/>
            </w:r>
            <w:r>
              <w:rPr>
                <w:rFonts w:ascii="Times New Roman"/>
                <w:b w:val="false"/>
                <w:i w:val="false"/>
                <w:color w:val="000000"/>
                <w:sz w:val="20"/>
              </w:rPr>
              <w:t>
</w:t>
            </w: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созданию электронного архива земельно-кадастровых дел (сканирование)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r>
              <w:br/>
            </w:r>
            <w:r>
              <w:rPr>
                <w:rFonts w:ascii="Times New Roman"/>
                <w:b w:val="false"/>
                <w:i w:val="false"/>
                <w:color w:val="000000"/>
                <w:sz w:val="20"/>
              </w:rPr>
              <w:t>
</w:t>
            </w:r>
            <w:r>
              <w:rPr>
                <w:rFonts w:ascii="Times New Roman"/>
                <w:b w:val="false"/>
                <w:i w:val="false"/>
                <w:color w:val="000000"/>
                <w:sz w:val="20"/>
              </w:rPr>
              <w:t>тыс. кад. дел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созданию электронных земельно-кадастровых карт учетных кварталов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r>
              <w:br/>
            </w:r>
            <w:r>
              <w:rPr>
                <w:rFonts w:ascii="Times New Roman"/>
                <w:b w:val="false"/>
                <w:i w:val="false"/>
                <w:color w:val="000000"/>
                <w:sz w:val="20"/>
              </w:rPr>
              <w:t>
</w:t>
            </w:r>
            <w:r>
              <w:rPr>
                <w:rFonts w:ascii="Times New Roman"/>
                <w:b w:val="false"/>
                <w:i w:val="false"/>
                <w:color w:val="000000"/>
                <w:sz w:val="20"/>
              </w:rPr>
              <w:t>уч. кварт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2 800 492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3 635 668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815"/>
        <w:gridCol w:w="1164"/>
        <w:gridCol w:w="1164"/>
        <w:gridCol w:w="1318"/>
        <w:gridCol w:w="1488"/>
        <w:gridCol w:w="1538"/>
        <w:gridCol w:w="1549"/>
        <w:gridCol w:w="955"/>
      </w:tblGrid>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«Обеспечение топографо-геодезической и картографической продукцией и ее хранение»</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направленная на создание геодезической и картографической продукции, обеспечение различных отраслей экономики</w:t>
            </w:r>
          </w:p>
        </w:tc>
      </w:tr>
      <w:tr>
        <w:trPr>
          <w:trHeight w:val="270" w:hRule="atLeast"/>
        </w:trPr>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Аэрокосмосъемочные материалы,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163 438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водоемов,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Нивелирование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погон. км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Государственные топографические карты масштабного ряда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Крупномасштабные планы:</w:t>
            </w:r>
            <w:r>
              <w:br/>
            </w:r>
            <w:r>
              <w:rPr>
                <w:rFonts w:ascii="Times New Roman"/>
                <w:b w:val="false"/>
                <w:i w:val="false"/>
                <w:color w:val="000000"/>
                <w:sz w:val="20"/>
              </w:rPr>
              <w:t>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r>
              <w:br/>
            </w:r>
            <w:r>
              <w:rPr>
                <w:rFonts w:ascii="Times New Roman"/>
                <w:b w:val="false"/>
                <w:i w:val="false"/>
                <w:color w:val="000000"/>
                <w:sz w:val="20"/>
              </w:rPr>
              <w:t>
</w:t>
            </w:r>
            <w:r>
              <w:rPr>
                <w:rFonts w:ascii="Times New Roman"/>
                <w:b w:val="false"/>
                <w:i w:val="false"/>
                <w:color w:val="000000"/>
                <w:sz w:val="20"/>
              </w:rPr>
              <w:t>лист</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596/446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1711/1400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1404/1711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водоемов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Геодинамические исследования для определения современных движений земной коры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сторона/ погон. км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1560,8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1560,8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1560,8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1560,8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цифровых топографических карт на русском языке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Издание (печать) топографических карт</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Создание цифровых топографических карт на государственном языке на русском языке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Издание государственных каталогов географических названий Республики</w:t>
            </w:r>
            <w:r>
              <w:br/>
            </w:r>
            <w:r>
              <w:rPr>
                <w:rFonts w:ascii="Times New Roman"/>
                <w:b w:val="false"/>
                <w:i w:val="false"/>
                <w:color w:val="000000"/>
                <w:sz w:val="20"/>
              </w:rPr>
              <w:t>
</w:t>
            </w:r>
            <w:r>
              <w:rPr>
                <w:rFonts w:ascii="Times New Roman"/>
                <w:b w:val="false"/>
                <w:i w:val="false"/>
                <w:color w:val="000000"/>
                <w:sz w:val="20"/>
              </w:rPr>
              <w:t>Казахстан на государственном языке, расширение базы географических названий Республики Казахстан на русском языке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Разработка нормативно-технических документов</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Государственный учет, хранение, обеспечение сохранности материалов</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ед.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геодезической и картографической продукцией, соответствующей современному состоянию местности и государственной топонимике в % от общей территории республики</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уровня обеспеченности субъектов геодезической и картографической деятельности картографической продукцией, соответствующей современному состоянию местности и топонимике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затраты на единицу оказанной услуги по: </w:t>
            </w:r>
            <w:r>
              <w:br/>
            </w:r>
            <w:r>
              <w:rPr>
                <w:rFonts w:ascii="Times New Roman"/>
                <w:b w:val="false"/>
                <w:i w:val="false"/>
                <w:color w:val="000000"/>
                <w:sz w:val="20"/>
              </w:rPr>
              <w:t>
</w:t>
            </w:r>
            <w:r>
              <w:rPr>
                <w:rFonts w:ascii="Times New Roman"/>
                <w:b w:val="false"/>
                <w:i w:val="false"/>
                <w:color w:val="000000"/>
                <w:sz w:val="20"/>
              </w:rPr>
              <w:t>1) обновлению государственных топографических карт всего масштабного ряда: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листов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нивели-</w:t>
            </w:r>
            <w:r>
              <w:br/>
            </w:r>
            <w:r>
              <w:rPr>
                <w:rFonts w:ascii="Times New Roman"/>
                <w:b w:val="false"/>
                <w:i w:val="false"/>
                <w:color w:val="000000"/>
                <w:sz w:val="20"/>
              </w:rPr>
              <w:t>
</w:t>
            </w:r>
            <w:r>
              <w:rPr>
                <w:rFonts w:ascii="Times New Roman"/>
                <w:b w:val="false"/>
                <w:i w:val="false"/>
                <w:color w:val="000000"/>
                <w:sz w:val="20"/>
              </w:rPr>
              <w:t>рованию I, II класса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пог. км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картографической продукции в цифровом виде на государственном и русском языках, издание топографических карт</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листов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p>
            <w:pPr>
              <w:spacing w:after="20"/>
              <w:ind w:left="20"/>
              <w:jc w:val="both"/>
            </w:pPr>
            <w:r>
              <w:rPr>
                <w:rFonts w:ascii="Times New Roman"/>
                <w:b w:val="false"/>
                <w:i w:val="false"/>
                <w:color w:val="000000"/>
                <w:sz w:val="20"/>
              </w:rPr>
              <w:t>141,6</w:t>
            </w:r>
          </w:p>
          <w:p>
            <w:pPr>
              <w:spacing w:after="20"/>
              <w:ind w:left="20"/>
              <w:jc w:val="both"/>
            </w:pPr>
            <w:r>
              <w:rPr>
                <w:rFonts w:ascii="Times New Roman"/>
                <w:b w:val="false"/>
                <w:i w:val="false"/>
                <w:color w:val="000000"/>
                <w:sz w:val="20"/>
              </w:rPr>
              <w:t>45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81,8</w:t>
            </w:r>
          </w:p>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аэрокосмосъемочным материалам:</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кв. км</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водоемов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2 333 141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1004"/>
        <w:gridCol w:w="1233"/>
        <w:gridCol w:w="1121"/>
        <w:gridCol w:w="1345"/>
        <w:gridCol w:w="1233"/>
        <w:gridCol w:w="1358"/>
        <w:gridCol w:w="1345"/>
        <w:gridCol w:w="1122"/>
      </w:tblGrid>
      <w:tr>
        <w:trPr>
          <w:trHeight w:val="13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«Совершенствование нормативно-технических документов в сфере архитектурной, градостроительной и строительной деятельности»</w:t>
            </w:r>
          </w:p>
        </w:tc>
      </w:tr>
      <w:tr>
        <w:trPr>
          <w:trHeight w:val="13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отвечающих современным условиям развития науки, техники и технологий для регулирования архитектурной, градостроительной, строительной деятельности и 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1. Реформирование системы технического регулирования строительной отрасли</w:t>
            </w:r>
            <w:r>
              <w:br/>
            </w:r>
            <w:r>
              <w:rPr>
                <w:rFonts w:ascii="Times New Roman"/>
                <w:b w:val="false"/>
                <w:i w:val="false"/>
                <w:color w:val="000000"/>
                <w:sz w:val="20"/>
              </w:rPr>
              <w:t>
</w:t>
            </w:r>
            <w:r>
              <w:rPr>
                <w:rFonts w:ascii="Times New Roman"/>
                <w:b w:val="false"/>
                <w:i w:val="false"/>
                <w:color w:val="000000"/>
                <w:sz w:val="20"/>
              </w:rPr>
              <w:t>2. Разработка нормативов в сфере жилищно-коммунального хозяйства</w:t>
            </w:r>
          </w:p>
        </w:tc>
      </w:tr>
      <w:tr>
        <w:trPr>
          <w:trHeight w:val="270" w:hRule="atLeast"/>
        </w:trPr>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сметно-нормативных документов в сфере архитектурной, градостроительной и строительной деятельности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типовых проектов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Реформирование системы технического регулирования строительной отрасли Республики Казахстан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регулирование сферы жилищно-коммунального хозяйства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межрегионального градостроительного планирования территории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реформирования системы технического регулирования строительной отрасли Республики Казахстан (схематическая разработка и начало внедрения отдельных элементов системы технического регулирования строительной отрасли)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Межрегиональных схем территориального развития Республики Казахстан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для создания и ведения Государственного градостроительного кадастра Республики Казахстан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ситуационных моделей для аналитической системы генеральной схемы организации территории Республики Казахстан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Корректировка (актуализация) Генеральной схемы организации территории Республики Казахстан с учетом </w:t>
            </w:r>
            <w:r>
              <w:rPr>
                <w:rFonts w:ascii="Times New Roman"/>
                <w:b w:val="false"/>
                <w:i w:val="false"/>
                <w:color w:val="000000"/>
                <w:sz w:val="20"/>
              </w:rPr>
              <w:t>Стратегии</w:t>
            </w:r>
            <w:r>
              <w:rPr>
                <w:rFonts w:ascii="Times New Roman"/>
                <w:b w:val="false"/>
                <w:i w:val="false"/>
                <w:color w:val="000000"/>
                <w:sz w:val="20"/>
              </w:rPr>
              <w:t xml:space="preserve"> «Казахстан-2050»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Региональной схемы развития территорий Астанинской агломерации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Региональной схемы развития территорий Алматинской агломерации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4 068 244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6 735 584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4 154 762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2 763 890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1022"/>
        <w:gridCol w:w="1249"/>
        <w:gridCol w:w="1250"/>
        <w:gridCol w:w="1365"/>
        <w:gridCol w:w="1377"/>
        <w:gridCol w:w="1365"/>
        <w:gridCol w:w="1135"/>
        <w:gridCol w:w="1135"/>
      </w:tblGrid>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«Проведение мероприятий по энергосбережению объектов социальной сферы и жилищно-коммунального хозяйства»</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энергетического обследования зданий (энергоаудита), а также пропаганды политики энергосбережения</w:t>
            </w:r>
          </w:p>
        </w:tc>
      </w:tr>
      <w:tr>
        <w:trPr>
          <w:trHeight w:val="270" w:hRule="atLeast"/>
        </w:trPr>
        <w:tc>
          <w:tcPr>
            <w:tcW w:w="4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городского населения, охваченного мероприятиями по пропаганде энергосбережения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Тиражирование и распространение печатной информационной продукции об энергосбережении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экзепляр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материалов и публикаций на государственном и русском языках в региональных газетах с общим тиражом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экзепляр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распространение периодического издания «Реформы ЖКХ»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во всех областных центрах и гг. Астана и Алматы разъяснительных семинаров для собственников квартир (жилья) по вопросам обеспечения содержания жилищного фонда с охватом не менее 50 чел. в группе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ежегодного республиканского конкурса «Лучшая организация по управлению объектом кондоминиума»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информационно-разъяснительного колл-центра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информационно-консультационных пунктов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Информационно-разъяснительная телевизионная программа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 1 ед. печатной продукции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периодического издания «Реформы ЖКХ» за 1 ед.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1"/>
        <w:gridCol w:w="1014"/>
        <w:gridCol w:w="1243"/>
        <w:gridCol w:w="1243"/>
        <w:gridCol w:w="1431"/>
        <w:gridCol w:w="1443"/>
        <w:gridCol w:w="1357"/>
        <w:gridCol w:w="1129"/>
        <w:gridCol w:w="1129"/>
      </w:tblGrid>
      <w:tr>
        <w:trPr>
          <w:trHeight w:val="13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«Проведение оценки технического состояния инженерных сетей»</w:t>
            </w:r>
          </w:p>
        </w:tc>
      </w:tr>
      <w:tr>
        <w:trPr>
          <w:trHeight w:val="13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технического состояния инженерных сетей</w:t>
            </w:r>
          </w:p>
        </w:tc>
      </w:tr>
      <w:tr>
        <w:trPr>
          <w:trHeight w:val="270" w:hRule="atLeast"/>
        </w:trPr>
        <w:tc>
          <w:tcPr>
            <w:tcW w:w="4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обследованных тепловых сетей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1 014,54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обследованных тепловых сетей к общей протяженности по республике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обследования 1 км тепловых сетей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9"/>
        <w:gridCol w:w="997"/>
        <w:gridCol w:w="1255"/>
        <w:gridCol w:w="1255"/>
        <w:gridCol w:w="1371"/>
        <w:gridCol w:w="1384"/>
        <w:gridCol w:w="1371"/>
        <w:gridCol w:w="1139"/>
        <w:gridCol w:w="1139"/>
      </w:tblGrid>
      <w:tr>
        <w:trPr>
          <w:trHeight w:val="13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«Прикладные научные исследования в области строительства»</w:t>
            </w:r>
          </w:p>
        </w:tc>
      </w:tr>
      <w:tr>
        <w:trPr>
          <w:trHeight w:val="13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научных исследований, направленных на снижение сейсмического риска, обеспечение устойчивости и долговечности зданий (сооружений), с разработкой эффективных конструктивных решений и технологий</w:t>
            </w:r>
          </w:p>
        </w:tc>
      </w:tr>
      <w:tr>
        <w:trPr>
          <w:trHeight w:val="270" w:hRule="atLeast"/>
        </w:trPr>
        <w:tc>
          <w:tcPr>
            <w:tcW w:w="4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прикладных научных исследований, направленных на снижение сейсмического риска, обеспечение устойчивости и долговечности зданий и сооружений (количество тем, завершающихся в текущем году/количество тем, переходящих на следующий 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утвержденных методических указаний, инструкций, рекомендаций, разрабатываемых на научно-технической основе, применяемых в области строительства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указания, инструкции, рекомендации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1026"/>
        <w:gridCol w:w="1253"/>
        <w:gridCol w:w="1253"/>
        <w:gridCol w:w="1369"/>
        <w:gridCol w:w="1381"/>
        <w:gridCol w:w="1253"/>
        <w:gridCol w:w="1253"/>
        <w:gridCol w:w="1137"/>
      </w:tblGrid>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«Целевые текущие трансферты областному бюджету Карагандинской области на поддержание инфраструктуры города Приозерска»</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областному бюджету Карагандинской области на поддержание инфраструктуры города Приозерск</w:t>
            </w:r>
          </w:p>
        </w:tc>
      </w:tr>
      <w:tr>
        <w:trPr>
          <w:trHeight w:val="270" w:hRule="atLeast"/>
        </w:trPr>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Снос конструкций жилищно-гражданских зданий города Приозерск Карагандинской области, не подлежащих восстановлению, с рекультивацией и уборкой строительного мусора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улучшения внешнего вида и архитектурного облика г. Приозерск Карагандинской области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1026"/>
        <w:gridCol w:w="1253"/>
        <w:gridCol w:w="1253"/>
        <w:gridCol w:w="1369"/>
        <w:gridCol w:w="1381"/>
        <w:gridCol w:w="1369"/>
        <w:gridCol w:w="1137"/>
        <w:gridCol w:w="1137"/>
      </w:tblGrid>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«Разработка обоснований инвестиций»</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системного подхода при строительстве и реконструкции объектов водоснабжения и водоотведения в крупных и средних городах</w:t>
            </w:r>
          </w:p>
        </w:tc>
      </w:tr>
      <w:tr>
        <w:trPr>
          <w:trHeight w:val="270" w:hRule="atLeast"/>
        </w:trPr>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разработки обоснования инвестиций с положительным заключением государственной экспертизы по водоснабжению и водоотведению</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Промежуточный отчет по разработке обоснования инвестиций систем водоснабжения и водоотведения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городов, где разрабатываются обоснования инвестиций систем водоснабжения и водоотведения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общего объема работ по разработке обоснования инвестиций систем водоснабжения и водоотведения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 в одном городе (стоимость работ по каждому городу определяется сметным расчетом) по разработке обоснования инвестиций систем водоснабжения и водоотведения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1 520 000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1180"/>
        <w:gridCol w:w="1325"/>
        <w:gridCol w:w="1371"/>
        <w:gridCol w:w="1769"/>
        <w:gridCol w:w="1017"/>
        <w:gridCol w:w="1336"/>
        <w:gridCol w:w="1496"/>
        <w:gridCol w:w="1361"/>
      </w:tblGrid>
      <w:tr>
        <w:trPr>
          <w:trHeight w:val="13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«Прикладные научные исследования в области жилищно-коммунального хозяйства»</w:t>
            </w:r>
          </w:p>
        </w:tc>
      </w:tr>
      <w:tr>
        <w:trPr>
          <w:trHeight w:val="13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научных исследований, направленных на устранение технологической отсталости ЖКХ и снижение эксплуатационных расходов субъектов ЖКХ, с разработкой эффективных конструктивных решений и технологий</w:t>
            </w:r>
          </w:p>
        </w:tc>
      </w:tr>
      <w:tr>
        <w:trPr>
          <w:trHeight w:val="270" w:hRule="atLeast"/>
        </w:trPr>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прикладных научных исследований, направленных на обеспечение устойчивости и долговечности инженерно-коммуникационной инфраструктуры, а также разработку энерго- и ресурсосберегающих технологий (количество тем, завершающихся в текущем году/количество тем, переходящих на следующий год)</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утвержденных методических указаний, инструкций, рекомендаций, разрабатываемых на научно-технической основе, применяемых в сфере ЖКХ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исследования, инструкции, рекомендации</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«Выплата премий по вкладам в жилищные строительные сбережения»</w:t>
            </w:r>
          </w:p>
        </w:tc>
      </w:tr>
      <w:tr>
        <w:trPr>
          <w:trHeight w:val="13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государственной поддержки развития системы жилищных строительных сбережений в Республике Казахстан путем предоставления трансфертов и бюджетных субсидий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декабря 2000 года «О жилищных строительных сбережениях в Республике Казахстан»</w:t>
            </w:r>
          </w:p>
        </w:tc>
      </w:tr>
      <w:tr>
        <w:trPr>
          <w:trHeight w:val="270" w:hRule="atLeast"/>
        </w:trPr>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вкладчиков, получающих премию государства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323 166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419 364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514 442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выплат премий по вкладам в жилищные строительные сбережения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выплат премий по вкладам в жилищные строительные сбережения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7 244 667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9 367 079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17 897 697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19 648 594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989"/>
        <w:gridCol w:w="1221"/>
        <w:gridCol w:w="1221"/>
        <w:gridCol w:w="1569"/>
        <w:gridCol w:w="1343"/>
        <w:gridCol w:w="1330"/>
        <w:gridCol w:w="1343"/>
        <w:gridCol w:w="1111"/>
      </w:tblGrid>
      <w:tr>
        <w:trPr>
          <w:trHeight w:val="126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«Целевые текущие трансферты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 текущих трансфертов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r>
      <w:tr>
        <w:trPr>
          <w:trHeight w:val="27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водоснабжения, получающие субсидии:</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 водопроводы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 К. Сатпаева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локальные водопроводы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получающего воду по субсидированному тарифу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2 127 406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сельских населенных пунктов, обеспечивающихся питьевой водой по удешевленному тарифу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подаваемой питьевой воды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57 640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стоимости услуг по подаче питьевой воды для населения областей Республики Казахстан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субсидии за 1 м</w:t>
            </w:r>
            <w:r>
              <w:rPr>
                <w:rFonts w:ascii="Times New Roman"/>
                <w:b w:val="false"/>
                <w:i w:val="false"/>
                <w:color w:val="000000"/>
                <w:vertAlign w:val="superscript"/>
              </w:rPr>
              <w:t>3</w:t>
            </w:r>
            <w:r>
              <w:rPr>
                <w:rFonts w:ascii="Times New Roman"/>
                <w:b w:val="false"/>
                <w:i w:val="false"/>
                <w:color w:val="000000"/>
                <w:sz w:val="20"/>
              </w:rPr>
              <w:t xml:space="preserve"> питьевой воды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4,31-1484,67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5 134 070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1008"/>
        <w:gridCol w:w="1237"/>
        <w:gridCol w:w="1237"/>
        <w:gridCol w:w="1350"/>
        <w:gridCol w:w="1362"/>
        <w:gridCol w:w="1350"/>
        <w:gridCol w:w="1237"/>
        <w:gridCol w:w="1137"/>
      </w:tblGrid>
      <w:tr>
        <w:trPr>
          <w:trHeight w:val="13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«Повышение квалификации специалистов сферы жилищного хозяйства»</w:t>
            </w:r>
          </w:p>
        </w:tc>
      </w:tr>
      <w:tr>
        <w:trPr>
          <w:trHeight w:val="13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совершенствованию системы подготовки кадров и развитию системы повышения квалификации и компетенции специалистов сферы жилищного хозяйства</w:t>
            </w:r>
          </w:p>
        </w:tc>
      </w:tr>
      <w:tr>
        <w:trPr>
          <w:trHeight w:val="270" w:hRule="atLeast"/>
        </w:trPr>
        <w:tc>
          <w:tcPr>
            <w:tcW w:w="4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обученных от общего количества работников и специалистов сферы ЖКЖ</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слушателей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семинаров (10, 5, 3 дневные курсы)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региональных конференций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качественного результата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на одного слушателя 10 дневного семинара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194 730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на одного слушателя 5 дневного семинара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75 919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на одного слушателя 3 дневного семинара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987"/>
        <w:gridCol w:w="1247"/>
        <w:gridCol w:w="1247"/>
        <w:gridCol w:w="1362"/>
        <w:gridCol w:w="1375"/>
        <w:gridCol w:w="1362"/>
        <w:gridCol w:w="1247"/>
        <w:gridCol w:w="1133"/>
      </w:tblGrid>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«Разработка и апробация модели модернизации и управления жилищно-коммунальным хозяйством для малых населенных пунктов»</w:t>
            </w:r>
          </w:p>
        </w:tc>
      </w:tr>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апробация модели модернизации и управления жилищно-коммунальным хозяйством для малых населенных пунктов</w:t>
            </w:r>
          </w:p>
        </w:tc>
      </w:tr>
      <w:tr>
        <w:trPr>
          <w:trHeight w:val="270" w:hRule="atLeast"/>
        </w:trPr>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Мастер-план поселка с учетом международного опыта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в областях РК и г. Астана двусторонних и многосторонних консультаций с участием национального и/или международного эксперта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Типовой проект для термомодернизации жилого многоквартирного дома (с возможностью тиражирования проекта для других типовых зданий на схожих территориях)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Проектно-сметная документация для модернизации сети теплоснабжения пилотного населенного пункта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модернизации и управления ЖКХ малых населенных пунктов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81 250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943"/>
        <w:gridCol w:w="1180"/>
        <w:gridCol w:w="965"/>
        <w:gridCol w:w="1477"/>
        <w:gridCol w:w="1465"/>
        <w:gridCol w:w="1477"/>
        <w:gridCol w:w="1466"/>
        <w:gridCol w:w="1180"/>
      </w:tblGrid>
      <w:tr>
        <w:trPr>
          <w:trHeight w:val="13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«Кредитование областных бюджетов, бюджетов городов Астаны и Алматы на проектирование, строительство и (или) приобретение жилья»</w:t>
            </w:r>
          </w:p>
        </w:tc>
      </w:tr>
      <w:tr>
        <w:trPr>
          <w:trHeight w:val="13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Выделение средств из республиканского бюджета на возвратной основе акиматам областей, городов Астаны и Алматы на проектирование, строительство и (или) приобретение кредитного жилья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r>
      <w:tr>
        <w:trPr>
          <w:trHeight w:val="270" w:hRule="atLeast"/>
        </w:trPr>
        <w:tc>
          <w:tcPr>
            <w:tcW w:w="3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3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(или) приобретение кредитного жилья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населения доступным жильем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квартир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граждан доступным жильем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1-го кв.м. жилья по ЖССБ</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29 408 357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29 472 165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4"/>
        <w:gridCol w:w="886"/>
        <w:gridCol w:w="1240"/>
        <w:gridCol w:w="1240"/>
        <w:gridCol w:w="1353"/>
        <w:gridCol w:w="1366"/>
        <w:gridCol w:w="1354"/>
        <w:gridCol w:w="1366"/>
        <w:gridCol w:w="1001"/>
      </w:tblGrid>
      <w:tr>
        <w:trPr>
          <w:trHeight w:val="13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«Целевые трансферты на развитие областным бюджетам, бюджетам городов Астаны и Алматы на проектирование, развитие, обустройство и (или) приобретение инженерно-коммуникационной инфраструктуры»</w:t>
            </w:r>
          </w:p>
        </w:tc>
      </w:tr>
      <w:tr>
        <w:trPr>
          <w:trHeight w:val="13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акиматам областей, городов Астаны и Алматы на проектирование, обустройство, реконструкцию и (или) приобретение инженерно-коммуникационной инфраструктуры территорий застройки индивидуальных и многоквартирных жилых домов, включая благоустройство внутридворовых территорий, подъезды и подходы к дому</w:t>
            </w:r>
          </w:p>
        </w:tc>
      </w:tr>
      <w:tr>
        <w:trPr>
          <w:trHeight w:val="270" w:hRule="atLeast"/>
        </w:trPr>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инженерно-коммуникационной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надежной инфраструктуры жизнеобеспечения, обеспечивающей потребности населения стабильным электро-, тепло-, водо- и газоснабженем в районах жилищной застройки.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введенных объектов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км. сетей</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41 134 381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67 607 162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62 705 959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60 229 186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2"/>
        <w:gridCol w:w="891"/>
        <w:gridCol w:w="1246"/>
        <w:gridCol w:w="1246"/>
        <w:gridCol w:w="1246"/>
        <w:gridCol w:w="1360"/>
        <w:gridCol w:w="1373"/>
        <w:gridCol w:w="1360"/>
        <w:gridCol w:w="1246"/>
      </w:tblGrid>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«Создание центров энергоэффективности жилищно-коммунального хозяйства в городах Астана, Алматы и Актобе»</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внедрение энергоэффективных технологий, пропаганда политики энергосбережения</w:t>
            </w:r>
          </w:p>
        </w:tc>
      </w:tr>
      <w:tr>
        <w:trPr>
          <w:trHeight w:val="270" w:hRule="atLeast"/>
        </w:trPr>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бюджетных инвестиций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завершенности объектов строительства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центров энергоэффективности жилищно-коммунального хозяйства в городах Астана и Алматы, Актобе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построенных центров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единицу оказанной услуги: по строительству центра энергоэффективности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Астана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1 083 188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Алматы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846 727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119 267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Актобе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666 814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451 689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2 596 729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1016"/>
        <w:gridCol w:w="1130"/>
        <w:gridCol w:w="1130"/>
        <w:gridCol w:w="1371"/>
        <w:gridCol w:w="1358"/>
        <w:gridCol w:w="1371"/>
        <w:gridCol w:w="1358"/>
        <w:gridCol w:w="1244"/>
      </w:tblGrid>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«Целевые трансферты на развитие областным бюджетам, бюджетам городов Астаны и Алматы на развитие системы водоснабжения и водоотведения»</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областным бюджетам, бюджетам городов Астаны и Алматы на развитие систем водоснабжения</w:t>
            </w:r>
          </w:p>
        </w:tc>
      </w:tr>
      <w:tr>
        <w:trPr>
          <w:trHeight w:val="27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водоснабжения и водоотведения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аварий и остановок на 1 км коммунальных сетей: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водоотведения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водоснабжения и водоотведения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централизованному водоснабжению в городах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централизованному водоотведению в городах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 по строительству и реконструкции одного объекта питьевого водоснабжения и водоотведения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357 903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472 658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751 985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1 228 853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48 674 842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53 883 000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5"/>
        <w:gridCol w:w="1018"/>
        <w:gridCol w:w="1246"/>
        <w:gridCol w:w="1246"/>
        <w:gridCol w:w="1246"/>
        <w:gridCol w:w="1360"/>
        <w:gridCol w:w="1373"/>
        <w:gridCol w:w="1360"/>
        <w:gridCol w:w="1246"/>
      </w:tblGrid>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«Увеличение уставного капитала АО «Казахстанский центр модернизации и развития жилищно-коммунального хозяйства»</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акционерного общества «Казахстанский центр модернизации и развития жилищно-коммунального хозяйства»</w:t>
            </w:r>
          </w:p>
        </w:tc>
      </w:tr>
      <w:tr>
        <w:trPr>
          <w:trHeight w:val="270" w:hRule="atLeast"/>
        </w:trPr>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центров энергоэффективности жилищно-коммунального хозяйства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энерго и ресурсосберегающих технологий</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обученных от общего количества работников и специалистов сферы ЖКХ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1 057 131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959"/>
        <w:gridCol w:w="1089"/>
        <w:gridCol w:w="1089"/>
        <w:gridCol w:w="1487"/>
        <w:gridCol w:w="1476"/>
        <w:gridCol w:w="1488"/>
        <w:gridCol w:w="1476"/>
        <w:gridCol w:w="1194"/>
      </w:tblGrid>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«Целевые трансферты на развитие областным бюджетам, бюджетам городов Астаны и Алматы на проектирование, строительство и (или) приобретение жилья коммунального жилищного фонда»</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Выделение средств из республиканского бюджета акиматам областей, городов Астаны и Алматы на проектирование, строительство и (или) приобретение арендного жилья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r>
      <w:tr>
        <w:trPr>
          <w:trHeight w:val="270" w:hRule="atLeast"/>
        </w:trPr>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(или) приобретение арендного коммунального жилья для очередников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арендного жилья для молодых семей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граждан, состоящих в очереди в акиматах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квартир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молодых семей</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квартир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арендным (коммунальным) жильем граждан, состоящих в очереди в акиматах на получение жилья</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1-го кв. м. жилья</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27 500 000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39 690 909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9"/>
        <w:gridCol w:w="1127"/>
        <w:gridCol w:w="1002"/>
        <w:gridCol w:w="1129"/>
        <w:gridCol w:w="1369"/>
        <w:gridCol w:w="1356"/>
        <w:gridCol w:w="1369"/>
        <w:gridCol w:w="1356"/>
        <w:gridCol w:w="1243"/>
      </w:tblGrid>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«Целевые трансферты на развитие областным бюджетам, бюджетам городов Астаны и Алматы на развитие коммунального хозяйства»</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Надлежащее содержание объектов и территорий населенных пунктов для создания комфортных и безопасных условий проживания граждан</w:t>
            </w:r>
          </w:p>
        </w:tc>
      </w:tr>
      <w:tr>
        <w:trPr>
          <w:trHeight w:val="270" w:hRule="atLeast"/>
        </w:trPr>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инвестиционных проектов по коммунальному хозяйству, в том числе: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сетей (тепло-, электро-, газоснабжения)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по коммунальному хозяйству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сетей, нуждающихся в ремонте: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модернизированных сетей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14 618 140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20 806 535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2"/>
        <w:gridCol w:w="891"/>
        <w:gridCol w:w="1246"/>
        <w:gridCol w:w="1246"/>
        <w:gridCol w:w="1360"/>
        <w:gridCol w:w="1373"/>
        <w:gridCol w:w="1246"/>
        <w:gridCol w:w="1360"/>
        <w:gridCol w:w="1246"/>
      </w:tblGrid>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«Целевые трансферты на развитие областным бюджетам, бюджетам городов Астаны и Алматы на развитие благоустройства городов и населенных пунктов»</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условий для развития инфраструктуры для создания благоприятной среды для проживания населения Республики Казахстан</w:t>
            </w:r>
          </w:p>
        </w:tc>
      </w:tr>
      <w:tr>
        <w:trPr>
          <w:trHeight w:val="270" w:hRule="atLeast"/>
        </w:trPr>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инвестиционных проектов по благоустройству в населенных пунктах для обеспечения благоприятной среды для жителей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по благоустройству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6 777 906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9 805 770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7"/>
        <w:gridCol w:w="886"/>
        <w:gridCol w:w="1241"/>
        <w:gridCol w:w="1241"/>
        <w:gridCol w:w="1354"/>
        <w:gridCol w:w="1367"/>
        <w:gridCol w:w="1241"/>
        <w:gridCol w:w="1355"/>
        <w:gridCol w:w="1128"/>
      </w:tblGrid>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«Целевые трансферты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w:t>
            </w:r>
          </w:p>
        </w:tc>
      </w:tr>
      <w:tr>
        <w:trPr>
          <w:trHeight w:val="6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уполномоченной организации для строительства проектирования жилья и инженерно-коммуникационной инфраструктуры в незавершенных объектах с участием дольщиков.</w:t>
            </w:r>
            <w:r>
              <w:br/>
            </w:r>
            <w:r>
              <w:rPr>
                <w:rFonts w:ascii="Times New Roman"/>
                <w:b w:val="false"/>
                <w:i w:val="false"/>
                <w:color w:val="000000"/>
                <w:sz w:val="20"/>
              </w:rPr>
              <w:t>
</w:t>
            </w:r>
            <w:r>
              <w:rPr>
                <w:rFonts w:ascii="Times New Roman"/>
                <w:b w:val="false"/>
                <w:i w:val="false"/>
                <w:color w:val="000000"/>
                <w:sz w:val="20"/>
              </w:rPr>
              <w:t xml:space="preserve">Развитие инженерно-коммуникационной инфраструктуры городов-спутников г. Алматы </w:t>
            </w:r>
          </w:p>
        </w:tc>
      </w:tr>
      <w:tr>
        <w:trPr>
          <w:trHeight w:val="27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ввода в эксплуатацию жилья в незавершенных объектах с участием дольщиков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по строительству инженерно-коммуникационной инфраструктуры города-спутника «Gate City»</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граждан в жилых комплексах с участием дольщиков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квартир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реализации проектов по строительству инженерно-коммуникационной инфраструктуры города-спутника «Gate City»</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инженерной инфраструктуры города-спутника, переходящих на следующий год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8 047 699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1017"/>
        <w:gridCol w:w="1131"/>
        <w:gridCol w:w="1004"/>
        <w:gridCol w:w="1486"/>
        <w:gridCol w:w="1359"/>
        <w:gridCol w:w="1372"/>
        <w:gridCol w:w="1359"/>
        <w:gridCol w:w="1245"/>
      </w:tblGrid>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«Целевые трансферты на развитие областным бюджетам на развитие системы водоснабжения и водоотведения в сельских населенных пунктах»</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областным бюджетам на развитие систем водоснабжения</w:t>
            </w:r>
          </w:p>
        </w:tc>
      </w:tr>
      <w:tr>
        <w:trPr>
          <w:trHeight w:val="270" w:hRule="atLeast"/>
        </w:trPr>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водоснабжения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водоснабжения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централизованным водоснабжением в сельской местности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централизованным водоотведением в сельской местности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по строительству и реконструкции одного объекта питьевого водоснабжения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188 716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237 179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298 387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34 448 111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37 932 000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1016"/>
        <w:gridCol w:w="1244"/>
        <w:gridCol w:w="1244"/>
        <w:gridCol w:w="1358"/>
        <w:gridCol w:w="1371"/>
        <w:gridCol w:w="1358"/>
        <w:gridCol w:w="1130"/>
        <w:gridCol w:w="1257"/>
      </w:tblGrid>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«Целевые трансферты на развитие областным бюджетам, бюджетам городов Астаны и Алматы на увеличение уставных капиталов специализированных уполномоченных организаций»</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многоквартирных жилых домов</w:t>
            </w:r>
          </w:p>
        </w:tc>
      </w:tr>
      <w:tr>
        <w:trPr>
          <w:trHeight w:val="27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объектов кондоминиума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домов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домов требующих ремонта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кондоминиума, требующих капитального ремонта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ремонтных работ требованиям нормативно-технической документации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5"/>
        <w:gridCol w:w="1013"/>
        <w:gridCol w:w="1242"/>
        <w:gridCol w:w="1242"/>
        <w:gridCol w:w="1355"/>
        <w:gridCol w:w="1368"/>
        <w:gridCol w:w="1355"/>
        <w:gridCol w:w="1128"/>
        <w:gridCol w:w="1242"/>
      </w:tblGrid>
      <w:tr>
        <w:trPr>
          <w:trHeight w:val="135"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«Ипотечная организация Казахстанская ипотечная компания»</w:t>
            </w:r>
          </w:p>
        </w:tc>
      </w:tr>
      <w:tr>
        <w:trPr>
          <w:trHeight w:val="135"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акционерного общества «Ипотечная организация Казахстанская ипотечная компания»</w:t>
            </w:r>
          </w:p>
        </w:tc>
      </w:tr>
      <w:tr>
        <w:trPr>
          <w:trHeight w:val="90" w:hRule="atLeast"/>
        </w:trPr>
        <w:tc>
          <w:tcPr>
            <w:tcW w:w="4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объявленных акций АО «ИО «КИК»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штук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новым жильем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заемщиков</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жилья 4 класс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качества жизни населения путем обеспечения доступным (арендным) жильем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14 193 800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1017"/>
        <w:gridCol w:w="1245"/>
        <w:gridCol w:w="1245"/>
        <w:gridCol w:w="1359"/>
        <w:gridCol w:w="1372"/>
        <w:gridCol w:w="1359"/>
        <w:gridCol w:w="1131"/>
        <w:gridCol w:w="1245"/>
      </w:tblGrid>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«Целевые трансферты на развитие бюджету Акмолинской области на строительство и реконструкцию систем водоснабжения, водоотведения и теплоснабжения Щучинско-Боровской курортной зоны»</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реконструкции и модернизации систем водоснабжения, водоотведения и теплоснабжения</w:t>
            </w:r>
          </w:p>
        </w:tc>
      </w:tr>
      <w:tr>
        <w:trPr>
          <w:trHeight w:val="90" w:hRule="atLeast"/>
        </w:trPr>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разрабатываемых инвестиционных проектов</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разработки в соответствии со СНиП, СН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разработку одного проекта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39 535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974"/>
        <w:gridCol w:w="1236"/>
        <w:gridCol w:w="1236"/>
        <w:gridCol w:w="1424"/>
        <w:gridCol w:w="1437"/>
        <w:gridCol w:w="1349"/>
        <w:gridCol w:w="1124"/>
        <w:gridCol w:w="1249"/>
      </w:tblGrid>
      <w:tr>
        <w:trPr>
          <w:trHeight w:val="1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«Целевые текущие трансферты бюджету города Астана на реализацию мероприятий по проекту «Строительство многофункционального комплекса Абу-даби Плаза в городе Астане»</w:t>
            </w:r>
          </w:p>
        </w:tc>
      </w:tr>
      <w:tr>
        <w:trPr>
          <w:trHeight w:val="1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 проекту «Строительство многофункционального комплекса Абу-даби Плаза в городе Астана»</w:t>
            </w:r>
          </w:p>
        </w:tc>
      </w:tr>
      <w:tr>
        <w:trPr>
          <w:trHeight w:val="270" w:hRule="atLeast"/>
        </w:trPr>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Освобождение земельного участка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компенсации собственникам объектов недвижимости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домостроений у собственников недвижимости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5 511,07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земельных участков в государственную собственность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Физический снос объектов недвижимости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выкуп одного земельного участка с объектом недвижимости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70 242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133 199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561 939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2 397 577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9"/>
        <w:gridCol w:w="859"/>
        <w:gridCol w:w="1246"/>
        <w:gridCol w:w="1246"/>
        <w:gridCol w:w="1271"/>
        <w:gridCol w:w="1360"/>
        <w:gridCol w:w="1373"/>
        <w:gridCol w:w="1360"/>
        <w:gridCol w:w="1246"/>
      </w:tblGrid>
      <w:tr>
        <w:trPr>
          <w:trHeight w:val="13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«Целевые текущие трансферты областным бюджетам, бюджетам городов Астаны и Алматы на увеличение штатной численности местных исполнительных органов»</w:t>
            </w:r>
          </w:p>
        </w:tc>
      </w:tr>
      <w:tr>
        <w:trPr>
          <w:trHeight w:val="13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лимита штатной численности местных исполнительных органов</w:t>
            </w:r>
          </w:p>
        </w:tc>
      </w:tr>
      <w:tr>
        <w:trPr>
          <w:trHeight w:val="270" w:hRule="atLeast"/>
        </w:trPr>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численности территориальных органов центральных исполнительных органов и их ведомств (в том числе за счет вакансий), за исключением военнослужащих министерств внутренних дел и по чрезвычайным ситуациям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Упразднение государственных учреждений территориальных органов МТК, МОН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Перераспределение лимитов штатной численности местным исполнительным органам от территориальных подразделений МСХ, АДР и МТСЗН в связи с передачей функций местным исполнительным органам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лимита штатной численности местных исполнительных органов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1 единицу передаваемой штатной численности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2 627 503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987"/>
        <w:gridCol w:w="1133"/>
        <w:gridCol w:w="1247"/>
        <w:gridCol w:w="1247"/>
        <w:gridCol w:w="1362"/>
        <w:gridCol w:w="1375"/>
        <w:gridCol w:w="1362"/>
        <w:gridCol w:w="1247"/>
      </w:tblGrid>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«Целевые текущие трансферты бюджету города Астаны на выкуп земельных участков под строительство ботанического сада»</w:t>
            </w:r>
          </w:p>
        </w:tc>
      </w:tr>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земельных участков под строительство ботанического сада</w:t>
            </w:r>
          </w:p>
        </w:tc>
      </w:tr>
      <w:tr>
        <w:trPr>
          <w:trHeight w:val="270" w:hRule="atLeast"/>
        </w:trPr>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трансфертов и бюджетных субсидий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компенсации собственникам земельных участков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и передача земельного участка в государственную собственность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гектара земельного участка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4 004 499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2"/>
        <w:gridCol w:w="1015"/>
        <w:gridCol w:w="1130"/>
        <w:gridCol w:w="1243"/>
        <w:gridCol w:w="1243"/>
        <w:gridCol w:w="1357"/>
        <w:gridCol w:w="1370"/>
        <w:gridCol w:w="1357"/>
        <w:gridCol w:w="1243"/>
      </w:tblGrid>
      <w:tr>
        <w:trPr>
          <w:trHeight w:val="13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«Создание информационно-аналитической системы Министерства регионального развития Республики Казахстан»</w:t>
            </w:r>
          </w:p>
        </w:tc>
      </w:tr>
      <w:tr>
        <w:trPr>
          <w:trHeight w:val="13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процессов сбора, анализа и предоставления информации Министерства регионального развития Республики Казахстан</w:t>
            </w:r>
          </w:p>
        </w:tc>
      </w:tr>
      <w:tr>
        <w:trPr>
          <w:trHeight w:val="270" w:hRule="atLeast"/>
        </w:trPr>
        <w:tc>
          <w:tcPr>
            <w:tcW w:w="4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подсистем 1 очереди: хранилище данных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подсистемы 3 очереди:</w:t>
            </w:r>
            <w:r>
              <w:br/>
            </w:r>
            <w:r>
              <w:rPr>
                <w:rFonts w:ascii="Times New Roman"/>
                <w:b w:val="false"/>
                <w:i w:val="false"/>
                <w:color w:val="000000"/>
                <w:sz w:val="20"/>
              </w:rPr>
              <w:t>
</w:t>
            </w:r>
            <w:r>
              <w:rPr>
                <w:rFonts w:ascii="Times New Roman"/>
                <w:b w:val="false"/>
                <w:i w:val="false"/>
                <w:color w:val="000000"/>
                <w:sz w:val="20"/>
              </w:rPr>
              <w:t>«Мониторинг реализации программ Министерства регионального развития Республики Казахстан»;</w:t>
            </w:r>
            <w:r>
              <w:br/>
            </w:r>
            <w:r>
              <w:rPr>
                <w:rFonts w:ascii="Times New Roman"/>
                <w:b w:val="false"/>
                <w:i w:val="false"/>
                <w:color w:val="000000"/>
                <w:sz w:val="20"/>
              </w:rPr>
              <w:t>
</w:t>
            </w:r>
            <w:r>
              <w:rPr>
                <w:rFonts w:ascii="Times New Roman"/>
                <w:b w:val="false"/>
                <w:i w:val="false"/>
                <w:color w:val="000000"/>
                <w:sz w:val="20"/>
              </w:rPr>
              <w:t>Мониторинг и анализ сферы жилищно-коммунального хозяйства», «Моделирование и прогнозирование развития регионов»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мониторингом реализации программ Министерства регионального развития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мониторингом и анализом сферы жилищно-коммунального хозяйства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моделированием и прогнозированием развития регионов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240 930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1025"/>
        <w:gridCol w:w="1156"/>
        <w:gridCol w:w="1260"/>
        <w:gridCol w:w="1486"/>
        <w:gridCol w:w="1364"/>
        <w:gridCol w:w="1376"/>
        <w:gridCol w:w="1364"/>
        <w:gridCol w:w="1260"/>
      </w:tblGrid>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«Целевые текущие трансферты бюджету города Астаны на погашение ранее принятых обязательств уполномоченной организацией акимата города Астаны перед АО «ФНБ «Самрук-Казына»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акимату города Астаны в целях обеспечения исполнения обязательств по возврату кредита перед АО «ФНБ «Самрук-Казына»</w:t>
            </w:r>
          </w:p>
        </w:tc>
      </w:tr>
      <w:tr>
        <w:trPr>
          <w:trHeight w:val="30" w:hRule="atLeast"/>
        </w:trPr>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текущих трансфертов акимату города Астаны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обязательств уполномоченной организации акимата г. Астаны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6"/>
        <w:gridCol w:w="959"/>
        <w:gridCol w:w="1089"/>
        <w:gridCol w:w="1194"/>
        <w:gridCol w:w="1194"/>
        <w:gridCol w:w="1532"/>
        <w:gridCol w:w="1572"/>
        <w:gridCol w:w="1560"/>
        <w:gridCol w:w="1194"/>
      </w:tblGrid>
      <w:tr>
        <w:trPr>
          <w:trHeight w:val="135"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«Целевые текущие трансферты областным бюджетам на субсидирование стоимости услуг по подаче питьевой воды из особо важных локальных и групповых систем водоснабжения, являющихся безальтернативными источниками питьевого водоснабжения»</w:t>
            </w:r>
          </w:p>
        </w:tc>
      </w:tr>
      <w:tr>
        <w:trPr>
          <w:trHeight w:val="135"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 текущих трансфертов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r>
      <w:tr>
        <w:trPr>
          <w:trHeight w:val="270" w:hRule="atLeast"/>
        </w:trPr>
        <w:tc>
          <w:tcPr>
            <w:tcW w:w="3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трансфертов и бюджетных субсидий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3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водоснабжения, получающие субсидии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получающего воду по субсидированному тарифу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2 705 887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927 768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927 768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сельских населенных пунктов, обеспечивающихся питьевой водой по удешевленному тарифу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подаваемой питьевой воды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84 955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стоимости услуг по подаче питьевой воды для населения областей Республики Казахстан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24,81-100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субсидии за 1 м</w:t>
            </w:r>
            <w:r>
              <w:rPr>
                <w:rFonts w:ascii="Times New Roman"/>
                <w:b w:val="false"/>
                <w:i w:val="false"/>
                <w:color w:val="000000"/>
                <w:vertAlign w:val="superscript"/>
              </w:rPr>
              <w:t>3</w:t>
            </w:r>
            <w:r>
              <w:rPr>
                <w:rFonts w:ascii="Times New Roman"/>
                <w:b w:val="false"/>
                <w:i w:val="false"/>
                <w:color w:val="000000"/>
                <w:sz w:val="20"/>
              </w:rPr>
              <w:t xml:space="preserve"> питьевой воды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13-1756,5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1,8-1756,5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5 082 892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9"/>
        <w:gridCol w:w="1130"/>
        <w:gridCol w:w="1139"/>
        <w:gridCol w:w="945"/>
        <w:gridCol w:w="1217"/>
        <w:gridCol w:w="1120"/>
        <w:gridCol w:w="945"/>
        <w:gridCol w:w="1159"/>
        <w:gridCol w:w="2286"/>
      </w:tblGrid>
      <w:tr>
        <w:trPr>
          <w:trHeight w:val="30"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«Увеличение уставного капитала АО «Фонд жилищно-коммунального хозяйства»</w:t>
            </w:r>
          </w:p>
        </w:tc>
      </w:tr>
      <w:tr>
        <w:trPr>
          <w:trHeight w:val="30"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акционерного общества «Фонд жилищно-коммунального хозяйства»</w:t>
            </w:r>
          </w:p>
        </w:tc>
      </w:tr>
      <w:tr>
        <w:trPr>
          <w:trHeight w:val="30" w:hRule="atLeast"/>
        </w:trPr>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2017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общедомовых приборов учета тепловой энергии в городах республики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оснащенности потребителей общедомовыми приборами учета тепловой энергии в городах республики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общедомового прибора учета тепловой энергии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5"/>
        <w:gridCol w:w="1148"/>
        <w:gridCol w:w="1150"/>
        <w:gridCol w:w="951"/>
        <w:gridCol w:w="1071"/>
        <w:gridCol w:w="1110"/>
        <w:gridCol w:w="1091"/>
        <w:gridCol w:w="1130"/>
        <w:gridCol w:w="2204"/>
      </w:tblGrid>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«Целевые трансферты на развитие бюджету Атырауской области на реализацию проектов в рамках XI Форума межрегионального сотрудничества Казахстана и России»</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здания «Салтанат Сарайы» в г. Атырау</w:t>
            </w:r>
          </w:p>
        </w:tc>
      </w:tr>
      <w:tr>
        <w:trPr>
          <w:trHeight w:val="30" w:hRule="atLeast"/>
        </w:trPr>
        <w:tc>
          <w:tcPr>
            <w:tcW w:w="4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 w:hRule="atLeast"/>
        </w:trPr>
        <w:tc>
          <w:tcPr>
            <w:tcW w:w="4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2017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инвестиционных проектов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зданием для проведения торжественных мероприятий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929 492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44"/>
    <w:p>
      <w:pPr>
        <w:spacing w:after="0"/>
        <w:ind w:left="0"/>
        <w:jc w:val="both"/>
      </w:pPr>
      <w:r>
        <w:rPr>
          <w:rFonts w:ascii="Times New Roman"/>
          <w:b w:val="false"/>
          <w:i w:val="false"/>
          <w:color w:val="000000"/>
          <w:sz w:val="28"/>
        </w:rPr>
        <w:t>
                              </w:t>
      </w:r>
      <w:r>
        <w:rPr>
          <w:rFonts w:ascii="Times New Roman"/>
          <w:b/>
          <w:i w:val="false"/>
          <w:color w:val="000000"/>
          <w:sz w:val="28"/>
        </w:rPr>
        <w:t>7.2. Свод бюджетных расходов</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982"/>
        <w:gridCol w:w="1003"/>
        <w:gridCol w:w="889"/>
        <w:gridCol w:w="1597"/>
        <w:gridCol w:w="1723"/>
        <w:gridCol w:w="1597"/>
        <w:gridCol w:w="1724"/>
        <w:gridCol w:w="1243"/>
      </w:tblGrid>
      <w:tr>
        <w:trPr>
          <w:trHeight w:val="375" w:hRule="atLeast"/>
        </w:trPr>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7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7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385 983 101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448 127 489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397 793 233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396 911 080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113 586 833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94 477 452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84 275 183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83 069 803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272 396 268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353 650 037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313 518 050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313 841 277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45"/>
    <w:p>
      <w:pPr>
        <w:spacing w:after="0"/>
        <w:ind w:left="0"/>
        <w:jc w:val="both"/>
      </w:pPr>
      <w:r>
        <w:rPr>
          <w:rFonts w:ascii="Times New Roman"/>
          <w:b w:val="false"/>
          <w:i w:val="false"/>
          <w:color w:val="000000"/>
          <w:sz w:val="28"/>
        </w:rPr>
        <w:t>
Расшифровка аббревиатур:</w:t>
      </w:r>
    </w:p>
    <w:bookmarkEnd w:id="45"/>
    <w:tbl>
      <w:tblPr>
        <w:tblW w:w="0" w:type="auto"/>
        <w:tblCellSpacing w:w="0" w:type="auto"/>
        <w:tblBorders>
          <w:top w:val="none"/>
          <w:left w:val="none"/>
          <w:bottom w:val="none"/>
          <w:right w:val="none"/>
          <w:insideH w:val="none"/>
          <w:insideV w:val="none"/>
        </w:tblBorders>
      </w:tblPr>
      <w:tblGrid>
        <w:gridCol w:w="2408"/>
        <w:gridCol w:w="522"/>
        <w:gridCol w:w="11070"/>
      </w:tblGrid>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индустрии и новых технологий;</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окружающей среды и водных ресурсов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сельского хозяйства Республики Казахстан; </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КНБ</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национальной безопасности;</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обороны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по чрезвычайным ситуациям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нефти и газа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статистике;</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p>
            <w:pPr>
              <w:spacing w:after="20"/>
              <w:ind w:left="20"/>
              <w:jc w:val="both"/>
            </w:pPr>
            <w:r>
              <w:rPr>
                <w:rFonts w:ascii="Times New Roman"/>
                <w:b w:val="false"/>
                <w:i w:val="false"/>
                <w:color w:val="000000"/>
                <w:sz w:val="20"/>
              </w:rPr>
              <w:t>АО «КЦМРЖКХ»</w:t>
            </w:r>
          </w:p>
          <w:p>
            <w:pPr>
              <w:spacing w:after="20"/>
              <w:ind w:left="20"/>
              <w:jc w:val="both"/>
            </w:pPr>
            <w:r>
              <w:rPr>
                <w:rFonts w:ascii="Times New Roman"/>
                <w:b w:val="false"/>
                <w:i w:val="false"/>
                <w:color w:val="000000"/>
                <w:sz w:val="20"/>
              </w:rPr>
              <w:t>АО «ИО «КИК»</w:t>
            </w:r>
          </w:p>
          <w:p>
            <w:pPr>
              <w:spacing w:after="20"/>
              <w:ind w:left="20"/>
              <w:jc w:val="both"/>
            </w:pPr>
            <w:r>
              <w:rPr>
                <w:rFonts w:ascii="Times New Roman"/>
                <w:b w:val="false"/>
                <w:i w:val="false"/>
                <w:color w:val="000000"/>
                <w:sz w:val="20"/>
              </w:rPr>
              <w:t>АО «ФРП «Даму»</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исполнительные органы;</w:t>
            </w:r>
          </w:p>
          <w:p>
            <w:pPr>
              <w:spacing w:after="20"/>
              <w:ind w:left="20"/>
              <w:jc w:val="both"/>
            </w:pPr>
            <w:r>
              <w:rPr>
                <w:rFonts w:ascii="Times New Roman"/>
                <w:b w:val="false"/>
                <w:i w:val="false"/>
                <w:color w:val="000000"/>
                <w:sz w:val="20"/>
              </w:rPr>
              <w:t>акционерное общество «Казахстанский центр модернизации и развития жилищно-коммунального хозяйства»;</w:t>
            </w:r>
          </w:p>
          <w:p>
            <w:pPr>
              <w:spacing w:after="20"/>
              <w:ind w:left="20"/>
              <w:jc w:val="both"/>
            </w:pPr>
            <w:r>
              <w:rPr>
                <w:rFonts w:ascii="Times New Roman"/>
                <w:b w:val="false"/>
                <w:i w:val="false"/>
                <w:color w:val="000000"/>
                <w:sz w:val="20"/>
              </w:rPr>
              <w:t>акционерное общество «Ипотечная организация «Казахстанская ипотечная компания»;</w:t>
            </w:r>
          </w:p>
          <w:p>
            <w:pPr>
              <w:spacing w:after="20"/>
              <w:ind w:left="20"/>
              <w:jc w:val="both"/>
            </w:pPr>
            <w:r>
              <w:rPr>
                <w:rFonts w:ascii="Times New Roman"/>
                <w:b w:val="false"/>
                <w:i w:val="false"/>
                <w:color w:val="000000"/>
                <w:sz w:val="20"/>
              </w:rPr>
              <w:t>акционерное общество «Фонд развития предпринимательства «Даму»;</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p>
            <w:pPr>
              <w:spacing w:after="20"/>
              <w:ind w:left="20"/>
              <w:jc w:val="both"/>
            </w:pPr>
            <w:r>
              <w:rPr>
                <w:rFonts w:ascii="Times New Roman"/>
                <w:b w:val="false"/>
                <w:i w:val="false"/>
                <w:color w:val="000000"/>
                <w:sz w:val="20"/>
              </w:rPr>
              <w:t>СНиП</w:t>
            </w:r>
          </w:p>
          <w:p>
            <w:pPr>
              <w:spacing w:after="20"/>
              <w:ind w:left="20"/>
              <w:jc w:val="both"/>
            </w:pPr>
            <w:r>
              <w:rPr>
                <w:rFonts w:ascii="Times New Roman"/>
                <w:b w:val="false"/>
                <w:i w:val="false"/>
                <w:color w:val="000000"/>
                <w:sz w:val="20"/>
              </w:rPr>
              <w:t>ПСД</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сельские населенные пункты;</w:t>
            </w:r>
          </w:p>
          <w:p>
            <w:pPr>
              <w:spacing w:after="20"/>
              <w:ind w:left="20"/>
              <w:jc w:val="both"/>
            </w:pPr>
            <w:r>
              <w:rPr>
                <w:rFonts w:ascii="Times New Roman"/>
                <w:b w:val="false"/>
                <w:i w:val="false"/>
                <w:color w:val="000000"/>
                <w:sz w:val="20"/>
              </w:rPr>
              <w:t>строительные нормы и правила;</w:t>
            </w:r>
          </w:p>
          <w:p>
            <w:pPr>
              <w:spacing w:after="20"/>
              <w:ind w:left="20"/>
              <w:jc w:val="both"/>
            </w:pPr>
            <w:r>
              <w:rPr>
                <w:rFonts w:ascii="Times New Roman"/>
                <w:b w:val="false"/>
                <w:i w:val="false"/>
                <w:color w:val="000000"/>
                <w:sz w:val="20"/>
              </w:rPr>
              <w:t>проектно-сметная документация;</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Европейский союз;</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НТС</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научно-технический совет.</w:t>
            </w:r>
          </w:p>
        </w:tc>
      </w:tr>
    </w:tbl>
    <w:bookmarkStart w:name="z38" w:id="4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апреля 2013 года № 442 </w:t>
      </w:r>
    </w:p>
    <w:bookmarkEnd w:id="46"/>
    <w:bookmarkStart w:name="z39" w:id="47"/>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47"/>
    <w:p>
      <w:pPr>
        <w:spacing w:after="0"/>
        <w:ind w:left="0"/>
        <w:jc w:val="both"/>
      </w:pPr>
      <w:r>
        <w:rPr>
          <w:rFonts w:ascii="Times New Roman"/>
          <w:b w:val="false"/>
          <w:i w:val="false"/>
          <w:color w:val="ff0000"/>
          <w:sz w:val="28"/>
        </w:rPr>
        <w:t xml:space="preserve">      Сноска. Перечень с изменением, внесенным постановлением Правительства РК от 31.12.2013 </w:t>
      </w:r>
      <w:r>
        <w:rPr>
          <w:rFonts w:ascii="Times New Roman"/>
          <w:b w:val="false"/>
          <w:i w:val="false"/>
          <w:color w:val="ff0000"/>
          <w:sz w:val="28"/>
        </w:rPr>
        <w:t>№ 1495</w:t>
      </w:r>
      <w:r>
        <w:rPr>
          <w:rFonts w:ascii="Times New Roman"/>
          <w:b w:val="false"/>
          <w:i w:val="false"/>
          <w:color w:val="ff0000"/>
          <w:sz w:val="28"/>
        </w:rPr>
        <w:t>.</w:t>
      </w:r>
    </w:p>
    <w:bookmarkStart w:name="z40" w:id="48"/>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марта 2011 года № 208 «О Стратегическом плане Агентства Республики Казахстан по управлению земельными ресурсами на 2011 – 2015 годы» (САПП Республики Казахстан, 2011 г., № 23, ст. 285).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апреля 2011 года № 350 «О внесении изменений и дополнения в постановление Правительства Республики Казахстан от 1 марта 2011 года № 208 (САПП Республики Казахстан, 2011 г., № 29, ст. 360).</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2011 года № 1548 «О внесении изменений в постановление Правительства Республики Казахстан от 1 марта 2011 года № 208 «О Стратегическом плане Агентства Республики Казахстан по управлению земельными ресурсами на 2011 – 2015 годы» (САПП Республики Казахстан, 2012 г., № 8, ст. 161).</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2011 года № 1650 «О внесении изменения в постановление Правительства Республики Казахстан от 1 марта 2011 года № 208 «О Стратегическом плане Агентства Республики Казахстан по управлению земельными ресурсами на 2011 – 2015 годы» (САПП Республики Казахстан, 2012 г., № 13, ст. 232).</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апреля 2012 года № 548 «О внесении изменений и дополнений в постановление Правительства Республики Казахстан от 1 марта 2011 года № 208 «Об утверждении Стратегического плана Агентства Республики Казахстан по управлению земельными ресурсами на 2011 – 2015 годы» (САПП Республики Казахстан, 2012 г., № 47, ст. 627).</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декабря 2012 года № 1679 «О внесении изменений в постановление Правительства Республики Казахстан от 1 марта 2011 года № 208 «Об утверждении Стратегического плана Агентства Республики Казахстан по управлению земельными ресурсами на 2011 – 2015 годы» («Казахстанская правда» от 23 февраля 2013 года, № 69-70 (27343-27344), «Егемен Қазақстан» 23 февраля 2013 года № 74 (28013).</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2012 года № 1766 «О внесении изменений в постановление Правительства Республики Казахстан от 1 марта 2011 года № 208 «О Стратегическом плане Агентства Республики Казахстан по управлению земельными ресурсами на 2011–2015 годы» (САПП Республики Казахстан, 2011 г., № 23, ст. 285)</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марта 2011 года № 213 «О Стратегическом плане Агентства Республики Казахстан по делам строительства и жилищно-коммунального хозяйства на 2011 – 2015 годы» (САПП Республики Казахстан, 2011 г., № 23, ст. 289).</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апреля 2011 года № 369 «О внесении изменений и дополнений в постановление Правительства Республики Казахстан от 2 марта 2011 года № 213» (САПП Республики Казахстан, 2011 г., № 30, ст. 372).</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2011 года № 1653 «О внесении изменения в постановление Правительства Республики Казахстан от 2 марта 2011 года № 213 «О Стратегическом плане Агентства Республики Казахстан по делам строительства и жилищно-коммунального хозяйства на 2011 - 2015 годы» (САПП Республики Казахстан, 2012 г., № 13, ст. 235).</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марта 2012 года № 405 «О внесении изменений и дополнений в постановление Правительства Республики Казахстан от 2 марта 2011 года № 213 «О Стратегическом плане Агентства Республики Казахстан по делам строительства и жилищно-коммунального хозяйства на 2011 – 2015 годы» (САПП Республики Казахстан, 2012 г., № 40, ст. 542).</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апреля 2012 года № 551 «О внесении изменений в постановление Правительства Республики Казахстан от 2 марта 2011 года № 213 «О Стратегическом плане Агентства Республики Казахстан по делам строительства и жилищно-коммунального хозяйства на 2011-2015 годы» (САПП Республики Казахстан, 2012 г., № 47, ст. 630).</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2012 года № 1793 «О внесении изменений и дополнений в постановление Правительства Республики Казахстан от 2 марта 2011 года № 213 «О Стратегическом плане Агентства Республики Казахстан по делам строительства и жилищно-коммунального хозяйства на 2011-2015 годы» (САПП Республики Казахстан, 2012 г., № 23, ст. 289).</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2012 года № 1794 «О внесении изменений и дополнений в постановление Правительства Республики Казахстан от 2 марта 2011 года № 213 «О Стратегическом плане Агентства Республики Казахстан по делам строительства и жилищно-коммунального хозяйства на 2011-2015 годы» (САПП Республики Казахстан, 2012 г., № 23, ст. 289).</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