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8151" w14:textId="ef0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ноября 2011 года № 1311 "Об утверждении форм налоговых регистров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458.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2011 года № 1311 «Об утверждении форм налоговых регистров и правил их составления» (САПП Республики Казахстан, 2012 г., № 2, ст. 25);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5-2), 5-3) и 5-4)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форму налогового регистра по учету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форму налогового регистра по учету приобретенных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применению инвестиционных налоговых преференций, утвержденных указанным постановлением,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определению стоимостных балансов групп (подгрупп) фиксированных активов и последующим расходам по фиксированным активам, утвержденной указанным постановлением,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суммам управленческих и общеадминистративных расходов юридического лица–нерезидента, отнесенным на вычеты его постоянным учреждением в Республике Казахстан, утвержденной указанным постановлением,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производным финансовым инструментам, утвержденную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формами налоговых регистров,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производным финансовым инструментам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ИИН/БИН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год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производным финансовым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инструментам, за исключением свопа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091"/>
        <w:gridCol w:w="1091"/>
        <w:gridCol w:w="848"/>
        <w:gridCol w:w="1213"/>
        <w:gridCol w:w="970"/>
        <w:gridCol w:w="1213"/>
        <w:gridCol w:w="1334"/>
        <w:gridCol w:w="1091"/>
        <w:gridCol w:w="1092"/>
        <w:gridCol w:w="1214"/>
      </w:tblGrid>
      <w:tr>
        <w:trPr>
          <w:trHeight w:val="14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(графа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свопу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891"/>
        <w:gridCol w:w="1090"/>
        <w:gridCol w:w="991"/>
        <w:gridCol w:w="991"/>
        <w:gridCol w:w="1387"/>
        <w:gridCol w:w="1090"/>
        <w:gridCol w:w="1487"/>
        <w:gridCol w:w="1487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свопу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свопу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руководителя (налогоплательщика),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лица, ответственного за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 налогового регистра)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1. Учет операций по доходам, за исключением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реализации или передаче в уставный капитал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являющегося основным средством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435"/>
        <w:gridCol w:w="4588"/>
        <w:gridCol w:w="5169"/>
      </w:tblGrid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полученного дохода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за день (+, -)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товаров,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доходов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Учет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реализации или передаче в уставный капитал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являющегося основным средством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3221"/>
        <w:gridCol w:w="4381"/>
        <w:gridCol w:w="3989"/>
      </w:tblGrid>
      <w:tr>
        <w:trPr>
          <w:trHeight w:val="138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реализации/вклада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/вклада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2-гр. 3)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лица, ответственного за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 налогового регистра)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приобретенных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379"/>
        <w:gridCol w:w="1586"/>
        <w:gridCol w:w="1982"/>
        <w:gridCol w:w="2247"/>
        <w:gridCol w:w="1982"/>
        <w:gridCol w:w="2114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 или 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НДС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НДС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лица, ответственного за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 налогового регистра)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доходов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облагаемых у источника выплаты налоговых обязательств по таким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доходам, обязательств по учету обязательных пенсионных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социальных отчислений, включая все налоги и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83"/>
        <w:gridCol w:w="941"/>
        <w:gridCol w:w="1438"/>
        <w:gridCol w:w="1219"/>
        <w:gridCol w:w="1219"/>
        <w:gridCol w:w="1219"/>
        <w:gridCol w:w="1482"/>
        <w:gridCol w:w="934"/>
        <w:gridCol w:w="1526"/>
        <w:gridCol w:w="1132"/>
        <w:gridCol w:w="1549"/>
      </w:tblGrid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ложению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 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 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593"/>
        <w:gridCol w:w="1793"/>
        <w:gridCol w:w="1793"/>
        <w:gridCol w:w="1793"/>
        <w:gridCol w:w="1793"/>
        <w:gridCol w:w="179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налоговых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плате за эмиссии в окружающую среду и плате за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водными ресурсами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учету налоговых обязательств по 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эмиссии в окружающую среду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889"/>
        <w:gridCol w:w="945"/>
        <w:gridCol w:w="1080"/>
        <w:gridCol w:w="1619"/>
        <w:gridCol w:w="1080"/>
        <w:gridCol w:w="1080"/>
        <w:gridCol w:w="1080"/>
        <w:gridCol w:w="945"/>
        <w:gridCol w:w="1350"/>
        <w:gridCol w:w="1081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104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лимита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учету налоговых обязательств по плате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пользование водными ресурсами поверхностных источников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431"/>
        <w:gridCol w:w="716"/>
        <w:gridCol w:w="1002"/>
        <w:gridCol w:w="1145"/>
        <w:gridCol w:w="1289"/>
        <w:gridCol w:w="1002"/>
        <w:gridCol w:w="1145"/>
        <w:gridCol w:w="1002"/>
        <w:gridCol w:w="1146"/>
        <w:gridCol w:w="1146"/>
        <w:gridCol w:w="1003"/>
        <w:gridCol w:w="1147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 (строка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по итогу формы):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 только по итогу формы):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458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форм налоговых регистров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составления форм налоговых регистров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 (Налоговый кодекс)» (далее - Закон о введении) и определяют порядок составления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Налоговые регистры содержат информацию об объектах налогообложения и (или) объектах, связанных с налогообложением,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Налоговые регистры заполняются одновременно с формой налоговой отчетности за налоговый период, по которому представляется форма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налоговом регистре указываются общие сведения о налогоплательщике: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ИИН/БИН - индивидуальный идентификационный или бизнес-идентификационный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(бизнес-идентификационный) номер подлежит заполнению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или наименование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составляется форма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руководителя (налогоплательщика) или лица его заменяющего и ставится подпись и печать (при ее наличии)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главного бухгалтера налогоплательщика (при его наличии) и ставится его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должностного или иного лица, заполнившего и ответственного за составление налогового регистра, и ставится его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составления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Отрицательные значения сумм обозначаются знаком минус «–» в соответствующей строке определенной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Налоговые регистры представляются должностным лицам органов налоговой службы при проведении документальных налоговых проверок на бумажных носителях и (или) на электронных носителях – по требованию должностных лиц органов налоговой службы, осуществляющих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показателей соответствующие ячейки налогового регистра не заполняются.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формы налогового регистра по применению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Настоящая форма налогового регистра по применению инвестиционных налоговых преференций предназначена для определения стоимости объектов преференции, подлежащей отнесению на вычеты.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таблице «Вычеты по инвестиционным преференциям»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объекта преференций (основного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дата ввода в эксплуатацию основного средства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и дата контракта в рамках инвестиционного проекта, заключенного до 1 января 2009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периоды (года) начала и окончания срока предоставления инвестиции в соответствии с заключенным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стоимость объекта преференций (основного средства), и (или) расходов на реконструкцию, модернизацию, подлежащих отнесению на вычеты.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стоимость объекта преференций (основного средства), и (или) расходов на реконструкцию, модернизацию, отнесенная на вычеты в налоговом периоде.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остаточная стоимость объекта преференций (основного средства), и (или) расходов на реконструкцию, модернизацию, которая в следующем налоговом периоде подлежит переносу в соответствующие строки графы 6, в течение срока действия преференции, определяемая как разница величин, указанных в графах 6 и 7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 или 5 налогового регистра в дополнительном налоговом регистре указываются соответствующие реквизиты. При этом, в случае,  если допущена ошибка в одной или нескольких графах, в дополнительном налоговом регистре отражаются реквизиты всех указанных 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6, 7 или 8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 и 5 дополнительного налогового регистра указываются реквизиты граф 2, 3, 4 и 5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или 8 дополнительного налогового регистра указывается сумма выявленной разницы по сравнению с суммами, отраженными в графах 6, 7 или 8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6, 7 или 8 налогового регистра, сумма выявленной разницы в графах 6, 7 или 8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дополнительного внесения в налоговый регистр фиксированного актива дополнительный налоговый регистр составляется в соответствии с пунктом 9 настоящих Правил. При этом в такой дополнительный налоговый регистр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ввода в эксплуатацию основного средства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и даты контракта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Составление формы налогового регистра по определению</w:t>
      </w:r>
      <w:r>
        <w:br/>
      </w:r>
      <w:r>
        <w:rPr>
          <w:rFonts w:ascii="Times New Roman"/>
          <w:b/>
          <w:i w:val="false"/>
          <w:color w:val="000000"/>
        </w:rPr>
        <w:t>
стоимостных балансов групп (подгрупп) фиксированных активов и</w:t>
      </w:r>
      <w:r>
        <w:br/>
      </w:r>
      <w:r>
        <w:rPr>
          <w:rFonts w:ascii="Times New Roman"/>
          <w:b/>
          <w:i w:val="false"/>
          <w:color w:val="000000"/>
        </w:rPr>
        <w:t>
последующим расходам по фиксированным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Настоящая форма налогового регистра предназначена для определения стоимостных балансов групп (подгрупп) фиксированных активов и последующим расходам по фиксированным активам в целях налогообложения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таблице «Амортизационные отчисления и другие вычеты по фиксированным активам»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стоимостных показателей и вычетов по фиксированным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показатели, предназначенные для отражения вычетов по зданиям, сооружениям (за исключением нефтяных, газовых скважин и передаточных устройств), заполняемые на основании итоговых данных таблицы «Расшифровка амортизационных отчислений и других вычетов по фиксированным активам», предусмотренной настоящей формой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показатели, предназначенные для отражения вычетов по оставшимся группам фиксированных активов, заполняемые на основании итоговых данных таблицы «Расшифровка амортизационных отчислений и других вычетов по фиксированным активам»;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итоговые показатели, предназначенные для отражения вычетов по фиксированным активам. Определяется как сумма соответствующих граф 3 и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таблице «Расшифровка амортизационных отчислений и других вычетов по фиксированным активам»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код основных средств по I группе фиксированных активов в соответствии с Государственным классификатором Республики Казахстан «Классификатор основных фондов» или наименование группы по II, III и IV группам фиксированных активов, по которым производится исчисление амортизационных отчислений налогоплательщиком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номер группы фиксированных активов для исчисления амортизационных отчислений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предельные нормы амортизации в процентах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нормы амортизации, применяемые налогоплательщиком в процентах по каждой подгруппе (группе), но не выше предельных, указанных в графе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по каждой налоговой подгруппе (группе) указывается величина стоимостного баланса подгруппы (группы) на начало налогового периода.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стоимость поступивших фиксированных активов,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Стоимость указанных основных средств и нематериальных активов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стоимость выбывших фиксированных активов,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последующих расходов, относимые на вычеты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последующих расходов, относимые на увеличение стоимостного баланса группы (подгруппы)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величина стоимостного баланса подгруппы на конец отчетного налогового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которая определяется в следующем порядке: графа 6 + графа 7 – графа 8 + графа 10.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12 - сумма амортизационных отчислений за налоговый период, исчисленная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следующем порядке: графа 11 х графу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13 - величина стоимостного баланса фиксированных активов группы (II, III и IV) при выбытии фиксированных активов на конец налогового периода, подлежит вычету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14 - стоимостный баланс подгруппы (группы), величина которого на конец отчетного налогового периода составляет сумму меньшую, чем 300 месячных расчетных показателей и подлежит вычету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графе 15 - стоимостный баланс подгруппы на конец налогового периода с учетом корректировок,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которая определяется в следующем порядке: графа 11 - графа 12 - графа 13 - графа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выбытия, за исключением безвозмездной передачи, фиксированного актива подгруппы (по I группе) сумма в размере стоимостного баланса подгруппы на конец налогового периода признается убытком от выбытия фиксированных активов I группы. Стоимостный баланс данной подгруппы приравнивается к нулю и не подлежит вычету.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безвозмездной передачи всех фиксированных активов подгруппы (по I группе) или группы (по II, III и IV группам) стоимостный баланс соответствующей подгруппы или группы на конец налогового периода приравнивается к нулю и не подлежит вычету.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таблице «Амортизационные отчисления по фиксированным активам, впервые введенным в эксплуатацию на территории Республики Казахстан» (заполняется налогоплательщиками, являющимися недропользователями, в соответствии с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)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код фиксированных активов, впервые введенные в эксплуатацию на территории Республики Казахстан в соответствии с Государственным классификатором Республики Казахстан «Классификатор основных фондов»;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дата ввода в эксплуатацию на территории Республики Казахстан соответствующего фиксированного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группы фиксированных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предельные нормы амортизации в процентах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нормы амортизации, применяемые налогоплательщиком в процентах по каждому наименованию фиксированных активов, но не выше предельных, указанных в графе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двойные нормы амортизаций, применяемые налогоплательщиком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Налогового кодекса, определяемая как произведение величины графы 6 на «2» соответствующей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стоимость поступивших фиксированных активов, впервые введенные в эксплуатацию на территории Республики Казахстан и используемые налогоплательщиком в целях получения совокупного годового дохода.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амортизационных отчислений, исчисленная по двойной норме амортизации, при условии использования данных фиксированных активов в целях получения совокупного годового дохода не менее трех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как произведение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остаточная стоимость фиксированных активов, впервые введенные в эксплуатацию на территории Республики Казахстан в налоговом периоде и используется в целях получения совокупного годового дохода, определятся как разница граф 8 и 9. В последующем налоговом периоде данные этой графы подлежат включению в стоимостный баланс соответствующей подгруппы (группы) для исчисления амортизационных отчислений в целях налогообложения и переносятся в соответствующую графу 7 таблицы «Расшифровка амортизационных отчислений и других вычетов по фиксированным активам» налогового регистра следующего налогового периода.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дата выбытия соответствующего фиксированного актива в случае его реализации до истечения трехлетнего периода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изменения и (или) дополнения в налоговый регистр в дополнительном налоговом регистре указываются соответствующие реквизиты и показатели соответствующей графы, а также данные тех граф таблиц налогового регистра, суммарное значение которых зависит от измененных показателей графы. При этом в дополнительном налоговом регистре также отражаются реквизиты не измененных граф 2, 3, 4 и 5 таблицы «Расшифровка амортизационных отчислений и других вычетов по фиксированным активам» и (или) не измененных граф 2, 3, 4, 5, 6 и 11 таблицы «Амортизационные отчисления по фиксированным активам, впервые введенным в эксплуатацию на территории Республики Казахстан»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 к соответствующим значениям дополнительного налогового регистра применяется знак минус «-».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внесения изменения фиксированных активов в налоговый регистр дополнительный налоговый регистр составляется в соответствии с пунктами 15-16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группы фиксированного актива и номер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Составление формы налогового регистра по производным</w:t>
      </w:r>
      <w:r>
        <w:br/>
      </w:r>
      <w:r>
        <w:rPr>
          <w:rFonts w:ascii="Times New Roman"/>
          <w:b/>
          <w:i w:val="false"/>
          <w:color w:val="000000"/>
        </w:rPr>
        <w:t>
финансовым инструментам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Настоящая форма налогового регистра предназначена для определения дохода по производным финансовым инструментам, подлежащий включению в доход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таблице «Операции по производным финансовым инструментам, за исключением свопа»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или бизнес-идентификационный номер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налоговой регистрации в стране резидентства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сведение «применяется» либо «не применяется» хеджирование;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сведение «применяется» либо «не применяется» поставка базового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дата открытия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дата исполнения или досрочного прекращения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поступления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расходов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сумма превышения, определяемая как разница величин, указанных в графах 9 и 10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«Операции по свопу»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налоговой регистрации в стране резидентства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сведение «применяется» либо «не применяется» хеджирование;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сведение «применяется» либо «не применяется» поставка базового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сумма поступления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сумма расходов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превышения, определяемая как разница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5, 6, 7 или 8 таблицы «Операции по производным финансовым инструментам, за исключением свопа» и (или) в графах 2, 3, 4, 5 или 6 таблицы «Операции по свопу»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9, 10 или 11 таблицы «Операции по производным финансовым инструментам, за исключением свопа» и в графах 7, 8 или 9 таблицы «Операции по свопу» формы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 или 8 таблицы «Операции по производным финансовым инструментам, за исключением свопа» дополнительного налогового регистра указываются реквизиты граф 2, 3, 4, 5, 6, 7 или 8 таблицы «Операции по производным финансовым инструментам, за исключением свопа»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 или 6 таблицы «Операции по свопу» дополнительного налогового регистра указываются реквизиты граф 2, 3, 4, 5 или 6 таблицы «Операции по свопу»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 или 11 таблицы «Операции по производным финансовым инструментам, за исключением свопа» дополнительной формы налогового регистра указывается сумма выявленной разницы по сравнению с суммами, отраженными в графах 9, 10 или 11 таблицы «Операции по производным финансовым инструментам, за исключением свопа»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или 9 таблицы «Операции по свопу» дополнительного налогового регистра указывается сумма выявленной разницы по сравнению с суммами, отраженными в графах 7, 8 или 9 таблицы «Операции по свопу»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9, 10 или 11 таблицы «Операции по производным финансовым инструментам, за исключением свопа» и значении граф 7, 8 или 9 таблицы «Операции по свопу» налогового регистра, сумма выявленной разницы в графах 9, 10 или 11 таблицы «Операции по производным финансовым инструментам, за исключением свопа» и в графах 7, 8 или 9 таблицы «Операции по свопу»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31-32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бизнес–идентификационного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Составление формы налогового регистра по суммам</w:t>
      </w:r>
      <w:r>
        <w:br/>
      </w:r>
      <w:r>
        <w:rPr>
          <w:rFonts w:ascii="Times New Roman"/>
          <w:b/>
          <w:i w:val="false"/>
          <w:color w:val="000000"/>
        </w:rPr>
        <w:t>
управленческих и общеадминистративных расходов юридического</w:t>
      </w:r>
      <w:r>
        <w:br/>
      </w:r>
      <w:r>
        <w:rPr>
          <w:rFonts w:ascii="Times New Roman"/>
          <w:b/>
          <w:i w:val="false"/>
          <w:color w:val="000000"/>
        </w:rPr>
        <w:t>
лица-нерезидента, отнесенным на вычеты его постоянным</w:t>
      </w:r>
      <w:r>
        <w:br/>
      </w:r>
      <w:r>
        <w:rPr>
          <w:rFonts w:ascii="Times New Roman"/>
          <w:b/>
          <w:i w:val="false"/>
          <w:color w:val="000000"/>
        </w:rPr>
        <w:t>
учреждением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Настоящая форма налогового регистра предназначена для отражения сумм управленческих и общеадминистративных расходов юридического лица-нерезидента, относимых на вычеты постоянному учреждению, определяемых по методу пропорционального распределения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таблице «Данные финансовой отчетности юридического лица-нерезидента» указываются данные юридического лица-нерезидента в целом (включая данные его структурных подразделений в других государствах), отраженные в его финансовой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указывается код валюты. В графе 2 данные заполняются в национальной валюте. В строке 3 графы 2 указывается код валюты в соответствии с приложением 23 «Классификатор валют»,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от 20 сентября 2010 года № 378 «О классификаторах, используемых для заполнения таможенных деклараций»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общая сумма совокупного годового дохода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общая сумма расходов по оплате труда персонала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первоначальная (текущая) стоимость основных средств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балансовая стоимость основных средств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общая сумма расходов, в том числе управленческие и общеадминистративные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таблице «Данные финансовой отчетности постоянного учреждения юридического лица-нерезидента в Республике Казахстан» указываются данные из финансовой отчетности постоянного учреждения юридического лица-нерезидента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указывается код валюты. В строке 2 данные заполняются в национальной валюте. В строке 3 графы 2 указывается код валюты в соответствии с приложением 23 к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общая сумма расходов по оплате труда персонала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первоначальная (текущая) стоимость основных средств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балансовая стоимость основных средств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общая сумма расходов, в том числе управленческие и общеадминистративные расходы, относимые на вычеты постоянному учреждению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таблице «Постатейная расшифровка общей суммы управленческих и общеадминистративных расходов» указываются данные из финансовой отчетности юридического лица-нерезидента и его постоянного учреждения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статей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сумма расходов постоянного учреждения юридического лица-нерезидента в Республике Казахстан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сумма расходов постоянного учреждения юридического лица-нерезидента в Республике Казахстан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 к соответствующим значениям дополнительного налогового регистра применятся знак минус «-».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внесения изменений в налоговый регистр дополнительный налоговый регистр составляется в соответствии с пунктами 27 - 29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дополнительного внесения статей расходов в таблицу «Постатейная расшифровка общей суммы управленческих и общеадминистративных расходов»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Составление формы налогового регистра по учету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Настоящая форма налогового регистра предназначена для отражения операций по учету доходов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Налоговый регистр состоит из двух таблиц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«Учет операции по реализации или передаче в уставный капитал имущества, являющегося основным средством индивидуального предпринимателя».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таблице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дата получения дохода или осуществления корректировки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полученного дохода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размер корректировки дохода за день, произведенной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3 и 4 заполняется в хронологическом порядке с подведением итогов на конец рабочего дня. В конце месяца, налогового периода подводятся итоговые данные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заполнятся построчно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по доходам от реализации товаров, выполнения работ, указания услуг,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427 Налогового кодекса по другим видам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таблице «Учет операции по реализации или передаче в уставный капитал имущества, являющегося основным средством индивидуального предпринимателя»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стоимость реализации (вклада в уставный капитал) имущества,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– первоначальная стоимость имущества или вклада в уставный капитал,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– положительная разница сумм граф 2 и 3, определяемая по формуле (графа 2 - графа 3).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Внесение изменения и (или) дополнения в налоговый регистр производится в случае осуществления корректировки ранее признанного дохода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(при наличии первичных учетных документов) и при допущении ошибок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осуществления корректировки дохода в том налоговом периоде, в котором наступили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кодекса, дополнительный налоговый регистр не составляется.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Внесение изменения и (или) дополнения в налоговый регистр в случае осуществления корректировки дохода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в том налоговом периоде, в котором ранее был признан подлежащий корректировке доход,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графах 1 и 2 таблицы ««Учет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граф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выявленной разницы по сравнению с суммами, отраженными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реквизиты выявленной разницы указываются до последней даты полного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в дополнительном налоговом регистре указываются соответствующие исправленные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графах 2, 3 и 4 таблицы «Учет операции по реализации или передаче в уставный капитал имущества, являющегося основным средством индивидуального предпринимателя»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графы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дополнительной формы налогового регистра указывается сумма выявленной разницы по сравнению с суммами, отраженными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дополнительной формы налогового регистра указывается сумма выявленной разницы по сравнению с суммами, отраженными в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3 и 4 таблицы «Учет операции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регистра, сумма выявленной разницы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35 и 36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Составление формы налогового регистра по учету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Настоящая форма налогового регистра предназначена для отражения операций по учету приобретенных товаров, работ и услуг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таблице «Операции по учету приобретенных товаров, работ и услуг» налогового регистра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имя, отчество или наименование поставщика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(бизнес-идентификационный номер) поставщика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4 и 5 - номер и дата первичного учетного документа, являющегося основанием приобретения товаров, работ и услуг (накладная, акт приема-передачи, акт выполненных работ, оказанных услуг, счет-фактура, договор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6 - стоимость товаров, работ и услуг с учетом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сумма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или 5 таблицы «Операции по учету приобретенных товаров, работ и услуг»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 и 7 таблицы «Операции по учету приобретенных товаров, работ и услуг»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 или 5 таблицы «Операции по учету приобретенных товаров, работ и услуг» дополнительного налогового регистра указываются реквизиты 1, 2, 3, 4 или 5 таблицы «Операции по учету приобретенных товаров, работ и услуг»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 и 7 таблицы «Операции по учету приобретенных товаров, работ и услуг» дополнительного налогового регистра указывается сумма выявленной разницы по сравнению с суммой, отраженной в графах 6 и 7 таблицы «Операции по учету приобретенных товаров, работ и услуг»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6 и 7 таблицы «Операции по учету приобретенных товаров, работ и услуг» налогового регистра, сумма выявленной разницы в графах 6 и 7 таблицы «Операции по учету приобретенных товаров, работ и услуг»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пунктом 43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Составление формы налогового регистра по учету доходов</w:t>
      </w:r>
      <w:r>
        <w:br/>
      </w:r>
      <w:r>
        <w:rPr>
          <w:rFonts w:ascii="Times New Roman"/>
          <w:b/>
          <w:i w:val="false"/>
          <w:color w:val="000000"/>
        </w:rPr>
        <w:t>
физических лиц, облагаемых у источника выплаты, налоговых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таким доходам, обязательств по учету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 и социальных отчислений,</w:t>
      </w:r>
      <w:r>
        <w:br/>
      </w:r>
      <w:r>
        <w:rPr>
          <w:rFonts w:ascii="Times New Roman"/>
          <w:b/>
          <w:i w:val="false"/>
          <w:color w:val="000000"/>
        </w:rPr>
        <w:t>
включая все налоги и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Настоящая форма налогового регистра предназначена для отражения операций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таблице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имя, отчество работника или физического лица, которому начислен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(бизнес-идентификационный номер) работника или физического лица, которому начислена и произведена выплата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задолженности по невыплаченным доходам работнику или физическому лицу на начало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сумма начисленного дохода работника или физического лица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доходов работника или физического лица, не подлежащая налогообложению;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– сумма налоговых вычетов с доходов работника или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дохода работника или физического лица, с которого удерживаются обязательные пенсионные взносы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обязательных пенсионных взносов, подлежащая перечислению в накопительные пенсионные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доходов работника или физического лица, облагаемая индивидуальным подоходным налогом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сумма индивидуального подоходного налога, облагаемого у источника выплаты, подлежащая уплате в бюджет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12 - сумма дохода к выплате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выплаченных доходов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14 - сумма задолженности по невыплаченным доходам на конец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графе 15 - сумма расходов работодателя, выплачиваемых работнику в виде доходов за выполненные работы, оказанные услуги, с которых исчисляется социальный налог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графе 16 – сумма исчисленного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графе 17 – сумма доходов работника или физического лица, с которых исчисляются социальные отчисления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графе 18 - сумма социальных отчислений, подлежащая перечислению в Государственный фонд социального страхования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графе 19 – сумма социального налога, подлежащая уплате за отчетный месяц, которая определяется по формуле (графа 16 - графа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4, 5, 6, 7, 8, 9, 10, 11, 12, 14, 15, 16, 17, 18 и 19 настоящей таблицы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 и 3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4, 5, 6, 7, 8, 9, 10, 11, 12, 13, 14, 15, 16, 17, 18 и 19 таблицы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 и 3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дополнительного налогового регистра указываются реквизиты граф 1, 2 и 3 таблицы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дополнительного налогового регистра указывается сумма выявленной разницы по сравнению с суммой, отраженной в графах 3,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в графах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отчисления», сумма выявленной разницы в графах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период, дополнительный налоговый регистр составляется в соответствии с пунктом 48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Составление налогового регистра по учету налоговых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плате за эмиссии в окружающую среду и за</w:t>
      </w:r>
      <w:r>
        <w:br/>
      </w:r>
      <w:r>
        <w:rPr>
          <w:rFonts w:ascii="Times New Roman"/>
          <w:b/>
          <w:i w:val="false"/>
          <w:color w:val="000000"/>
        </w:rPr>
        <w:t>
пользование водными ресурсами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52. Настоящая форма налогового регистра предназначена для отражения операций по учету налоговых обязательств по плате за эмиссии в окружающую среду и за пользование водными ресурсами поверхностных источников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Налоговый регистр состоит из двух таблиц «Операции по учету налоговых обязательств по плате за эмиссии в окружающую среду» и «Операции по учету налоговых обязательств по плате за пользование водными ресурсами поверхностных источников».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таблице «Операции по учету налоговых обязательств по плате за эмиссии в окружающую среду»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эмиссии в окружающую среду (выбросы, сбросы загрязняющих веществ, размещение отходов производств и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и 4 – номер и дата выдачи разрешительного документа, за исключением выбросов загрязняющих веществ от передвижных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5 – вид загрязняющего вещества, топлива, отходов или 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– единица измерения выброса, сброса загрязняющих веществ, размещения отходов производств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выброса, сброса загрязняющих веществ, размещения отходов производств и потребления в пределах установленного лимита;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8 – ставка платы за эмиссию в окружающую среду, установленная для исчисления платы в пределах установленного лимита в зависимости от выброса, сброса загрязняющих веществ, размещения отходов производств и потребления, серы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9 – коэффициент, установленный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10 – ставка платы за эмиссию в окружающую среду с применением коэффициента, указанного в графе 9. В случае не применения указанного коэффициента, в графе 10 отражается ставка, указанная в графе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11 – сумма платы за эмиссию в окружающую среду, исчисленная от фактического объема выброса, сброса загрязняющих веществ, размещения отходов производств и потребления в пределах установленного лимита, которая определяется как сумма графы 7 умноженная на значение графы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12 – фактический объем выброса, сброса загрязняющих веществ, размещения отходов производств и потребления сверх установленного лимита;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13 – ставка платы за эмиссию в окружающую среду, установленная для исчисления платы сверх установленного лимита в зависимости от выброса, сброса загрязняющих веществ, размещения отходов производств и потребления,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14 – сумма платы за эмиссию в окружающую среду, исчисленная от фактического объема сверх установленного лимита в зависимости от выброса, сброса загрязняющих веществ, размещения отходов производств и потребления, которая определяется как сумма графы 12 умноженная на значение графы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15 – сумма плат за эмиссию в окружающую среду, исчисленных в пределах установленного лимита и сверх установленного лимита, которая определяется как сумма графы 11 + сумма графы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7, 11, 12, 14 и 15 настоящей таблицы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таблице «Операции по учету налоговых обязательств по плате за пользование водными ресурсами поверхностных источников»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вид специального водопользования, который устанавливаются водным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и 4 – номер и дата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5 – единица измерения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– лимит водопользования, установленный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водопользования в пределах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8 – ставка платы за пользование водными ресурсами поверхностных источников, установленная в пределах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9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которая определяется как сумма графы 7 умноженная на значение графы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10 – фактический объем водопользования сверх установленного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11 – ставка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с учетом пункта 10 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12 – сумма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которая определяется как сумма графы 10 умноженная на значение графы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13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и сверх установленного лимита, установленного уполномоченным государственным органом, определяемая как сумма графы 9 + сумма графы 12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6, 7, 9, 10, 12 и 13 настоящей таблицы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 5 таблицы «Операции по учету налоговых обязательств по плате за эмиссии в окружающую среду» и в графах 1, 2, 3 или 4 таблицы «Операции по учету налоговых обязательств по плате за пользование водными ресурсами поверхностных источников»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 и 5 таблицы «Операции по учету налоговых обязательств по плате за эмиссии в окружающую среду» или в графах 1, 2, 3 или 4 таблицы «Операции по учету налоговых обязательств по плате за пользование водными ресурсами поверхностных источников» дополнительного налогового регистра указываются реквизиты граф 1, 2, 3, 4 и 5 таблицы «Операции по учету налоговых обязательств по плате за эмиссии в окружающую среду» и в графах 1, 2, 3 или 4 таблицы «Операции по учету налоговых обязательств по плате за пользование водными ресурсами поверхностных источников» налогового регистра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дополнительного налогового регистра указывается сумма выявленной разницы и (или) измененные ставки плат по сравнению с суммой и (или) ставкой плат, отраженных в графах 6,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налогового регистра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граф, сумма выявленной разницы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54 и 55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header.xml" Type="http://schemas.openxmlformats.org/officeDocument/2006/relationships/header" Id="rId6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