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a36c" w14:textId="d23a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17 июня 2013 года № 600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подписании Соглашения о займе (Обычные операции)</w:t>
      </w:r>
      <w:r>
        <w:br/>
      </w:r>
      <w:r>
        <w:rPr>
          <w:rFonts w:ascii="Times New Roman"/>
          <w:b/>
          <w:i w:val="false"/>
          <w:color w:val="000000"/>
        </w:rPr>
        <w:t>
(Инвестиционная программа ЦАРЭС Коридор 2 [участки</w:t>
      </w:r>
      <w:r>
        <w:br/>
      </w:r>
      <w:r>
        <w:rPr>
          <w:rFonts w:ascii="Times New Roman"/>
          <w:b/>
          <w:i w:val="false"/>
          <w:color w:val="000000"/>
        </w:rPr>
        <w:t>
в Мангистауской области] – Проект 2) между</w:t>
      </w:r>
      <w:r>
        <w:br/>
      </w:r>
      <w:r>
        <w:rPr>
          <w:rFonts w:ascii="Times New Roman"/>
          <w:b/>
          <w:i w:val="false"/>
          <w:color w:val="000000"/>
        </w:rPr>
        <w:t>
Республикой Казахстан и Азиатским Банком Развития</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июня 2013 года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 (Инвестиционная программа ЦАРЭС Коридор 2</w:t>
      </w:r>
      <w:r>
        <w:br/>
      </w:r>
      <w:r>
        <w:rPr>
          <w:rFonts w:ascii="Times New Roman"/>
          <w:b/>
          <w:i w:val="false"/>
          <w:color w:val="000000"/>
        </w:rPr>
        <w:t>
[участки в Мангистауской области] – Проект 2) между</w:t>
      </w:r>
      <w:r>
        <w:br/>
      </w:r>
      <w:r>
        <w:rPr>
          <w:rFonts w:ascii="Times New Roman"/>
          <w:b/>
          <w:i w:val="false"/>
          <w:color w:val="000000"/>
        </w:rPr>
        <w:t>
Республикой Казахстан и Азиатским Банком Развития</w:t>
      </w:r>
    </w:p>
    <w:p>
      <w:pPr>
        <w:spacing w:after="0"/>
        <w:ind w:left="0"/>
        <w:jc w:val="both"/>
      </w:pPr>
      <w:r>
        <w:rPr>
          <w:rFonts w:ascii="Times New Roman"/>
          <w:b w:val="false"/>
          <w:i w:val="false"/>
          <w:color w:val="000000"/>
          <w:sz w:val="28"/>
        </w:rPr>
        <w:t>      СОГЛАШЕНИЕ О ЗАЙМЕ от ______________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на основании рамочного соглашения о финансировании от 7 апреля 2011 года между заемщиком и АБР, АБР согласился предоставить механизм мультитраншевого финансирования Заемщику для финансирования проектов в рамках Инвестиционной программы ЦАРЭС Коридор 2 (участки Мангистауской области) («Инвестиционная программа»);</w:t>
      </w:r>
      <w:r>
        <w:br/>
      </w:r>
      <w:r>
        <w:rPr>
          <w:rFonts w:ascii="Times New Roman"/>
          <w:b w:val="false"/>
          <w:i w:val="false"/>
          <w:color w:val="000000"/>
          <w:sz w:val="28"/>
        </w:rPr>
        <w:t>
      (B) на основании периодического запроса на финансирование от 30 октября 2012 года, как дополнено Заемщиком посредством протокола переговоров по займу от 28 ноября 2012 года, Заемщик обратился в АБР с просьбой о займе для реализации Проекта, описанного в приложении 1 к настоящему Соглашению о займе; и</w:t>
      </w:r>
      <w:r>
        <w:br/>
      </w:r>
      <w:r>
        <w:rPr>
          <w:rFonts w:ascii="Times New Roman"/>
          <w:b w:val="false"/>
          <w:i w:val="false"/>
          <w:color w:val="000000"/>
          <w:sz w:val="28"/>
        </w:rPr>
        <w:t>
      (C) АБР согласился предоставить Заемщику заем из обычных капитальных ресурсов АБР на условиях, изложенных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(а) Раздел 3.03 удален и заменен нижеследующим:</w:t>
      </w:r>
      <w:r>
        <w:br/>
      </w: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(a) Заемщик обязуется выплачивать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r>
        <w:br/>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(b) «Транспортный коридор ЦАРЭС 2» означает транспортный коридор, начинающийся в Стамбуле, Турция и следующий через порты Баку в Азербайджане и Актау в Мангистауской области и территории Узбекистана, Таджикистана и Киргизской Республики в порты Ляньюньган, Тяньцзинь и Шанхай в Китайской Народной Республике;</w:t>
      </w:r>
      <w:r>
        <w:br/>
      </w:r>
      <w:r>
        <w:rPr>
          <w:rFonts w:ascii="Times New Roman"/>
          <w:b w:val="false"/>
          <w:i w:val="false"/>
          <w:color w:val="000000"/>
          <w:sz w:val="28"/>
        </w:rPr>
        <w:t>
      (c) «Руководство по привлечению консалтинговых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(d) «Консалтинговые услуги» означает услуги, которые будут финансироваться из средств займа, как описано в пункте 3(b) Приложения 1 к настоящему Соглашению о займе;</w:t>
      </w:r>
      <w:r>
        <w:br/>
      </w:r>
      <w:r>
        <w:rPr>
          <w:rFonts w:ascii="Times New Roman"/>
          <w:b w:val="false"/>
          <w:i w:val="false"/>
          <w:color w:val="000000"/>
          <w:sz w:val="28"/>
        </w:rPr>
        <w:t>
      (e) «РДООС» означает рамочный документ по оценке окружающей среды, подготовленный для инвестиционной программы, в том числе вносимые в него изменения, согласованные между Заемщиком и АБР, и включенный путем ссылки в Рамочное соглашение о финансировании;</w:t>
      </w:r>
      <w:r>
        <w:br/>
      </w:r>
      <w:r>
        <w:rPr>
          <w:rFonts w:ascii="Times New Roman"/>
          <w:b w:val="false"/>
          <w:i w:val="false"/>
          <w:color w:val="000000"/>
          <w:sz w:val="28"/>
        </w:rPr>
        <w:t>
      (f) «ОВОС» означает оценку воздействия на окружающую среду в рамках проекта, в том числе вносимые в него изменения, подготовленную и представленную Заемщиком в соответствии с требованиями, изложенными в РДООС и разъясненными АБР;</w:t>
      </w:r>
      <w:r>
        <w:br/>
      </w:r>
      <w:r>
        <w:rPr>
          <w:rFonts w:ascii="Times New Roman"/>
          <w:b w:val="false"/>
          <w:i w:val="false"/>
          <w:color w:val="000000"/>
          <w:sz w:val="28"/>
        </w:rPr>
        <w:t>
      (g)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(h) «Защитные меры по окружающей среде» означают принципы и требования, изложенные в главе V, приложении 1 и Приложении 4 (если применимо) ПМЗ;</w:t>
      </w:r>
      <w:r>
        <w:br/>
      </w:r>
      <w:r>
        <w:rPr>
          <w:rFonts w:ascii="Times New Roman"/>
          <w:b w:val="false"/>
          <w:i w:val="false"/>
          <w:color w:val="000000"/>
          <w:sz w:val="28"/>
        </w:rPr>
        <w:t>
      (i) «Механизм» означает механизм мультитраншевого финансирования, предоставляемого АБР Заемщику для финансирования проектов в рамках инвестиционной программы;</w:t>
      </w:r>
      <w:r>
        <w:br/>
      </w:r>
      <w:r>
        <w:rPr>
          <w:rFonts w:ascii="Times New Roman"/>
          <w:b w:val="false"/>
          <w:i w:val="false"/>
          <w:color w:val="000000"/>
          <w:sz w:val="28"/>
        </w:rPr>
        <w:t>
      (j) «РАМ» означает руководство по администрированию механизмом в рамках инвестиционной программы, согласованное между Заемщиком и АБР, с периодически вносимыми изменениями согласно соответствующим процедурам Заемщика и АБР;</w:t>
      </w:r>
      <w:r>
        <w:br/>
      </w:r>
      <w:r>
        <w:rPr>
          <w:rFonts w:ascii="Times New Roman"/>
          <w:b w:val="false"/>
          <w:i w:val="false"/>
          <w:color w:val="000000"/>
          <w:sz w:val="28"/>
        </w:rPr>
        <w:t>
      (k) «РСФ» означает рамочное соглашение о финансировании от 7 апреля 2011 года (с поправками и изменениями) между АБР и Заемщиком касательно механизма;</w:t>
      </w:r>
      <w:r>
        <w:br/>
      </w:r>
      <w:r>
        <w:rPr>
          <w:rFonts w:ascii="Times New Roman"/>
          <w:b w:val="false"/>
          <w:i w:val="false"/>
          <w:color w:val="000000"/>
          <w:sz w:val="28"/>
        </w:rPr>
        <w:t>
      (l) «Инвестиционная программа» означает Инвестиционную программу ЦАРЭС Коридор 2 (участки дороги в Мангистауской области);</w:t>
      </w:r>
      <w:r>
        <w:br/>
      </w:r>
      <w:r>
        <w:rPr>
          <w:rFonts w:ascii="Times New Roman"/>
          <w:b w:val="false"/>
          <w:i w:val="false"/>
          <w:color w:val="000000"/>
          <w:sz w:val="28"/>
        </w:rPr>
        <w:t>
      (m) «Политика в области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(n) «Км» означает место, обозначенное конкретным километром на указателе на проектной дороге, как определено ниже, а «км» означает километр;</w:t>
      </w:r>
      <w:r>
        <w:br/>
      </w:r>
      <w:r>
        <w:rPr>
          <w:rFonts w:ascii="Times New Roman"/>
          <w:b w:val="false"/>
          <w:i w:val="false"/>
          <w:color w:val="000000"/>
          <w:sz w:val="28"/>
        </w:rPr>
        <w:t>
      (o) «РДВЗП» означает рамочный документ по выкупу земель и переселению в рамках инвестиционной программы, включая любые вносимые в него изменения, согласованные между Заемщиком и АБР, и включенный путем ссылки в Рамочное соглашение о финансировании;</w:t>
      </w:r>
      <w:r>
        <w:br/>
      </w:r>
      <w:r>
        <w:rPr>
          <w:rFonts w:ascii="Times New Roman"/>
          <w:b w:val="false"/>
          <w:i w:val="false"/>
          <w:color w:val="000000"/>
          <w:sz w:val="28"/>
        </w:rPr>
        <w:t>
      (p) «ПВЗП» означает план выкупа земель и переселения в рамках проекта, включая любые вносимые в него изменения, составленный и представленный Заемщиком в соответствии с требованиями, изложенными в РДВЗП и разъясненными АБР;</w:t>
      </w:r>
      <w:r>
        <w:br/>
      </w:r>
      <w:r>
        <w:rPr>
          <w:rFonts w:ascii="Times New Roman"/>
          <w:b w:val="false"/>
          <w:i w:val="false"/>
          <w:color w:val="000000"/>
          <w:sz w:val="28"/>
        </w:rPr>
        <w:t>
      (g) «Справочник по выплатам средств займа» означает справочник АБР по выплатам средств займа (от 2012 года с периодическими поправками);</w:t>
      </w:r>
      <w:r>
        <w:br/>
      </w:r>
      <w:r>
        <w:rPr>
          <w:rFonts w:ascii="Times New Roman"/>
          <w:b w:val="false"/>
          <w:i w:val="false"/>
          <w:color w:val="000000"/>
          <w:sz w:val="28"/>
        </w:rPr>
        <w:t>
      (r) «МТК» означает Министерство транспорта и коммуникаций Заемщика или любого его правопреемника;</w:t>
      </w:r>
      <w:r>
        <w:br/>
      </w:r>
      <w:r>
        <w:rPr>
          <w:rFonts w:ascii="Times New Roman"/>
          <w:b w:val="false"/>
          <w:i w:val="false"/>
          <w:color w:val="000000"/>
          <w:sz w:val="28"/>
        </w:rPr>
        <w:t>
      (s) «Область» означает территориальную административную единицу Заемщика;</w:t>
      </w:r>
      <w:r>
        <w:br/>
      </w:r>
      <w:r>
        <w:rPr>
          <w:rFonts w:ascii="Times New Roman"/>
          <w:b w:val="false"/>
          <w:i w:val="false"/>
          <w:color w:val="000000"/>
          <w:sz w:val="28"/>
        </w:rPr>
        <w:t>
      (t) «ПЗФ» означает периодический запрос на финансирование, представленный или подлежащий представлению Заемщиком для получения каждого займа в соответствии с механизмом, а в рамках настоящего Соглашения о займе означает периодический запрос на финансирование от 30 октября 2012 года с учетом поправок и изменений, внесенных Заемщиком протоколом переговоров по займу для целей проекта от 28 ноября 2012 года;</w:t>
      </w:r>
      <w:r>
        <w:br/>
      </w:r>
      <w:r>
        <w:rPr>
          <w:rFonts w:ascii="Times New Roman"/>
          <w:b w:val="false"/>
          <w:i w:val="false"/>
          <w:color w:val="000000"/>
          <w:sz w:val="28"/>
        </w:rPr>
        <w:t>
      (u)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(v) «План закупок» означает план закупок в рамках проекта от 16 ноября 2012 года, согласованный между Заемщиком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(x) «Проектные объекты» означают объекты, строительство или предоставление которых определено по проекту;</w:t>
      </w:r>
      <w:r>
        <w:br/>
      </w:r>
      <w:r>
        <w:rPr>
          <w:rFonts w:ascii="Times New Roman"/>
          <w:b w:val="false"/>
          <w:i w:val="false"/>
          <w:color w:val="000000"/>
          <w:sz w:val="28"/>
        </w:rPr>
        <w:t>
      (y) «Проектная дорога» означает участок дороги, который предстоит реконструировать в соответствии с проектом, в соответствии с подробным описанием в подпункте 3(а) приложения 1 к настоящему Соглашению о займе;</w:t>
      </w:r>
      <w:r>
        <w:br/>
      </w:r>
      <w:r>
        <w:rPr>
          <w:rFonts w:ascii="Times New Roman"/>
          <w:b w:val="false"/>
          <w:i w:val="false"/>
          <w:color w:val="000000"/>
          <w:sz w:val="28"/>
        </w:rPr>
        <w:t>
      (z) «Отчет по мониторингу защитных мер» означает каждый отчет, подготовленный и представленный Заемщиком в АБР, описывающий результаты реализации и соответствия ПУОС и ПВЗП (если применимо), включая любые корректирующие и предупреждающие действия;</w:t>
      </w:r>
      <w:r>
        <w:br/>
      </w:r>
      <w:r>
        <w:rPr>
          <w:rFonts w:ascii="Times New Roman"/>
          <w:b w:val="false"/>
          <w:i w:val="false"/>
          <w:color w:val="000000"/>
          <w:sz w:val="28"/>
        </w:rPr>
        <w:t>
      (aa) «ПЗМ» означает политику по защитным мерам (от 2009 года); и</w:t>
      </w:r>
      <w:r>
        <w:br/>
      </w:r>
      <w:r>
        <w:rPr>
          <w:rFonts w:ascii="Times New Roman"/>
          <w:b w:val="false"/>
          <w:i w:val="false"/>
          <w:color w:val="000000"/>
          <w:sz w:val="28"/>
        </w:rPr>
        <w:t xml:space="preserve">
      (bb)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а также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 </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триста семьдесят один миллион триста тысяч долларов США (371,300,000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15 лет и льготный период, определенный в пункте (c) данного раздела.</w:t>
      </w:r>
      <w:r>
        <w:br/>
      </w:r>
      <w:r>
        <w:rPr>
          <w:rFonts w:ascii="Times New Roman"/>
          <w:b w:val="false"/>
          <w:i w:val="false"/>
          <w:color w:val="000000"/>
          <w:sz w:val="28"/>
        </w:rPr>
        <w:t xml:space="preserve">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 </w:t>
      </w:r>
    </w:p>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0,60 % в год согласно разделу 3.02 Правил предоставления займа минус кредит 0,20 % в год согласно Разделу 3.03 Правил предоставления займа.</w:t>
      </w:r>
    </w:p>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w:t>
      </w:r>
    </w:p>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приложения 2 настоящего Соглашения о займе.</w:t>
      </w:r>
    </w:p>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ставкой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 конвертации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Все средства займа должны распределяться и изыматься в соответствии с положениями приложения 3 настоящего Соглашения о займе, при этом допустимы периодические изменения в данном приложении по согласованию с заемщиком и АБР.</w:t>
      </w:r>
    </w:p>
    <w:p>
      <w:pPr>
        <w:spacing w:after="0"/>
        <w:ind w:left="0"/>
        <w:jc w:val="both"/>
      </w:pPr>
      <w:r>
        <w:rPr>
          <w:rFonts w:ascii="Times New Roman"/>
          <w:b w:val="false"/>
          <w:i w:val="false"/>
          <w:color w:val="000000"/>
          <w:sz w:val="28"/>
        </w:rPr>
        <w:t>      Раздел 3.03. Если АБР не указано иное, Заемщик проводит или организовывает проведение закупок всех статей расходов в соответствии с применяемыми положениями приложения 4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p>
      <w:pPr>
        <w:spacing w:after="0"/>
        <w:ind w:left="0"/>
        <w:jc w:val="both"/>
      </w:pP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финансируемых за счет средств займа, были использованы исключительно в целях исполнения проекта.</w:t>
      </w:r>
    </w:p>
    <w:p>
      <w:pPr>
        <w:spacing w:after="0"/>
        <w:ind w:left="0"/>
        <w:jc w:val="both"/>
      </w:pP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октября 2017 года либо такая другая дата, которая может периодически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xml:space="preserve">      Раздел 4.01. (a)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правовыми практиками, а также практиками развития. </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p>
    <w:p>
      <w:pPr>
        <w:spacing w:after="0"/>
        <w:ind w:left="0"/>
        <w:jc w:val="both"/>
      </w:pP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применимым законодательством Заемщика и рациональными административной политикой и процедурами.</w:t>
      </w:r>
    </w:p>
    <w:p>
      <w:pPr>
        <w:spacing w:after="0"/>
        <w:ind w:left="0"/>
        <w:jc w:val="both"/>
      </w:pPr>
      <w:r>
        <w:rPr>
          <w:rFonts w:ascii="Times New Roman"/>
          <w:b w:val="false"/>
          <w:i w:val="false"/>
          <w:color w:val="000000"/>
          <w:sz w:val="28"/>
        </w:rPr>
        <w:t>      Раздел 4.05. (a) Заемщик обязуется (i) вести отдельные счета и отчетности для проекта; (ii) подготовить годовую финансовую отчетность по проекту в соответствии с принципами бухгалтерского учета, приемлемыми для АБР; (iii) проводить ежегодный аудит финансовых отчетов независимыми аудиторами, чьи квалификация,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предоставить АБР в срок не позже чем по истечении шести месяцев с момента окончания каждого соответствующего фискального года копии финансовых отчетов, прошедших аудит, отчет аудиторов и письмо руководству на английском языке; а также прочую информацию, имеющую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30 дней с даты их получения, публикуя их на веб-сайте АБР.</w:t>
      </w:r>
      <w:r>
        <w:br/>
      </w:r>
      <w:r>
        <w:rPr>
          <w:rFonts w:ascii="Times New Roman"/>
          <w:b w:val="false"/>
          <w:i w:val="false"/>
          <w:color w:val="000000"/>
          <w:sz w:val="28"/>
        </w:rPr>
        <w:t>
      (c) Заемщик обязуется предоставить АБР право по требованию АБР обсуждать финансовые отчеты для проекта и финансовые дела Заемщика, имеющие отношение к проекту, с аудиторами, нанятыми Заемщиком в соответствии с вышеуказанным подразделом (a), (iii)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p>
    <w:p>
      <w:pPr>
        <w:spacing w:after="0"/>
        <w:ind w:left="0"/>
        <w:jc w:val="both"/>
      </w:pP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p>
    <w:p>
      <w:pPr>
        <w:spacing w:after="0"/>
        <w:ind w:left="0"/>
        <w:jc w:val="both"/>
      </w:pPr>
      <w:r>
        <w:rPr>
          <w:rFonts w:ascii="Times New Roman"/>
          <w:b w:val="false"/>
          <w:i w:val="false"/>
          <w:color w:val="000000"/>
          <w:sz w:val="28"/>
        </w:rPr>
        <w:t xml:space="preserve">      Раздел 4.07. Заемщик обязуется обеспечить, чтобы все проектные объекты эксплуатировались, обслуживались и ремонтировались с рациональными инженерными, финансовыми и коммерческими практиками, практиками развития, а также в соответствии с процедурами эксплуатации и технического обслуживания дорог. </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xml:space="preserve">      Раздел 6.01. Министр финансов Заемщика выступает в качестве представителя Заемщика для целей, изложенных в разделе 12.02 Правил предоставления займа. </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Целью Инвестиционной программы является увеличение транспортного сообщения и эффективности, а также институциональной эффективности за счет следующих мероприятий: (а) развитие дорог (реконструкция около 790 км участков дорог транспортного коридора ЦАРЭС 2 в Мангистауской области), (b) укрепление потенциала в области планирования, управления проектами и управления активами и (c) совершенствование приграничной инфраструктуры и объектов.</w:t>
      </w:r>
      <w:r>
        <w:br/>
      </w:r>
      <w:r>
        <w:rPr>
          <w:rFonts w:ascii="Times New Roman"/>
          <w:b w:val="false"/>
          <w:i w:val="false"/>
          <w:color w:val="000000"/>
          <w:sz w:val="28"/>
        </w:rPr>
        <w:t>
      2. В рамках Инвестиционной программы проект направлен на увеличение транспортного сообщения и эффективности в Мангистауской области.</w:t>
      </w:r>
      <w:r>
        <w:br/>
      </w:r>
      <w:r>
        <w:rPr>
          <w:rFonts w:ascii="Times New Roman"/>
          <w:b w:val="false"/>
          <w:i w:val="false"/>
          <w:color w:val="000000"/>
          <w:sz w:val="28"/>
        </w:rPr>
        <w:t>
      3. Проект включает в себя следующие компоненты:</w:t>
      </w:r>
      <w:r>
        <w:br/>
      </w:r>
      <w:r>
        <w:rPr>
          <w:rFonts w:ascii="Times New Roman"/>
          <w:b w:val="false"/>
          <w:i w:val="false"/>
          <w:color w:val="000000"/>
          <w:sz w:val="28"/>
        </w:rPr>
        <w:t xml:space="preserve">
      (a) реконструкцию участка дороги протяженностью около 170 км (от 632,3 Км до 802 Км) между населенным пунктом Шетпе и городом Актау; и </w:t>
      </w:r>
      <w:r>
        <w:br/>
      </w:r>
      <w:r>
        <w:rPr>
          <w:rFonts w:ascii="Times New Roman"/>
          <w:b w:val="false"/>
          <w:i w:val="false"/>
          <w:color w:val="000000"/>
          <w:sz w:val="28"/>
        </w:rPr>
        <w:t>
      (b) надзор за строительством;</w:t>
      </w:r>
      <w:r>
        <w:br/>
      </w:r>
      <w:r>
        <w:rPr>
          <w:rFonts w:ascii="Times New Roman"/>
          <w:b w:val="false"/>
          <w:i w:val="false"/>
          <w:color w:val="000000"/>
          <w:sz w:val="28"/>
        </w:rPr>
        <w:t>
      которые подробно представлены в периодическом запросе на финансирование.</w:t>
      </w:r>
      <w:r>
        <w:br/>
      </w:r>
      <w:r>
        <w:rPr>
          <w:rFonts w:ascii="Times New Roman"/>
          <w:b w:val="false"/>
          <w:i w:val="false"/>
          <w:color w:val="000000"/>
          <w:sz w:val="28"/>
        </w:rPr>
        <w:t>
      4. Завершение проекта ожидается к 30 апреля 2017 года.</w:t>
      </w:r>
    </w:p>
    <w:p>
      <w:pPr>
        <w:spacing w:after="0"/>
        <w:ind w:left="0"/>
        <w:jc w:val="left"/>
      </w:pPr>
      <w:r>
        <w:rPr>
          <w:rFonts w:ascii="Times New Roman"/>
          <w:b/>
          <w:i w:val="false"/>
          <w:color w:val="000000"/>
        </w:rPr>
        <w:t xml:space="preserve"> ПРИЛОЖЕНИЕ 2 График погашения займа (Инвестиционная программа по автодорогам Коридора ЦАРЭС 2</w:t>
      </w:r>
      <w:r>
        <w:br/>
      </w:r>
      <w:r>
        <w:rPr>
          <w:rFonts w:ascii="Times New Roman"/>
          <w:b/>
          <w:i w:val="false"/>
          <w:color w:val="000000"/>
        </w:rPr>
        <w:t>
[участки в Мангистауской области] – Проект 2)</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Borders>
          <w:top w:val="none"/>
          <w:left w:val="none"/>
          <w:bottom w:val="none"/>
          <w:right w:val="none"/>
          <w:insideH w:val="none"/>
          <w:insideV w:val="none"/>
        </w:tblBorders>
      </w:tblPr>
      <w:tblGrid>
        <w:gridCol w:w="5997"/>
        <w:gridCol w:w="5123"/>
      </w:tblGrid>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(выраженный в %)</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2023</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2023</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2024</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2024</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2025</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2025</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2026</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2026</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2027</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2027</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255"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понятий «Категория» в настоящем приложении относится к категории таблицы).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both"/>
      </w:pPr>
      <w:r>
        <w:rPr>
          <w:rFonts w:ascii="Times New Roman"/>
          <w:b w:val="false"/>
          <w:i w:val="false"/>
          <w:color w:val="000000"/>
          <w:sz w:val="28"/>
        </w:rPr>
        <w:t>                                 </w:t>
      </w:r>
      <w:r>
        <w:rPr>
          <w:rFonts w:ascii="Times New Roman"/>
          <w:b/>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399"/>
        <w:gridCol w:w="3842"/>
        <w:gridCol w:w="5779"/>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И СНЯТИЕ СРЕДСТВ ЗАЙМА </w:t>
            </w:r>
            <w:r>
              <w:br/>
            </w:r>
            <w:r>
              <w:rPr>
                <w:rFonts w:ascii="Times New Roman"/>
                <w:b/>
                <w:i w:val="false"/>
                <w:color w:val="000000"/>
              </w:rPr>
              <w:t>
(Инвестиционная программа по автодорогам Коридора ЦАРЭС 2</w:t>
            </w:r>
            <w:r>
              <w:br/>
            </w:r>
            <w:r>
              <w:rPr>
                <w:rFonts w:ascii="Times New Roman"/>
                <w:b/>
                <w:i w:val="false"/>
                <w:color w:val="000000"/>
              </w:rPr>
              <w:t>
[участки в Мангистауской области] – Проект 2)</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финансирования АБР </w:t>
            </w:r>
          </w:p>
        </w:tc>
      </w:tr>
      <w:tr>
        <w:trPr>
          <w:trHeight w:val="465"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w:t>
            </w:r>
          </w:p>
        </w:tc>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снятия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(долл.США)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*Без учета налога на добавленную стоимость, взимаемого на территории Заемщика.</w:t>
      </w:r>
    </w:p>
    <w:p>
      <w:pPr>
        <w:spacing w:after="0"/>
        <w:ind w:left="0"/>
        <w:jc w:val="left"/>
      </w:pPr>
      <w:r>
        <w:rPr>
          <w:rFonts w:ascii="Times New Roman"/>
          <w:b/>
          <w:i w:val="false"/>
          <w:color w:val="000000"/>
        </w:rPr>
        <w:t xml:space="preserve"> ПРИЛОЖЕНИЕ 4 Закупка работ и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Закупка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2. Все термины, используемые в этом приложении и не определенные по другому в настоящем Соглашении о займе, определяются в руководстве по закупкам и (или) руководстве по привлечению консультантов в соответствующих случаях.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p>
      <w:pPr>
        <w:spacing w:after="0"/>
        <w:ind w:left="0"/>
        <w:jc w:val="both"/>
      </w:pPr>
      <w:r>
        <w:rPr>
          <w:rFonts w:ascii="Times New Roman"/>
          <w:b w:val="false"/>
          <w:i w:val="false"/>
          <w:color w:val="000000"/>
          <w:sz w:val="28"/>
        </w:rPr>
        <w:t>      3. Если АБР не согласовано иное, работы будут приобретаться на основе международных конкурсных торгов.</w:t>
      </w:r>
      <w:r>
        <w:br/>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(a)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ПУОС в контракт на работы.</w:t>
      </w:r>
      <w:r>
        <w:br/>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p>
      <w:pPr>
        <w:spacing w:after="0"/>
        <w:ind w:left="0"/>
        <w:jc w:val="both"/>
      </w:pPr>
      <w:r>
        <w:rPr>
          <w:rFonts w:ascii="Times New Roman"/>
          <w:b w:val="false"/>
          <w:i w:val="false"/>
          <w:color w:val="000000"/>
          <w:sz w:val="28"/>
        </w:rPr>
        <w:t>      Если АБР не указано иное, Заемщик будет использовать метод отбора на основе соотношения качества и цены при отборе и привлечении консалтинговых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p>
      <w:pPr>
        <w:spacing w:after="0"/>
        <w:ind w:left="0"/>
        <w:jc w:val="both"/>
      </w:pPr>
      <w:r>
        <w:rPr>
          <w:rFonts w:ascii="Times New Roman"/>
          <w:b w:val="false"/>
          <w:i w:val="false"/>
          <w:color w:val="000000"/>
          <w:sz w:val="28"/>
        </w:rPr>
        <w:t>      (a) Заемщик обязуется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xml:space="preserve">
      9. Заемщик обязуется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10.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11. В отношении контракта на выполнение работ, который должен быть заранее представлен АБР для ознакомления, Заемщик получает предварительное одобрение АБР на любые изменения или отказ по условиям контракта, в том числе:</w:t>
      </w:r>
      <w:r>
        <w:br/>
      </w:r>
      <w:r>
        <w:rPr>
          <w:rFonts w:ascii="Times New Roman"/>
          <w:b w:val="false"/>
          <w:i w:val="false"/>
          <w:color w:val="000000"/>
          <w:sz w:val="28"/>
        </w:rPr>
        <w:t>
      (a) продление установленного периода на завершение работ по контракту на период 1 месяца или более, или возможный перенос на более поздний срок даты закрытия для снятия средств со счета займа;</w:t>
      </w:r>
      <w:r>
        <w:br/>
      </w:r>
      <w:r>
        <w:rPr>
          <w:rFonts w:ascii="Times New Roman"/>
          <w:b w:val="false"/>
          <w:i w:val="false"/>
          <w:color w:val="000000"/>
          <w:sz w:val="28"/>
        </w:rPr>
        <w:t>
      (b) общая сумма увеличения первоначальной цены на более, чем 5 % (во избежание сомнений, такое увеличение должно учитывать все предыдущие изменения по данному контракту).</w:t>
      </w:r>
      <w:r>
        <w:br/>
      </w:r>
      <w:r>
        <w:rPr>
          <w:rFonts w:ascii="Times New Roman"/>
          <w:b w:val="false"/>
          <w:i w:val="false"/>
          <w:color w:val="000000"/>
          <w:sz w:val="28"/>
        </w:rPr>
        <w:t>
      12. В случае контракта на выполнение работ, который представляется в АБР для ознакомления, АБР рассматривает вопрос о внесении необходимых изменений в контракт или отказе от контракта и представляет ответ Заемщику в кратчайшие сроки, но не позднее 1 месяца после получения необходимого документа.</w:t>
      </w:r>
      <w:r>
        <w:br/>
      </w:r>
      <w:r>
        <w:rPr>
          <w:rFonts w:ascii="Times New Roman"/>
          <w:b w:val="false"/>
          <w:i w:val="false"/>
          <w:color w:val="000000"/>
          <w:sz w:val="28"/>
        </w:rPr>
        <w:t>
      13. Заемщик представляет в АБР копии всех документов по продлению сроков, изменениям и отступлениям от положений контрактов (включая изменения) в течение 1 месяца после внесения поправок в контракт.</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xml:space="preserve">      1. Заемщик и МТК обязаны гарантировать, что проект реализуется в соответствии с определенными мероприятиями, изложенными в РАМ. Любые последующие изменения в РАМ вступают в силу только после утверждения таких изменений Заемщиком и АБР. В случае любого несоответствия между РАМ и настоящим Соглашением о займе, положения настоящего Соглашения о займе будут иметь преимущественную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2. Заемщик должен поручить МТК гарантировать, что подготовка, проектирование, строительство, реализация, эксплуатация и вывод из эксплуатации проекта и всех проектных объектов соответствуют: (a) всем применимым законам и нормативным актам Заемщика, связанным с окружающей средой, здоровьем и безопасностью, (b) защитным мерам по окружающей среде, (с) РДООС; и (d) всем мерам и требованиям, изложенным в ОВОС и ПУОС, и любым корректирующим или превентивным действиям, изложенным в отчете по мониторингу защитных мер.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p>
      <w:pPr>
        <w:spacing w:after="0"/>
        <w:ind w:left="0"/>
        <w:jc w:val="both"/>
      </w:pPr>
      <w:r>
        <w:rPr>
          <w:rFonts w:ascii="Times New Roman"/>
          <w:b w:val="false"/>
          <w:i w:val="false"/>
          <w:color w:val="000000"/>
          <w:sz w:val="28"/>
        </w:rPr>
        <w:t>      3. Заемщик поручит местным исполнительным органам и МТК убедиться в том, что все земельные участки и полоса отвода, необходимые для проекта и проектных объектов,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 (a)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(c) РДВЗП; а также (d)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r>
        <w:br/>
      </w:r>
      <w:r>
        <w:rPr>
          <w:rFonts w:ascii="Times New Roman"/>
          <w:b w:val="false"/>
          <w:i w:val="false"/>
          <w:color w:val="000000"/>
          <w:sz w:val="28"/>
        </w:rPr>
        <w:t>
      4. Не ограничивая применение политики в области вынужденного переселения, РДВЗП или ПВЗП, Заемщик поручит местным исполнительным органам и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(a) компенсации или другие выплаты были предоставлены пострадавшим в соответствии с ПВЗП; а также</w:t>
      </w:r>
      <w:r>
        <w:br/>
      </w:r>
      <w:r>
        <w:rPr>
          <w:rFonts w:ascii="Times New Roman"/>
          <w:b w:val="false"/>
          <w:i w:val="false"/>
          <w:color w:val="000000"/>
          <w:sz w:val="28"/>
        </w:rPr>
        <w:t>
      (b) программа совокупного дохода и средства для существования были созданы в соответствии с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Местное население</w:t>
      </w:r>
    </w:p>
    <w:p>
      <w:pPr>
        <w:spacing w:after="0"/>
        <w:ind w:left="0"/>
        <w:jc w:val="both"/>
      </w:pPr>
      <w:r>
        <w:rPr>
          <w:rFonts w:ascii="Times New Roman"/>
          <w:b w:val="false"/>
          <w:i w:val="false"/>
          <w:color w:val="000000"/>
          <w:sz w:val="28"/>
        </w:rPr>
        <w:t>      5. Заемщик должен поручить местным исполнительным органам и МТК гарантировать, что проект не оказывает какого-либо воздействия на местное население в понимании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связанными с местным населением и ПЗМ.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p>
      <w:pPr>
        <w:spacing w:after="0"/>
        <w:ind w:left="0"/>
        <w:jc w:val="both"/>
      </w:pPr>
      <w:r>
        <w:rPr>
          <w:rFonts w:ascii="Times New Roman"/>
          <w:b w:val="false"/>
          <w:i w:val="false"/>
          <w:color w:val="000000"/>
          <w:sz w:val="28"/>
        </w:rPr>
        <w:t>      6. Заемщик обеспечивает наличие необходимых бюджетных и человеческих ресурсов для полного осуществления ПУОС и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p>
      <w:pPr>
        <w:spacing w:after="0"/>
        <w:ind w:left="0"/>
        <w:jc w:val="both"/>
      </w:pP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ПУОС и ПВЗП, и любые корректирующие или превентивные действия, изложенные в отчете по мониторингу защитных мер;</w:t>
      </w:r>
      <w:r>
        <w:br/>
      </w:r>
      <w:r>
        <w:rPr>
          <w:rFonts w:ascii="Times New Roman"/>
          <w:b w:val="false"/>
          <w:i w:val="false"/>
          <w:color w:val="000000"/>
          <w:sz w:val="28"/>
        </w:rPr>
        <w:t>
      (b) предоставлять бюджетные средства на все меры по экологической и социальной защите;</w:t>
      </w:r>
      <w:r>
        <w:br/>
      </w:r>
      <w:r>
        <w:rPr>
          <w:rFonts w:ascii="Times New Roman"/>
          <w:b w:val="false"/>
          <w:i w:val="false"/>
          <w:color w:val="000000"/>
          <w:sz w:val="28"/>
        </w:rPr>
        <w:t>
      (c) представлять МТК письменное уведомление о любых непредвиденных рисках, связанных с экологией, переселением или местным населением, и воздействием, которые возникают в процессе строительства, реализации или эксплуатации проекта и не были рассмотрены в ОВОС, ПУОС и ПВЗП;</w:t>
      </w:r>
      <w:r>
        <w:br/>
      </w:r>
      <w:r>
        <w:rPr>
          <w:rFonts w:ascii="Times New Roman"/>
          <w:b w:val="false"/>
          <w:i w:val="false"/>
          <w:color w:val="000000"/>
          <w:sz w:val="28"/>
        </w:rPr>
        <w:t>
      (d) обеспечивать соответствующую фиксацию документации о состоянии дорог, сельскохозяйственных земель и других объектов инфраструктуры до начала транспортировки материалов и строительства, а также</w:t>
      </w:r>
      <w:r>
        <w:br/>
      </w:r>
      <w:r>
        <w:rPr>
          <w:rFonts w:ascii="Times New Roman"/>
          <w:b w:val="false"/>
          <w:i w:val="false"/>
          <w:color w:val="000000"/>
          <w:sz w:val="28"/>
        </w:rPr>
        <w:t>
      (e) по завершению строительства восстанавливать пути, объекты местной инфраструктуры и сельскохозяйственные земли, по крайней мере, до состояния, в котором они находились до начала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p>
      <w:pPr>
        <w:spacing w:after="0"/>
        <w:ind w:left="0"/>
        <w:jc w:val="both"/>
      </w:pPr>
      <w:r>
        <w:rPr>
          <w:rFonts w:ascii="Times New Roman"/>
          <w:b w:val="false"/>
          <w:i w:val="false"/>
          <w:color w:val="000000"/>
          <w:sz w:val="28"/>
        </w:rPr>
        <w:t>      8. Заемщик поручает МТК выполнять следующее:</w:t>
      </w:r>
      <w:r>
        <w:br/>
      </w:r>
      <w:r>
        <w:rPr>
          <w:rFonts w:ascii="Times New Roman"/>
          <w:b w:val="false"/>
          <w:i w:val="false"/>
          <w:color w:val="000000"/>
          <w:sz w:val="28"/>
        </w:rPr>
        <w:t>
      (a) представлять в АБР отчеты по мониторингу защитных мер (i) раз в полгода в период строительства и (ii) ежегодно в течение первых 3 лет эксплуатации проектной дороги и раскрывать соответствующую информацию из таких отчетов лицам, чьи интересы затронуты, незамедлительно после представления;</w:t>
      </w:r>
      <w:r>
        <w:br/>
      </w: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предусмотренные в ОВОС, ПУОС и ПВЗП, необходимо своевременно информировать АБР о возникновении подобных рисков или воздействий с представлением подробного описания событий и плана корректирующих действий;</w:t>
      </w:r>
      <w:r>
        <w:br/>
      </w:r>
      <w:r>
        <w:rPr>
          <w:rFonts w:ascii="Times New Roman"/>
          <w:b w:val="false"/>
          <w:i w:val="false"/>
          <w:color w:val="000000"/>
          <w:sz w:val="28"/>
        </w:rPr>
        <w:t>
      (c) обеспечить, что квалифицированные и опытные независимые специалисты, приемлемые для АБР, выбраны и привлечены Заемщиком в рамках первого проекта Инвестиционной программы (заем № 2728) для подтверждения информации, полученной в результате мониторинга проекта, а также содействия проведению любой деятельности по проверке, выполняемой независимыми специалистами, а также</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приложением 5 ПМЗ.</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и здоровья</w:t>
      </w:r>
    </w:p>
    <w:p>
      <w:pPr>
        <w:spacing w:after="0"/>
        <w:ind w:left="0"/>
        <w:jc w:val="both"/>
      </w:pPr>
      <w:r>
        <w:rPr>
          <w:rFonts w:ascii="Times New Roman"/>
          <w:b w:val="false"/>
          <w:i w:val="false"/>
          <w:color w:val="000000"/>
          <w:sz w:val="28"/>
        </w:rPr>
        <w:t>      10. Заемщик поручает, а МТК обеспечивает, чтобы во все контракты на выполнение работ были включены особые положения, которые обеспечивают (a) соблюдение подрядчиками действующего трудового законодательства и нормативных документов Заемщика; (b) содействие трудоустройству женского и местного населения, в том числе представителей уязвимых групп населения, проживающих в районе реализации проекта; (c) ознакомление работников, выполняющих строительные работы, с информацией о технике безопасности на рабочих площадках; (d) равную оплату труда женщинам и мужчинам, выполняющим одинаковую работу; (e) безопасные условия труда и раздельные места общего пользования для мужчин и женщин, а также (f) неиспользование детского труда. Заемщик поручает МТК обеспечить, чтобы проводился мониторинг всех воздействий социального характера, которые может оказать реализация проекта, и чтобы результаты данного мониторинга представлялись АБР один раз в полгода.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11.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в МТК. Заемщик обязуется убедиться в том, что МТК включает все измененные потребности в финансировании для реализации проекта, которые были включены в его ежегодных программах развития.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Руководство и борьба с коррупцией</w:t>
      </w:r>
    </w:p>
    <w:p>
      <w:pPr>
        <w:spacing w:after="0"/>
        <w:ind w:left="0"/>
        <w:jc w:val="both"/>
      </w:pPr>
      <w:r>
        <w:rPr>
          <w:rFonts w:ascii="Times New Roman"/>
          <w:b w:val="false"/>
          <w:i w:val="false"/>
          <w:color w:val="000000"/>
          <w:sz w:val="28"/>
        </w:rPr>
        <w:t>      12. Заемщик и МТК обязуются: (a) следовать политике АБР по борьбе с коррупцией (от 1998 года с поправками по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xml:space="preserve">
      13.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прочих поставщиков услуг, относящихся к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xml:space="preserve">      14.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Безопасность дороги</w:t>
      </w:r>
    </w:p>
    <w:p>
      <w:pPr>
        <w:spacing w:after="0"/>
        <w:ind w:left="0"/>
        <w:jc w:val="both"/>
      </w:pPr>
      <w:r>
        <w:rPr>
          <w:rFonts w:ascii="Times New Roman"/>
          <w:b w:val="false"/>
          <w:i w:val="false"/>
          <w:color w:val="000000"/>
          <w:sz w:val="28"/>
        </w:rPr>
        <w:t xml:space="preserve">      15. Заемщик поручит МТК (a) обеспечить, чтобы все контракты на выполнение работ включали в себя обязательство подрядчика соблюдать меры по обеспечению дорожной безопасности; и (b) проводит мониторинг частоты дорожных происшествий и интенсивность движения в ходе эксплуатации дорожного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обслуживание</w:t>
      </w:r>
    </w:p>
    <w:p>
      <w:pPr>
        <w:spacing w:after="0"/>
        <w:ind w:left="0"/>
        <w:jc w:val="both"/>
      </w:pPr>
      <w:r>
        <w:rPr>
          <w:rFonts w:ascii="Times New Roman"/>
          <w:b w:val="false"/>
          <w:i w:val="false"/>
          <w:color w:val="000000"/>
          <w:sz w:val="28"/>
        </w:rPr>
        <w:t xml:space="preserve">      16. Заемщик обеспечит, что проектная дорога должным образом эксплуатируется и обслуживается после завершения проекта. </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