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e417" w14:textId="eeee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направлениях сотрудничества в области культуры в Евразийском экономическом сообществе</w:t>
      </w:r>
    </w:p>
    <w:p>
      <w:pPr>
        <w:spacing w:after="0"/>
        <w:ind w:left="0"/>
        <w:jc w:val="both"/>
      </w:pPr>
      <w:r>
        <w:rPr>
          <w:rFonts w:ascii="Times New Roman"/>
          <w:b w:val="false"/>
          <w:i w:val="false"/>
          <w:color w:val="000000"/>
          <w:sz w:val="28"/>
        </w:rPr>
        <w:t>Постановление Правительства Республики Казахстан от 1 июля 2013 года № 658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направлениях сотрудничества в области культуры в Евразийском экономическом сообществе, совершенное в городе Ялте 28 сентября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направлениях сотрудничества в области культуры</w:t>
      </w:r>
      <w:r>
        <w:br/>
      </w:r>
      <w:r>
        <w:rPr>
          <w:rFonts w:ascii="Times New Roman"/>
          <w:b/>
          <w:i w:val="false"/>
          <w:color w:val="000000"/>
        </w:rPr>
        <w:t>
в Евразийском экономическом сообществе</w:t>
      </w:r>
    </w:p>
    <w:bookmarkEnd w:id="1"/>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исходя из приоритетности неотъемлемых прав личности на культурную самобытность, свободу творчества, культурную деятельность, удовлетворение духовных потребностей и приобщение к культурным ценностям,</w:t>
      </w:r>
      <w:r>
        <w:br/>
      </w:r>
      <w:r>
        <w:rPr>
          <w:rFonts w:ascii="Times New Roman"/>
          <w:b w:val="false"/>
          <w:i w:val="false"/>
          <w:color w:val="000000"/>
          <w:sz w:val="28"/>
        </w:rPr>
        <w:t>
      подтверждая право каждого государства и народа самостоятельно разрабатывать и проводить свою культурную политику, устанавливать двусторонние и многосторонние культурные связи,</w:t>
      </w:r>
      <w:r>
        <w:br/>
      </w:r>
      <w:r>
        <w:rPr>
          <w:rFonts w:ascii="Times New Roman"/>
          <w:b w:val="false"/>
          <w:i w:val="false"/>
          <w:color w:val="000000"/>
          <w:sz w:val="28"/>
        </w:rPr>
        <w:t>
      признавая равное достоинство национальных культур всех народов и, стремясь способствовать их взаимообогащению при уважении самобытности каждой из них,</w:t>
      </w:r>
      <w:r>
        <w:br/>
      </w:r>
      <w:r>
        <w:rPr>
          <w:rFonts w:ascii="Times New Roman"/>
          <w:b w:val="false"/>
          <w:i w:val="false"/>
          <w:color w:val="000000"/>
          <w:sz w:val="28"/>
        </w:rPr>
        <w:t>
      выражая стремление к развитию и укреплению дружеских связей и сотрудничества между государствами в области культуры,</w:t>
      </w:r>
      <w:r>
        <w:br/>
      </w:r>
      <w:r>
        <w:rPr>
          <w:rFonts w:ascii="Times New Roman"/>
          <w:b w:val="false"/>
          <w:i w:val="false"/>
          <w:color w:val="000000"/>
          <w:sz w:val="28"/>
        </w:rPr>
        <w:t>
      поддерживая стремление интеллигенции, деятелей культуры и искусства к сохранению и развитию творческих контактов, защите их социальных и профессиональных интересов,</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Стороны в соответствии с национальным законодательством осуществляют взаимодействие в области музыкального, театрального, изобразительного искусства, кинематографии, архивного, библиотечного и музейного дела, охраны объектов культурного наследия, народных промыслов, декоративно-прикладного, самодеятельного, эстрадного и циркового искусства, а также других видов творческой деятельности.</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Стороны способствуют установлению контактов между музыкальными учреждениями и концертными организациями, обмену исполнителями, музыкальными коллективами и специалистами государств Сторон.</w:t>
      </w:r>
      <w:r>
        <w:br/>
      </w:r>
      <w:r>
        <w:rPr>
          <w:rFonts w:ascii="Times New Roman"/>
          <w:b w:val="false"/>
          <w:i w:val="false"/>
          <w:color w:val="000000"/>
          <w:sz w:val="28"/>
        </w:rPr>
        <w:t>
      Стороны содействуют установлению и развитию связей между театрами, обмену постановочными группами, критиками и театроведами, приглашению режиссеров на постановку спектаклей, а также организации гастролей, участию в международных театральных фестивалях, проводимых на территории государств Сторон.</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Стороны способствуют сотрудничеству и развитию партнерства между музеями, обмену художественными и фотовыставками, экспозициями современного искусства, обмену информацией по новым музейным технологиям и ее распространению, а также установлению прямых связей между музеями и центрами современного искусства государств Сторон.</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Стороны в рамках своей компетенции способствуют налаживанию контактов и связей в области изучения, публикации, в том числе в электронном формате, популяризации музейных предметов и коллекций, библиотечных и архивных фондов, объектов историко-культурного наследия, а также произведений современного искусства.</w:t>
      </w:r>
      <w:r>
        <w:br/>
      </w:r>
      <w:r>
        <w:rPr>
          <w:rFonts w:ascii="Times New Roman"/>
          <w:b w:val="false"/>
          <w:i w:val="false"/>
          <w:color w:val="000000"/>
          <w:sz w:val="28"/>
        </w:rPr>
        <w:t>
      Стороны поощряют взаимное участие в международных ярмарках и фестивалях, в рамках которых осуществляется продвижение культурных проектов и программ.</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Стороны на основе норм международных договоров и национального законодательства сотрудничают в области подготовки и повышения квалификации работников культуры и искусства, а также оказывают поддержку прямому взаимодействию между учебными заведениями культуры и искусства государств Сторон.</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Стороны обмениваются информацией по вопросам выявления, учета, сохранения, реставрации, археологии, использования и популяризации историко-культурного наследия, а также изучают возможности совместного проведения реставрационных и археологических работ, научных и практических семинаров, экспедиций, симпозиумов, встреч специалистов и экспертов.</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Стороны способствуют ознакомлению различных слоев населения, особенно молодежи, с национальными культурными традициями государства каждой из Сторон и углублению сотрудничества в гуманитарной сфере. В этих целях Стороны предусматривают обмен делегациями, организуют тематические конференции, форумы и симпозиумы.</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Финансирование мероприятий по реализации настоящего Соглашения осуществляется государствами заинтересованных Сторон за счет ассигнований, предусматриваемых в национальных бюджетах соответствующим министерствам и ведомствам на обеспечение своих функций с возможным привлечением внебюджетных средств.</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Практическая реализация конкретных культурных программ и проектов сотрудничества осуществляется на основе двусторонних и многосторонних соглашений.</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Start w:name="z16"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э выполнении Сторонами внутригосударственных процедур, необходимых для его вступления в силу.</w:t>
      </w:r>
    </w:p>
    <w:bookmarkStart w:name="z17"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к нему других государств, принятых в члены ЕврАзЭС.</w:t>
      </w:r>
      <w:r>
        <w:br/>
      </w:r>
      <w:r>
        <w:rPr>
          <w:rFonts w:ascii="Times New Roman"/>
          <w:b w:val="false"/>
          <w:i w:val="false"/>
          <w:color w:val="000000"/>
          <w:sz w:val="28"/>
        </w:rPr>
        <w:t>
      Документ о присоединении сдается на хранение депозитарию.</w:t>
      </w:r>
      <w:r>
        <w:br/>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Start w:name="z18"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для указанной Стороны прекращается по истечении шести месяцев с даты получения депозитарием соответствующего уведомления.</w:t>
      </w:r>
      <w:r>
        <w:br/>
      </w:r>
      <w:r>
        <w:rPr>
          <w:rFonts w:ascii="Times New Roman"/>
          <w:b w:val="false"/>
          <w:i w:val="false"/>
          <w:color w:val="000000"/>
          <w:sz w:val="28"/>
        </w:rPr>
        <w:t>
      Прекращение действия настоящего Соглашения в отношении одной из Сторон не влияет на программы и проекты, осуществление которых уже началось, а также не затрагивает действия международных договоров, заключенных на его основе, если Стороны не договорятся об ином.</w:t>
      </w:r>
    </w:p>
    <w:p>
      <w:pPr>
        <w:spacing w:after="0"/>
        <w:ind w:left="0"/>
        <w:jc w:val="both"/>
      </w:pPr>
      <w:r>
        <w:rPr>
          <w:rFonts w:ascii="Times New Roman"/>
          <w:b w:val="false"/>
          <w:i w:val="false"/>
          <w:color w:val="000000"/>
          <w:sz w:val="28"/>
        </w:rPr>
        <w:t>      Совершено в г. Ялте 28 сентября 2012 года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его заверенную копию.</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both"/>
      </w:pPr>
      <w:r>
        <w:rPr>
          <w:rFonts w:ascii="Times New Roman"/>
          <w:b w:val="false"/>
          <w:i w:val="false"/>
          <w:color w:val="000000"/>
          <w:sz w:val="28"/>
        </w:rPr>
        <w:t>      Настоящим удостоверяю, что данный текст является аутентичной копией оригинала Решения Межгоссовета ЕврАзЭС (на уровне глав правительств) «О Соглашении о направлениях сотрудничества в области культуры в Евразийском экономическом сообществе» от 28 сентября 2012 года № 612.</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w:t>
      </w:r>
      <w:r>
        <w:br/>
      </w:r>
      <w:r>
        <w:rPr>
          <w:rFonts w:ascii="Times New Roman"/>
          <w:b w:val="false"/>
          <w:i w:val="false"/>
          <w:color w:val="000000"/>
          <w:sz w:val="28"/>
        </w:rPr>
        <w:t>
</w:t>
      </w:r>
      <w:r>
        <w:rPr>
          <w:rFonts w:ascii="Times New Roman"/>
          <w:b w:val="false"/>
          <w:i/>
          <w:color w:val="000000"/>
          <w:sz w:val="28"/>
        </w:rPr>
        <w:t>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Интеграционного</w:t>
      </w:r>
      <w:r>
        <w:br/>
      </w:r>
      <w:r>
        <w:rPr>
          <w:rFonts w:ascii="Times New Roman"/>
          <w:b w:val="false"/>
          <w:i w:val="false"/>
          <w:color w:val="000000"/>
          <w:sz w:val="28"/>
        </w:rPr>
        <w:t>
</w:t>
      </w:r>
      <w:r>
        <w:rPr>
          <w:rFonts w:ascii="Times New Roman"/>
          <w:b w:val="false"/>
          <w:i/>
          <w:color w:val="000000"/>
          <w:sz w:val="28"/>
        </w:rPr>
        <w:t>      Комитета ЕврАзЭС                           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