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b9cb" w14:textId="9b5b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8 февраля 2011 года № 94 "О Стратегическом плане Министерства финансов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94 «О Стратегическом плане Министерства финансов Республики Казахстан на 2011 – 2015 годы» (САПП Республики Казахстан, 2011 г., № 18, ст. 211)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финансов Республики Казахстан на 2011 –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Анализ текущей ситуации и тенденции развития соответствующих отраслей (сфер) деятельности»: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cтратегическом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Совершенствование налоговой и таможенной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33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улучшения таможенного администрирования Комитетом осуществляется проект развития таможенной службы, который охватывает все сферы деятельности таможенной службы Республики Казахстан и включает в себя анализ соответствия деятельности таможенной службы Республики Казахстан международным стандартам, разработку и внедрение новых методов и технологий в соответствии с лучшей международной практикой, модернизацию и развитие информационно-коммуникационных технологий, техническое оснащение, а также обучение должностных лиц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развития таможенной службы разрабатывался на основе методологии и структуры Всемирной Таможенной Организации (ВТамО) по наращиванию таможенного потенциала.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идет реализация консалтинговых контрактов, в результате которых будут выработаны рекомендации по совершенствованию, преобразованию и реструктуризации всех основных направлений деятельности таможенных органов и их бизнес-процессов.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данных консалтинговых контрактов будут служить методологической основой для разработки программных продуктов и развития информационно-коммуникационных технологий (ИКТ) таможенных органов, будет выстроена единая архитектура ИКТ таможенных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повышения качества оказываемых услуг разработана система дистанционного обучения на основе информационных технологий с соответствующим программным обеспечением и учебными материалами для решения вопросов, связанных с обучением сотрудников на местах. Определены уровни, а также потребности в образовательной инфраструктуре.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повышения эффективности и качества предоставляемых государственных услуг ведется работа по разработке стандартов и регламентов государственных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11 государственных услуг включены в реестр государственных услуг, по 5 разрабатываются регламенты и стандарты. В 2013 году планируется расширение перечня государственных услуг на 10 услуг (итого: 21 государственная услуга).»;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Стратегические направления, цели, задачи, целевые индикаторы, мероприятия и показатели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«Стратегическом направление 1. Обеспечение исполнения республиканского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«1.1. Повышение качества исполнения бюджета, эффективности расходов и финансовой дисциплины, а также удержание государственного долга на безопасном уровне»: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8"/>
        <w:gridCol w:w="1928"/>
        <w:gridCol w:w="492"/>
        <w:gridCol w:w="710"/>
        <w:gridCol w:w="710"/>
        <w:gridCol w:w="906"/>
        <w:gridCol w:w="972"/>
        <w:gridCol w:w="1102"/>
        <w:gridCol w:w="1103"/>
        <w:gridCol w:w="929"/>
      </w:tblGrid>
      <w:tr>
        <w:trPr>
          <w:trHeight w:val="930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Удельный вес АРБП с исполнением расходов не ниже среднереспубликанского значения 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«Мониторинг бюджетного процесса»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65" w:hRule="atLeast"/>
        </w:trPr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Отношение платежей по обслуживанию правительственного и гарантированного государством долга к доходам республиканского бюджета с допустимым предельным значением 10-15 %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«Мониторинг бюджетного процесса»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1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10-15</w:t>
            </w:r>
          </w:p>
        </w:tc>
      </w:tr>
    </w:tbl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«1.1.1. Обеспечение исполнения республиканского бюджета, доведение активов Национального фонда к 2020 году до уровня не менее 30 % ВВП»: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5"/>
        <w:gridCol w:w="1937"/>
        <w:gridCol w:w="910"/>
        <w:gridCol w:w="713"/>
        <w:gridCol w:w="495"/>
        <w:gridCol w:w="713"/>
        <w:gridCol w:w="714"/>
        <w:gridCol w:w="911"/>
        <w:gridCol w:w="911"/>
        <w:gridCol w:w="911"/>
      </w:tblGrid>
      <w:tr>
        <w:trPr>
          <w:trHeight w:val="30" w:hRule="atLeast"/>
        </w:trPr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  <w:tc>
          <w:tcPr>
            <w:tcW w:w="1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 «Финансовый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рисками»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9"/>
        <w:gridCol w:w="2148"/>
        <w:gridCol w:w="711"/>
        <w:gridCol w:w="711"/>
        <w:gridCol w:w="711"/>
        <w:gridCol w:w="711"/>
        <w:gridCol w:w="711"/>
        <w:gridCol w:w="711"/>
        <w:gridCol w:w="908"/>
        <w:gridCol w:w="909"/>
      </w:tblGrid>
      <w:tr>
        <w:trPr>
          <w:trHeight w:val="30" w:hRule="atLeast"/>
        </w:trPr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Охват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контроля, к которым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подсистемы  «Финансовый контроль. Система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рисками»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9"/>
        <w:gridCol w:w="2148"/>
        <w:gridCol w:w="711"/>
        <w:gridCol w:w="711"/>
        <w:gridCol w:w="711"/>
        <w:gridCol w:w="711"/>
        <w:gridCol w:w="711"/>
        <w:gridCol w:w="711"/>
        <w:gridCol w:w="908"/>
        <w:gridCol w:w="909"/>
      </w:tblGrid>
      <w:tr>
        <w:trPr>
          <w:trHeight w:val="30" w:hRule="atLeast"/>
        </w:trPr>
        <w:tc>
          <w:tcPr>
            <w:tcW w:w="4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Полнота охвата бюджетным мониторингом бюджетных программ АРБП 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«Мониторинг бюджетного процесса»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«Мероприятия для достижения показателей прямых результатов»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1"/>
        <w:gridCol w:w="1085"/>
        <w:gridCol w:w="875"/>
        <w:gridCol w:w="875"/>
        <w:gridCol w:w="687"/>
        <w:gridCol w:w="687"/>
      </w:tblGrid>
      <w:tr>
        <w:trPr>
          <w:trHeight w:val="105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 за соблюдением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 законодательства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закупках объектами контроля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об ответственности виновных лиц по устранению нарушений (привлечение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административной, дисциплинарной ответственности, исковая работа, передача материалов в правоохранительные органы и др.)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дебиторской и кредиторской задолженности МФ РК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8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автоматизированной системы управления рисками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35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Методологическое обеспечение процесса исполнения бюджета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сбора своевременной, качественной и в полном объеме отчетности об исполнении бюджета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эффективности деятельности центральных и местных исполнительных органов и Национального банка Республики Казахстан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2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финансирования дефицита бюджета в соответствии с потребностью бюджета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3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правительственного долга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885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Полное и своевременное выполнение обязательств перед заимодателями по выплате вознаграждения (интересов) по правительственным займам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75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рисков правительственного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государством долга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45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достаточного объема ГЦБ, эмитируемых Министерством финансов Республики Казахстан, необходимого для установления соответствующего ориентира на фондовом рынке для построения кривой доходности при поддержании безопасного уровня правительственного долга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75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информирования населения о принимаемых решениях государственного органа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обновление информации на веб-сайте МФ РК по принимаемым мерам в области финансов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мер по повышению финансовой дисциплины при исполнении обязательств по бюджетным кредитам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погашения бюджетных кредитов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исполнения республиканского бюджета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исполнения расходов республиканского бюджета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</w:tr>
      <w:tr>
        <w:trPr>
          <w:trHeight w:val="36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информационной системы по приему и обработке электронных счетов-фактур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ежемесячных аналитических отчетов о реализации целевых трансфертов, выделенных из республиканского бюджета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1455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Прогнозирование ожидаемого исполнения расходной части республиканского бюджета, а также бюджетных программ, реализуемых регионами за счет целевых трансфертов, начиная с итогов девяти месяцев текущего финансового года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 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предложений по результатам аналитических отчетов об исполнении расходов республиканского бюджета, результатах мониторинга реализации целевых текущих трансфертов, целевых трансфертов на развитие и кредитов, выделенных из республиканского бюджета, для учета уполномоченным органом по бюджетному планированию при разработке и уточнении республиканского бюджета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60" w:hRule="atLeast"/>
        </w:trPr>
        <w:tc>
          <w:tcPr>
            <w:tcW w:w="8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ходатайств государственных органов о выделении средств из чрезвычайного резерва и из резерва на неотложные затраты Правительства Республики Казахстан, подготовка заключений к проектам постановлений Правительства Республики Казахстан о выделении средств из резерва Правительства Республики Казахстан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«1.2. Повышение эффективности процесса государственных закупок»: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5"/>
        <w:gridCol w:w="1775"/>
        <w:gridCol w:w="579"/>
        <w:gridCol w:w="579"/>
        <w:gridCol w:w="710"/>
        <w:gridCol w:w="710"/>
        <w:gridCol w:w="710"/>
        <w:gridCol w:w="710"/>
        <w:gridCol w:w="711"/>
        <w:gridCol w:w="711"/>
      </w:tblGrid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доли электронных государственных закупок в общем объеме государственных закупок 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государственных закупок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5"/>
        <w:gridCol w:w="1775"/>
        <w:gridCol w:w="449"/>
        <w:gridCol w:w="710"/>
        <w:gridCol w:w="710"/>
        <w:gridCol w:w="710"/>
        <w:gridCol w:w="710"/>
        <w:gridCol w:w="710"/>
        <w:gridCol w:w="710"/>
        <w:gridCol w:w="711"/>
      </w:tblGrid>
      <w:tr>
        <w:trPr>
          <w:trHeight w:val="30" w:hRule="atLeast"/>
        </w:trPr>
        <w:tc>
          <w:tcPr>
            <w:tcW w:w="5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пользователей, удовлетворенных работой системы электронных государственных закупок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государственных закупок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«1.2.1. Повышение эффективности и прозрачности системы государственных закупок»: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9"/>
        <w:gridCol w:w="1789"/>
        <w:gridCol w:w="452"/>
        <w:gridCol w:w="715"/>
        <w:gridCol w:w="715"/>
        <w:gridCol w:w="716"/>
        <w:gridCol w:w="716"/>
        <w:gridCol w:w="716"/>
        <w:gridCol w:w="716"/>
        <w:gridCol w:w="716"/>
      </w:tblGrid>
      <w:tr>
        <w:trPr>
          <w:trHeight w:val="30" w:hRule="atLeast"/>
        </w:trPr>
        <w:tc>
          <w:tcPr>
            <w:tcW w:w="5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пользователей, удовлетворенных работой системы электронных государственных закупок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информационной системы Веб-портал государственных закупок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</w:tbl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4"/>
        <w:gridCol w:w="1797"/>
        <w:gridCol w:w="579"/>
        <w:gridCol w:w="579"/>
        <w:gridCol w:w="710"/>
        <w:gridCol w:w="710"/>
        <w:gridCol w:w="710"/>
        <w:gridCol w:w="710"/>
        <w:gridCol w:w="710"/>
        <w:gridCol w:w="711"/>
      </w:tblGrid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доли электронных государственных закупок в общем объеме государственных закупок 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государственных закупок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цели «1.3. Создание интегрированной автоматизированной информационной системы «е-Минфин»: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4"/>
        <w:gridCol w:w="1797"/>
        <w:gridCol w:w="579"/>
        <w:gridCol w:w="579"/>
        <w:gridCol w:w="710"/>
        <w:gridCol w:w="710"/>
        <w:gridCol w:w="710"/>
        <w:gridCol w:w="710"/>
        <w:gridCol w:w="710"/>
        <w:gridCol w:w="711"/>
      </w:tblGrid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автоматизированных функций (бизнес-процессов) МФ из общего объема функций, утвержденных приказом Министра финансов РК от 27 апреля 2012 года № 221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4"/>
        <w:gridCol w:w="1797"/>
        <w:gridCol w:w="449"/>
        <w:gridCol w:w="710"/>
        <w:gridCol w:w="710"/>
        <w:gridCol w:w="710"/>
        <w:gridCol w:w="710"/>
        <w:gridCol w:w="710"/>
        <w:gridCol w:w="710"/>
        <w:gridCol w:w="710"/>
      </w:tblGrid>
      <w:tr>
        <w:trPr>
          <w:trHeight w:val="30" w:hRule="atLeast"/>
        </w:trPr>
        <w:tc>
          <w:tcPr>
            <w:tcW w:w="5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автоматизированных функций (бизнес-процессов) МФ из общего объема функций, утвержденных приказом Министра финансов РК от 27 апреля 2012 года № 221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«1.3.1. Автоматизация бизнес-процессов по исполнению Министерством финансов и его структурными подразделениями государственных функций и предоставлению государственных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6"/>
        <w:gridCol w:w="1455"/>
        <w:gridCol w:w="691"/>
        <w:gridCol w:w="691"/>
        <w:gridCol w:w="910"/>
        <w:gridCol w:w="910"/>
        <w:gridCol w:w="691"/>
        <w:gridCol w:w="692"/>
        <w:gridCol w:w="692"/>
        <w:gridCol w:w="692"/>
      </w:tblGrid>
      <w:tr>
        <w:trPr>
          <w:trHeight w:val="1305" w:hRule="atLeast"/>
        </w:trPr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зарегистрированных пользователей, удовлетворенных работой подсистем «е-Минфин»</w:t>
            </w:r>
          </w:p>
        </w:tc>
        <w:tc>
          <w:tcPr>
            <w:tcW w:w="1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9"/>
        <w:gridCol w:w="1949"/>
        <w:gridCol w:w="710"/>
        <w:gridCol w:w="710"/>
        <w:gridCol w:w="905"/>
        <w:gridCol w:w="906"/>
        <w:gridCol w:w="710"/>
        <w:gridCol w:w="710"/>
        <w:gridCol w:w="710"/>
        <w:gridCol w:w="711"/>
      </w:tblGrid>
      <w:tr>
        <w:trPr>
          <w:trHeight w:val="1230" w:hRule="atLeast"/>
        </w:trPr>
        <w:tc>
          <w:tcPr>
            <w:tcW w:w="4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зарегистрированных пользователей, удовлетворенных работой подсистем «е-Минфин»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«2. Совершенствование налоговой и таможенной систем»: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«2.1. Улучшение налогового администрирования»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27"/>
        <w:gridCol w:w="1931"/>
        <w:gridCol w:w="711"/>
        <w:gridCol w:w="711"/>
        <w:gridCol w:w="907"/>
        <w:gridCol w:w="907"/>
        <w:gridCol w:w="711"/>
        <w:gridCol w:w="711"/>
        <w:gridCol w:w="712"/>
        <w:gridCol w:w="712"/>
      </w:tblGrid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недоимки по налоговым поступлениям в общем объеме доходов консолидированного бюджета без учета недоимки, безнадежной к взысканию (по результатам налоговых проверок налогоплательщиков, имеющих признаки лжепредпринимательства)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ИНИС (ЭКНА)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4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налогоплательщиков, удовлетворенных качеством процесса предоставления услуги для: субъектов бизнеса и населения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задаче «2.1.1. Обеспечение полноты поступлений налогов»: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5"/>
        <w:gridCol w:w="1646"/>
        <w:gridCol w:w="710"/>
        <w:gridCol w:w="711"/>
        <w:gridCol w:w="906"/>
        <w:gridCol w:w="907"/>
        <w:gridCol w:w="711"/>
        <w:gridCol w:w="711"/>
        <w:gridCol w:w="711"/>
        <w:gridCol w:w="712"/>
      </w:tblGrid>
      <w:tr>
        <w:trPr>
          <w:trHeight w:val="30" w:hRule="atLeast"/>
        </w:trPr>
        <w:tc>
          <w:tcPr>
            <w:tcW w:w="5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недоимки по налоговым поступлениям в общем объеме доходов консолидированного бюджета без учета недоимки, безнадежной к взысканию (по результатам налоговых проверок налогоплательщиков, имеющих признаки лжепредпринимательства)</w:t>
            </w:r>
          </w:p>
        </w:tc>
        <w:tc>
          <w:tcPr>
            <w:tcW w:w="1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 ИНИС  (ЭКНА)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«2.1.2. Повышение качества предоставляемых налоговых услуг»: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3"/>
        <w:gridCol w:w="1649"/>
        <w:gridCol w:w="712"/>
        <w:gridCol w:w="712"/>
        <w:gridCol w:w="908"/>
        <w:gridCol w:w="908"/>
        <w:gridCol w:w="494"/>
        <w:gridCol w:w="908"/>
        <w:gridCol w:w="713"/>
        <w:gridCol w:w="713"/>
      </w:tblGrid>
      <w:tr>
        <w:trPr>
          <w:trHeight w:val="30" w:hRule="atLeast"/>
        </w:trPr>
        <w:tc>
          <w:tcPr>
            <w:tcW w:w="5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налогоплательщиков,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удовлетворенных качеством процесса предоставления услуги для: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субъектов бизнеса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населения</w:t>
            </w:r>
          </w:p>
        </w:tc>
        <w:tc>
          <w:tcPr>
            <w:tcW w:w="1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Независимый социологический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опрос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80,4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«Мероприятиях для достижения показателей прямых результатов»: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3"/>
        <w:gridCol w:w="833"/>
        <w:gridCol w:w="833"/>
        <w:gridCol w:w="833"/>
        <w:gridCol w:w="833"/>
        <w:gridCol w:w="833"/>
      </w:tblGrid>
      <w:tr>
        <w:trPr>
          <w:trHeight w:val="30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Поддержание доли электронных и частично автоматизированных налоговых услуг в общем количестве налоговых услуг, на уровне не менее 20 %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73"/>
        <w:gridCol w:w="833"/>
        <w:gridCol w:w="833"/>
        <w:gridCol w:w="833"/>
        <w:gridCol w:w="833"/>
        <w:gridCol w:w="833"/>
      </w:tblGrid>
      <w:tr>
        <w:trPr>
          <w:trHeight w:val="30" w:hRule="atLeast"/>
        </w:trPr>
        <w:tc>
          <w:tcPr>
            <w:tcW w:w="8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работ по переходу на режим электронной отчетности (внесение изменений в налоговое законодательство в части порядка представления налоговой отчетности, проведение разъяснительных работ с населением и т.д.) 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«2.2. Улучшение таможенного администрирования»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7"/>
        <w:gridCol w:w="2847"/>
        <w:gridCol w:w="580"/>
        <w:gridCol w:w="581"/>
        <w:gridCol w:w="406"/>
        <w:gridCol w:w="581"/>
        <w:gridCol w:w="581"/>
        <w:gridCol w:w="668"/>
        <w:gridCol w:w="756"/>
        <w:gridCol w:w="713"/>
      </w:tblGrid>
      <w:tr>
        <w:trPr>
          <w:trHeight w:val="1665" w:hRule="atLeast"/>
        </w:trPr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участников внешнеэкономической деятельности, удовлетворенных качеством таможенных услуг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общественного фонда «Центр исследований САНДЖ»</w:t>
            </w:r>
          </w:p>
        </w:tc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«3. Повышение эффективности регулирования в сфере банкротства и посткризисное восстановление (оздоровление) конкурентоспособных предприятий)»: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цель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«3.1. Усовершенствование механизма банкротства»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23"/>
        <w:gridCol w:w="3134"/>
        <w:gridCol w:w="494"/>
        <w:gridCol w:w="494"/>
        <w:gridCol w:w="494"/>
        <w:gridCol w:w="494"/>
        <w:gridCol w:w="494"/>
        <w:gridCol w:w="713"/>
        <w:gridCol w:w="910"/>
        <w:gridCol w:w="910"/>
      </w:tblGrid>
      <w:tr>
        <w:trPr>
          <w:trHeight w:val="30" w:hRule="atLeast"/>
        </w:trPr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погашения требований кредиторов в ходе проведения процедур реабилитации, банкротства (без учета должников, не имеющих активов)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данные, предоставляемые территориальными подразделениями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15,0</w:t>
            </w:r>
          </w:p>
        </w:tc>
      </w:tr>
    </w:tbl>
    <w:bookmarkStart w:name="z4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направлении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«4. Повышение эффективности системы управления республиканской государственной собственностью и собственностью в отраслях экономики, имеющих стратегическое значение»;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цели</w:t>
      </w:r>
      <w:r>
        <w:rPr>
          <w:rFonts w:ascii="Times New Roman"/>
          <w:b w:val="false"/>
          <w:i w:val="false"/>
          <w:color w:val="000000"/>
          <w:sz w:val="28"/>
        </w:rPr>
        <w:t xml:space="preserve"> «4.1. Совершенствование управления государственной собственностью и собственностью в отраслях экономики, имеющих стратегическое значение»: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5"/>
        <w:gridCol w:w="2500"/>
        <w:gridCol w:w="406"/>
        <w:gridCol w:w="581"/>
        <w:gridCol w:w="930"/>
        <w:gridCol w:w="581"/>
        <w:gridCol w:w="581"/>
        <w:gridCol w:w="668"/>
        <w:gridCol w:w="909"/>
        <w:gridCol w:w="909"/>
      </w:tblGrid>
      <w:tr>
        <w:trPr>
          <w:trHeight w:val="630" w:hRule="atLeast"/>
        </w:trPr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Удельный вес принятых рекомендаций объектами мониторинга и электронных аукционов от общего их количества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финхоздеятельности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с госучастием, отчеты консалтинговых фирм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54,3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55,6</w:t>
            </w:r>
          </w:p>
        </w:tc>
      </w:tr>
    </w:tbl>
    <w:bookmarkStart w:name="z4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4"/>
        <w:gridCol w:w="2463"/>
        <w:gridCol w:w="400"/>
        <w:gridCol w:w="572"/>
        <w:gridCol w:w="916"/>
        <w:gridCol w:w="573"/>
        <w:gridCol w:w="761"/>
        <w:gridCol w:w="659"/>
        <w:gridCol w:w="896"/>
        <w:gridCol w:w="896"/>
      </w:tblGrid>
      <w:tr>
        <w:trPr>
          <w:trHeight w:val="2445" w:hRule="atLeast"/>
        </w:trPr>
        <w:tc>
          <w:tcPr>
            <w:tcW w:w="4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Доля предприятий, находящихся в зоне риска, от общего количества предприятий (повышение эффективности управления государственной собственностью и собственностью в отраслях экономики, имеющих стратегическое значение)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финхоздеятельности организаций с госучастием, отчеты консалтинговых фирм по результатам проведенного мониторинга</w:t>
            </w:r>
          </w:p>
        </w:tc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21,35</w:t>
            </w:r>
          </w:p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</w:t>
            </w:r>
          </w:p>
        </w:tc>
      </w:tr>
    </w:tbl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задачу «4.1.1. Обеспечение эффективности процессов управления республиканской государственной собственностью и собственностью в отраслях экономики, имеющих стратегическое значение»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«Задача 4.1.1. Обеспечение эффективности процессов управления республиканской государственной собственностью и собственностью в отраслях экономики, имеющих стратегическое значение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2515"/>
        <w:gridCol w:w="710"/>
        <w:gridCol w:w="1153"/>
        <w:gridCol w:w="1219"/>
        <w:gridCol w:w="1197"/>
        <w:gridCol w:w="1109"/>
        <w:gridCol w:w="1109"/>
        <w:gridCol w:w="1110"/>
        <w:gridCol w:w="1110"/>
      </w:tblGrid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2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(отчет)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(план)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рекомендаций, принятых государственными органами и объектами мониторинга эффективности управления государственным имуществом</w:t>
            </w:r>
          </w:p>
        </w:tc>
        <w:tc>
          <w:tcPr>
            <w:tcW w:w="2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финхоздеятельности организаций с госучастием, отчеты консалтинговых фирм по результатам проведенного мониторинга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83"/>
        <w:gridCol w:w="2528"/>
        <w:gridCol w:w="726"/>
        <w:gridCol w:w="1149"/>
        <w:gridCol w:w="1237"/>
        <w:gridCol w:w="1149"/>
        <w:gridCol w:w="1149"/>
        <w:gridCol w:w="1104"/>
        <w:gridCol w:w="1105"/>
        <w:gridCol w:w="1150"/>
      </w:tblGrid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рекомендаций, принятых государственными органами и объектами государственного мониторинга собственности в отраслях экономики, имеющих стратегическое значение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 независимых консалтинговых фирм, осуществляющих обследования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доли электронных аукционов в общем объеме проводимых аукционов по продаже объектов республиканской собственности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 данные АО «ИУЦ»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Процент внедренных в Реестр государственного имущества объектов учета,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государственном имуществе»</w:t>
            </w:r>
          </w:p>
        </w:tc>
        <w:tc>
          <w:tcPr>
            <w:tcW w:w="2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Реестр государственного имущества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реализации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объектов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перечня объектов государственного мониторинга собственности в отраслях экономики, имеющих стратегическое значение на текущий период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эффективности управления государственным имуществом, в том числе государственными предприятиями и юридическими лицами с участием государства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государственного мониторинга собственности в отраслях экономики, имеющих стратегическое значение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 по повышению эффективности управления государственными предприятиями и юридическими лицами с участием государства, объектам мониторинга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рекомендаций, направленных на повышение эффективности деятельности объектов государственного мониторинга собственности в отраслях экономики, имеющих стратегическое значение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проекта постановления Правительства Республики Казахстан «О внесении изменений и дополнений в постановления Правительства Республики Казахстан от 30 июля 2004 года № 810 и от 4 декабря 2012 года № 1546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включение в Электронную базу данных комплексного мониторинга отчеты о результатах обследования объектов комплексного мониторинга и мониторинга объектов государственной собственности и собственности в отраслях экономики, имеющих стратегическое значение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Реестра государственного имущества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государственном имуществе»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взаимодействия Реестра государственного имущества с существующими информационными системами государственных органов по объектам Реестра, определенным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государственном имуществе»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Внедрение в Реестр государственного имущества объектов учета государственного имущества, определенных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государственном имуществе»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 пилотном режиме электронных аукционов по продаже объектов приватизации республиканской собственности в 3 территориальных подразделениях КГИП (гг. Астана, Алматы, Карагандинская область) после принятия решения Правительства Республики Казахстан, предусматривающего продажу объектов приватизации на электронных аукционах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«6. Управление рисками»: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«Внешние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3"/>
        <w:gridCol w:w="3986"/>
        <w:gridCol w:w="4151"/>
      </w:tblGrid>
      <w:tr>
        <w:trPr>
          <w:trHeight w:val="30" w:hRule="atLeast"/>
        </w:trPr>
        <w:tc>
          <w:tcPr>
            <w:tcW w:w="4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у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автоматизированного учета объектов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имущества, определенных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«О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имуществе», сведения по которым представляются в Реестр государственного имущества</w:t>
            </w:r>
          </w:p>
        </w:tc>
        <w:tc>
          <w:tcPr>
            <w:tcW w:w="3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Отсутствие информации по отдельным объектам учета в Реестре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  <w:tc>
          <w:tcPr>
            <w:tcW w:w="4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межведомственной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Рабочей группы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выработки предложений по взаимодействию отраслевых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информационных систем в рамках создания Реестра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имущества</w:t>
            </w:r>
          </w:p>
        </w:tc>
      </w:tr>
    </w:tbl>
    <w:bookmarkStart w:name="z5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3"/>
        <w:gridCol w:w="3853"/>
        <w:gridCol w:w="4053"/>
      </w:tblGrid>
      <w:tr>
        <w:trPr>
          <w:trHeight w:val="30" w:hRule="atLeast"/>
        </w:trPr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Низкий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и иными государственными органами по вопросам таможенного дела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Низкие качества уголовного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межведомственного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информационного обмена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правоохранительными органами и иными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по вопросам таможенного дела</w:t>
            </w:r>
          </w:p>
        </w:tc>
      </w:tr>
    </w:tbl>
    <w:bookmarkStart w:name="z5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853"/>
        <w:gridCol w:w="407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Недостижение должного уровня взаимодействия с другими правоохранительными органами по линии борьбы с правонарушениями в сфере таможенного дела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качества мероприятий, проводимых таможенными органами по линии борьбы с правонарушениями в сфере таможенного дела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единой позиции с Генеральной прокуратурой Республики Казахстан по созданию единого информационного портала право-хранительных органов по обмену данных оперативного характера</w:t>
            </w:r>
          </w:p>
        </w:tc>
      </w:tr>
    </w:tbl>
    <w:bookmarkStart w:name="z5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853"/>
        <w:gridCol w:w="407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отмыванию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уничтожения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оценки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 финансовых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борьбы с отмыванием денег (ФАТФ)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позиции рейтинга соответствия Республики Казахстан Международным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стандартам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отмыванию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 и финансированию распространения оружия массового уничтожения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методики оценки Группы разработки финансовых мер борьбы с отмыванием денег (ФАТФ) и позиции оценщиков Евразийской группы по противодействию легализации преступных доходов и финансированию терроризма (ЕАГ)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группой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преступных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 и 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терроризма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объективных данных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</w:t>
            </w:r>
          </w:p>
        </w:tc>
      </w:tr>
    </w:tbl>
    <w:bookmarkStart w:name="z5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93"/>
        <w:gridCol w:w="3853"/>
        <w:gridCol w:w="4073"/>
      </w:tblGrid>
      <w:tr>
        <w:trPr>
          <w:trHeight w:val="30" w:hRule="atLeast"/>
        </w:trPr>
        <w:tc>
          <w:tcPr>
            <w:tcW w:w="4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 Международных стандартов по противодействию отмыванию денег, финансированию терроризма и финансированию распространения оружия массового уничтожения и методики оценки Группы разработки финансовых мер борьбы с отмыванием денег (ФАТФ)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позиции рейтинга соответствия Республики Казахстан Международным стандартам по противодействию отмыванию денег, финансированию терроризма и финансированию распространения оружия массового уничтожения Группы разработки финансовых мер борьбы с отмыванием денег (ФАТФ) и позиции оценщиков Евразийской группы по противодействию легализации преступных доходов и финансированию терроризма (ЕАГ)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участия заинтересованных государственных органов в пленарных заседаниях Межправительственной организации - Евразийской группы по противодействию легализации преступных доходов и финансированию терроризма, а также в заседаниях рабочих групп с предоставлением необходимых данных в сфере противодействия легализации (отмыванию) доходов, полученных незаконным путем, финансированию терроризма и финансированию распространения оружия массового уничтожения</w:t>
            </w:r>
          </w:p>
        </w:tc>
      </w:tr>
    </w:tbl>
    <w:bookmarkStart w:name="z5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273"/>
        <w:gridCol w:w="427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мировых цен на продукцию горнодобывающей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(феррахром, алюминий, цинк, медь и т.д.), а также автовозвраты НДС по «0» ставке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плана РБ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прогноза по доходам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бюджетов,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относящихся к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налоговой службы</w:t>
            </w:r>
          </w:p>
        </w:tc>
      </w:tr>
    </w:tbl>
    <w:bookmarkStart w:name="z5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3"/>
        <w:gridCol w:w="4273"/>
        <w:gridCol w:w="4273"/>
      </w:tblGrid>
      <w:tr>
        <w:trPr>
          <w:trHeight w:val="30" w:hRule="atLeast"/>
        </w:trPr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Падение мировых цен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продукцию горнодобывающей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отрасли (феррахром, алюминий, цинк, медь и т.д.), а также автовозвраты НДС по «0» ставке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Неисполнение плана РБ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налогового администрирования</w:t>
            </w:r>
          </w:p>
        </w:tc>
      </w:tr>
    </w:tbl>
    <w:bookmarkStart w:name="z5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3993"/>
        <w:gridCol w:w="429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Срыв сроков реализации проекта «Создание информационной системы по приему и обработке электронных счетов-фактур» потенциальным поставщиком</w:t>
            </w:r>
          </w:p>
        </w:tc>
        <w:tc>
          <w:tcPr>
            <w:tcW w:w="3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Нарушение срока реализации проекта «Создание информационной системы по приему и обработке электронных счетов-фактур»</w:t>
            </w:r>
          </w:p>
        </w:tc>
        <w:tc>
          <w:tcPr>
            <w:tcW w:w="4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мониторинга за соблюдением условий предусмотренных договором </w:t>
            </w:r>
          </w:p>
        </w:tc>
      </w:tr>
    </w:tbl>
    <w:bookmarkStart w:name="z5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«Внутренние риски»: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3"/>
        <w:gridCol w:w="4073"/>
        <w:gridCol w:w="4253"/>
      </w:tblGrid>
      <w:tr>
        <w:trPr>
          <w:trHeight w:val="1410" w:hRule="atLeast"/>
        </w:trPr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Нереализация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стандартов по противодействию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отмыванию денег,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 и финансированию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распространения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массового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(ГП, КНБ, АБЭКП, МВД, ВС, НБ, АСФК, МЭРТ, МЮ, МТК)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позиций в рейтинге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показателям 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международным стандартам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Группы разработки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 борьбы с отмыванием денег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(ФАТФ)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по 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институциональных мер в сфере противодействия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легализации (отмывания)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доходов, полученных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незаконным путем,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финансированию терроризма</w:t>
            </w:r>
          </w:p>
        </w:tc>
      </w:tr>
    </w:tbl>
    <w:bookmarkStart w:name="z6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33"/>
        <w:gridCol w:w="4053"/>
        <w:gridCol w:w="4273"/>
      </w:tblGrid>
      <w:tr>
        <w:trPr>
          <w:trHeight w:val="30" w:hRule="atLeast"/>
        </w:trPr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Нереализация Международных стандартов по противодействию отмыванию денег, финансированию терроризма и финансированию распространения оружия массового уничтожения соответствующими государственными органами (ГП, КНБ, АБЭКП, МВД, ВС, НБ, АСФК, МЭБП, МЮ, МТК)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Ухудшение позиций в рейтинге по показателям соответствия международным стандартам Группы разработки финансовых мер борьбы с отмыванием денег (ФАТФ)</w:t>
            </w:r>
          </w:p>
        </w:tc>
        <w:tc>
          <w:tcPr>
            <w:tcW w:w="4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реализации ключевых и базовых Международных стандартов по противодействию легализации (отмыванию) доходов, полученных незаконным путем, и финансированию терроризма и финансированию распространения оружия массового уничтожения путем внесения изменений и дополнений в действующие законы и другие нормативно-правовые акты</w:t>
            </w:r>
          </w:p>
        </w:tc>
      </w:tr>
    </w:tbl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 7</w:t>
      </w:r>
      <w:r>
        <w:rPr>
          <w:rFonts w:ascii="Times New Roman"/>
          <w:b w:val="false"/>
          <w:i w:val="false"/>
          <w:color w:val="000000"/>
          <w:sz w:val="28"/>
        </w:rPr>
        <w:t>. «Бюджетные программы»: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001 «Услуги по обеспечению исполнения и контроля за исполнением государственного бюджета»: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«Содержание штатной численности центрального аппарата Министерства финансов Республики Казахстан, комитетов и их территориальных органов» цифру «20 159» заменить цифрой «18 397»;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«Ориентировочное количество проведения социологических, аналитических исследований и оказание консалтинговых услуг»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«52 122 784» заменить цифрой «51 327 450»;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006 «Приобретение акций международных финансовых организаций»: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«2 276 632» заменить цифрой «2 300 391»;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010 «Резерв Правительства Республики Казахстан»: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«58 834 270» заменить цифрой «53 291 686»;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012 «Резерв Правительства Республики Казахстан на покрытие дефицита наличности по бюджетам»: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«Предоставление кредитов нижестоящим бюджетам на покрытие дефицита наличности при наличии решений Правительства Республики Казахстан» цифру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«100 % покрытие дефицита наличности по нижестоящим бюджетам» цифру «100»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«600 000»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013 «Обслуживание правительственного долга»: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«214 241 318» заменить цифрой «199 511 631»;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019 «Выплата курсовой разницы по льготным жилищным кредитам»: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«12 657» заменить цифрой «12 890»;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026 «Строительство объектов таможенного контроля и таможенной инфраструктуры»: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«Завершение строительства таможенного поста «Бахты» и единого контрольно-пропускного пункта Майкапчагай»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«Завершение строительства служебных жилых домов и общежитий для сотрудников таможенных постов» дополнить цифрой «17»;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в эксплуатацию новых и реконструкция действующих контрольно-пропускных пунктов на таможенных постах» дополнить цифрой «2»;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«Обеспечение жильем сотрудников таможенных органов в приграничных районах» дополнить цифрой «17»;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«0» дополнить цифрой «1 307 107»;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033 «Развитие автоматизированной интегрированной информационной системы «Электронные государственные закупки»: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«Развитие» заменить словом «Модернизация»;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«Дооснащение программно-аппаратного комплекса автоматизированной интегрированной информационной системы «Электронные государственные закупки»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2"/>
        <w:gridCol w:w="708"/>
        <w:gridCol w:w="491"/>
        <w:gridCol w:w="491"/>
        <w:gridCol w:w="491"/>
        <w:gridCol w:w="404"/>
        <w:gridCol w:w="795"/>
        <w:gridCol w:w="491"/>
        <w:gridCol w:w="557"/>
      </w:tblGrid>
      <w:tr>
        <w:trPr>
          <w:trHeight w:val="84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времени отклика Системы 5 секунд при пиковой нагрузке-одновременной работы в Системе до 24 000 клиентов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технической возможности хранения архивной информации о проведенных государственных закупках объемом не менее 115 Tb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«1 824 679» заменить цифрой «1 805 805»;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038 «Субсидирование процентной ставки вознаграждения в рамках «Программы посткризисного восстановления (оздоровление конкурентоспособных предприятий)»: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субсидируемых кредитов» цифру «30»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5"/>
        <w:gridCol w:w="708"/>
        <w:gridCol w:w="491"/>
        <w:gridCol w:w="491"/>
        <w:gridCol w:w="491"/>
        <w:gridCol w:w="491"/>
        <w:gridCol w:w="709"/>
        <w:gridCol w:w="492"/>
        <w:gridCol w:w="492"/>
      </w:tblGrid>
      <w:tr>
        <w:trPr>
          <w:trHeight w:val="990" w:hRule="atLeast"/>
        </w:trPr>
        <w:tc>
          <w:tcPr>
            <w:tcW w:w="8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посткризисного восстановления (оздоровление конкурентоспособных предприятий)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«Количество просубсидированных кредитов» цифру «30»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16"/>
        <w:gridCol w:w="708"/>
        <w:gridCol w:w="491"/>
        <w:gridCol w:w="491"/>
        <w:gridCol w:w="491"/>
        <w:gridCol w:w="491"/>
        <w:gridCol w:w="708"/>
        <w:gridCol w:w="492"/>
        <w:gridCol w:w="492"/>
      </w:tblGrid>
      <w:tr>
        <w:trPr>
          <w:trHeight w:val="1245" w:hRule="atLeast"/>
        </w:trPr>
        <w:tc>
          <w:tcPr>
            <w:tcW w:w="8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Количество участников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посткризисного восстановления (оздоровление конкурентоспособных предприятий), в отношении которых обеспечено субсидирование процентной ставки по уже имеющимся займам (кредитам) и/или лизинговым операциям, купона по облигациям, размещенным на Казахстанской фондовой бирже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040 «Строительство центров приема и обработки информации налоговых органов»: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«160 300» заменить цифрой «144 001»;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044 «Погашение простых векселей»: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«5 222 469» заменить цифрой «5 047 313»;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045 «Оплата первоначального взноса Республики Казахстан в «Антикризисный фонд ЕврАзЭС»: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«60 000 000» заменить цифрой «30 032 409»;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046 «Мониторинг реализации планов оздоровлений участников «Программы посткризисного восстановления (оздоровление конкурентоспособных предприятий)»: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«217 962» заменить цифрой «106 757»;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061 «Создание интегрированной автоматизированной информационной системы «е-Минфин»: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«Доля автоматизированных функций (бизнес-процессов) Министерства финансов Республики Казахстан из общего объема функций, утвержденных приказом Министра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27 апреля 2012 года № 221» цифру «50» заменить цифрой «60»;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«Доля зарегистрированных пользователей, удовлетворенных работой подсистем «е-Минфин» цифру «17» заменить цифрой «25»;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«1 000 000» заменить цифрой «1 447 829»;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063 «Создание, внедрение и развитие информационных систем таможенных органов»: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«Создание Интеграционной информационной системы «Единое окно по экспортно-импортным операциям» для пилотных государственных органов»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аппаратно-технического и телекоммуникационного оборудования» цифру «2»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«Лицензионное программное обеспечение»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«Ввод в пилотную эксплуатацию Интеграционной информационной системы «Единое окно по экспортно-импортным операциям» цифру «1»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«Поэтапное подключение государственных органов к Интеграционной информационной системе «Единое окно по экспортно-импортным операциям» цифру «3»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«2 576 297»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064 «Создание информационной системы «Электронные счета-фактуры»: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конечного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«Снижение расходов документооборота между субъектами бизнеса, привлеченными в пилотную зону и налоговыми органами»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2"/>
        <w:gridCol w:w="492"/>
        <w:gridCol w:w="492"/>
        <w:gridCol w:w="492"/>
        <w:gridCol w:w="492"/>
        <w:gridCol w:w="492"/>
        <w:gridCol w:w="492"/>
        <w:gridCol w:w="493"/>
        <w:gridCol w:w="493"/>
      </w:tblGrid>
      <w:tr>
        <w:trPr>
          <w:trHeight w:val="840" w:hRule="atLeast"/>
        </w:trPr>
        <w:tc>
          <w:tcPr>
            <w:tcW w:w="8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Подключение компаний, входящих в состав акционерного общества «Фонд национального благосостояния «Самрук-Казына», к ИС ЭСФ пилотной зоны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«показатели эффективности»: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5"/>
        <w:gridCol w:w="709"/>
        <w:gridCol w:w="492"/>
        <w:gridCol w:w="492"/>
        <w:gridCol w:w="492"/>
        <w:gridCol w:w="492"/>
        <w:gridCol w:w="492"/>
        <w:gridCol w:w="493"/>
        <w:gridCol w:w="493"/>
      </w:tblGrid>
      <w:tr>
        <w:trPr>
          <w:trHeight w:val="840" w:hRule="atLeast"/>
        </w:trPr>
        <w:tc>
          <w:tcPr>
            <w:tcW w:w="8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Снижение расходов документооборота между субъектами бизнеса, привлеченными в пилотную зону, и налоговыми органами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070 «Учет арендованного имущества комплекса «Байконур»: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«22 015» заменить цифрой «24 609»;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бюджетной программе 072 «Реформирование системы налогового администрирования»: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«Изучение международного опыта (учебные туры, ознакомительные поездки, семинары)» цифру «40»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«Приобретение товаров относящихся к основным средствам (спецоборудование)» цифру «1 653»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«Приобретение нематериальных активов для модернизации существующих информационных систем» цифру «571»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7"/>
        <w:gridCol w:w="1437"/>
        <w:gridCol w:w="574"/>
        <w:gridCol w:w="574"/>
        <w:gridCol w:w="575"/>
        <w:gridCol w:w="402"/>
        <w:gridCol w:w="575"/>
        <w:gridCol w:w="403"/>
        <w:gridCol w:w="403"/>
      </w:tblGrid>
      <w:tr>
        <w:trPr>
          <w:trHeight w:val="855" w:hRule="atLeast"/>
        </w:trPr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Анализ, оценка, рекомендации по совершенствованию налогового администрирования, предоставленные по этапам завершения консалтинговых услуг (технические отчеты)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8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консалтинговых услуг (заключение новых контрактов) 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контракт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«объем бюджетных расходов» цифру «1 829 961» заменить цифрой «1 084 078»;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таблице</w:t>
      </w:r>
      <w:r>
        <w:rPr>
          <w:rFonts w:ascii="Times New Roman"/>
          <w:b w:val="false"/>
          <w:i w:val="false"/>
          <w:color w:val="000000"/>
          <w:sz w:val="28"/>
        </w:rPr>
        <w:t xml:space="preserve"> «Свод бюджетных расходов»: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 цифры «1 309 149 656», «1 295 022 413», «14 127 243» заменить соответственно цифрами «1 255 652 268», «1 242 357 800», «13 24 468».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