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2e2" w14:textId="174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2013 год на повышение доступности товаров, работ и услуг для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ноября 2012 года "О республиканском бюджете на 2013 - 2015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Астаны и Алматы на 2013 год на повышение доступности товаров, работ и услуг для субъектов агропромышленного комплекса.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областей, городов Астаны и Алматы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своевременное и целевое использование выделенных сумм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представление в Министерство сельского хозяйства Республики Казахстан отчетов об использовании выделенных сумм целевых текущих трансфертов по итогам полугодия и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 1 января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872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2013 год на повышение доступности товаров, работ и услуг</w:t>
      </w:r>
      <w:r>
        <w:br/>
      </w:r>
      <w:r>
        <w:rPr>
          <w:rFonts w:ascii="Times New Roman"/>
          <w:b/>
          <w:i w:val="false"/>
          <w:color w:val="000000"/>
        </w:rPr>
        <w:t>для субъектов агропромышленного комплекса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использования целевых текущих трансфертов областными бюджетами, бюджетами городов Астаны и Алматы на 2013 год на повышение доступности товаров, работ и услуг для субъектов агропромышленного комплекса (далее -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по республиканской бюджетной программе 226 "Целевые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комплекса", подпрограмме 100 "Целевые текущие трансферты областным бюджетам, бюджетам городов Астаны и Алматы на повышение экономической доступности садовых работ" и подпрограмме 101 "Целевые текущие трансферты областным бюджетам, бюджетам городов Астаны и Алматы на повышение экономической доступности гербицидов".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Использование целевых текущих трансфертов осуществляется посредством выплаты субсидий сельхозтоваропроизводителям (далее - СХТП) по следующим направлениям: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частичное возмещение (до 40 %) стоимости затрат на закладку многолетних насаждений яблони сорта "Апорт";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удешевление (до 50 %) стоимости гербицидов.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Субсидии выплачиваются СХТП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 постановлением Правительства Республики Казахстан от 4 марта 2011 года № 221.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Финансирование и реализация мероприятий по использованию целевых текущих трансфертов будут производиться в пределах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2013 год.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Министерство сельского хозяйства Республики Казахстан (далее - Министерство), как администратор бюджетной программы, перечисляет целевые текущие трансферты областным бюджетам, бюджетам городов Астаны и Алматы в соответствии с индивидуальным планом финансирования по платежам и подписанным соглашением о результатах по целевым текущим трансфертам между акимом области и Министром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Местные исполнительные органы областей, городов Астаны и Алматы по итогам года представляют в Министерство отчет о прямых и конечных результатах, достигнутых за счет использования выделенных целевых текущих трансфертов, в соответствии с соглашениями о результатах по целевым текущим трансфертам.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Министерство представляет в Министерство финансов Республики Казахстан отчетность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отчет</w:t>
      </w:r>
      <w:r>
        <w:br/>
      </w:r>
      <w:r>
        <w:rPr>
          <w:rFonts w:ascii="Times New Roman"/>
          <w:b/>
          <w:i w:val="false"/>
          <w:color w:val="000000"/>
        </w:rPr>
        <w:t>о достижении показателей результатов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целевого трансферта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 отчета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Полученная сумма средств из вышестоящего бюджета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489"/>
        <w:gridCol w:w="2607"/>
        <w:gridCol w:w="1234"/>
        <w:gridCol w:w="1578"/>
        <w:gridCol w:w="1579"/>
        <w:gridCol w:w="1579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тысяча тенге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тысяча тенге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тысяча тенге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872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о достижении показателей результатов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целевого трансферта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 отчета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Полученная сумма средств из вышестоящего бюджета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489"/>
        <w:gridCol w:w="2607"/>
        <w:gridCol w:w="1234"/>
        <w:gridCol w:w="1578"/>
        <w:gridCol w:w="1579"/>
        <w:gridCol w:w="1579"/>
      </w:tblGrid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в тысяча тенге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в тысяча тенге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тысяча тенге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402"/>
        <w:gridCol w:w="3107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наличии))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 нижестоящего бюджета 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(фамилия, имя, отчество (при наличии))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