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e627" w14:textId="eb5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2013 года № 895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Сагинтаева Бакытжана Абдировича подписать от имени Правительства Республики Казахстан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05.08.2014 </w:t>
      </w:r>
      <w:r>
        <w:rPr>
          <w:rFonts w:ascii="Times New Roman"/>
          <w:b w:val="false"/>
          <w:i w:val="false"/>
          <w:color w:val="00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августа 2013 года № 895</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
о введении единых форм паспорта транспортного средства</w:t>
      </w:r>
      <w:r>
        <w:br/>
      </w:r>
      <w:r>
        <w:rPr>
          <w:rFonts w:ascii="Times New Roman"/>
          <w:b/>
          <w:i w:val="false"/>
          <w:color w:val="000000"/>
        </w:rPr>
        <w:t>
(паспорта шасси транспортного средства) и паспорта самоходной</w:t>
      </w:r>
      <w:r>
        <w:br/>
      </w:r>
      <w:r>
        <w:rPr>
          <w:rFonts w:ascii="Times New Roman"/>
          <w:b/>
          <w:i w:val="false"/>
          <w:color w:val="000000"/>
        </w:rPr>
        <w:t>
машины и других видов техники и организации систем</w:t>
      </w:r>
      <w:r>
        <w:br/>
      </w:r>
      <w:r>
        <w:rPr>
          <w:rFonts w:ascii="Times New Roman"/>
          <w:b/>
          <w:i w:val="false"/>
          <w:color w:val="000000"/>
        </w:rPr>
        <w:t>
электронных паспортов</w:t>
      </w:r>
    </w:p>
    <w:bookmarkEnd w:id="3"/>
    <w:p>
      <w:pPr>
        <w:spacing w:after="0"/>
        <w:ind w:left="0"/>
        <w:jc w:val="both"/>
      </w:pPr>
      <w:r>
        <w:rPr>
          <w:rFonts w:ascii="Times New Roman"/>
          <w:b w:val="false"/>
          <w:i w:val="false"/>
          <w:color w:val="ff0000"/>
          <w:sz w:val="28"/>
        </w:rPr>
        <w:t xml:space="preserve">      Сноска. Соглашение в редакции постановления Правительства РК от 05.08.2014 </w:t>
      </w:r>
      <w:r>
        <w:rPr>
          <w:rFonts w:ascii="Times New Roman"/>
          <w:b w:val="false"/>
          <w:i w:val="false"/>
          <w:color w:val="ff0000"/>
          <w:sz w:val="28"/>
        </w:rPr>
        <w:t>№ 905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в целях создания условий для обеспечения свободного обращения транспортных средств (шасси транспортных средств), самоходных машин и других видов техники на единой таможенной территории Таможенного союза и определения порядка оформления паспортов транспортных средств (паспортов шасси транспортных средств) и паспортов самоходных машин и других видов техники по единым формам</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Настоящее Соглашение регулирует следующие вопросы:</w:t>
      </w:r>
      <w:r>
        <w:br/>
      </w:r>
      <w:r>
        <w:rPr>
          <w:rFonts w:ascii="Times New Roman"/>
          <w:b w:val="false"/>
          <w:i w:val="false"/>
          <w:color w:val="000000"/>
          <w:sz w:val="28"/>
        </w:rPr>
        <w:t>
      применение единых форм паспорта транспортного средства (паспорта шасси транспортного средства) и паспорта самоходной машины и других видов техники, выдаваемых на транспортные средства (шасси транспортных средств), самоходные машины и другие виды техники, произведенные на территориях государств Сторон и подлежащие регистрации на территориях государств Сторон;</w:t>
      </w:r>
      <w:r>
        <w:br/>
      </w:r>
      <w:r>
        <w:rPr>
          <w:rFonts w:ascii="Times New Roman"/>
          <w:b w:val="false"/>
          <w:i w:val="false"/>
          <w:color w:val="000000"/>
          <w:sz w:val="28"/>
        </w:rPr>
        <w:t>
      применение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оформляемых на транспортные средства (шасси транспортных средств), самоходные машины и другие виды техники, подлежащие государственной регистрации на территориях государств Сторон.</w:t>
      </w:r>
    </w:p>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Используемые в настоящем Соглашении термины означают следующее:</w:t>
      </w:r>
      <w:r>
        <w:br/>
      </w:r>
      <w:r>
        <w:rPr>
          <w:rFonts w:ascii="Times New Roman"/>
          <w:b w:val="false"/>
          <w:i w:val="false"/>
          <w:color w:val="000000"/>
          <w:sz w:val="28"/>
        </w:rPr>
        <w:t>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 организация,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Сторон в области функций этих систем;</w:t>
      </w:r>
      <w:r>
        <w:br/>
      </w:r>
      <w:r>
        <w:rPr>
          <w:rFonts w:ascii="Times New Roman"/>
          <w:b w:val="false"/>
          <w:i w:val="false"/>
          <w:color w:val="000000"/>
          <w:sz w:val="28"/>
        </w:rPr>
        <w:t>
      «паспорт самоходной машины и других видов техники» - паспорт, выдаваемый на имеющие двигатель внутреннего сгорания с рабочим объемом свыше 50 куб. см или электродвигатель(ли) максимальной (суммарной) мощностью более 4 кВт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50 км/час) и прицепы к ним;</w:t>
      </w:r>
      <w:r>
        <w:br/>
      </w:r>
      <w:r>
        <w:rPr>
          <w:rFonts w:ascii="Times New Roman"/>
          <w:b w:val="false"/>
          <w:i w:val="false"/>
          <w:color w:val="000000"/>
          <w:sz w:val="28"/>
        </w:rPr>
        <w:t>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50 куб. см или электродвигатель(ли) максимальной (суммарной) мощностью более 4 кВт и (или) максимальную конструктивную скорость более 50 км/ч, и прицепы к ним (паспорт, выдаваемый на шасси транспортного средства в случае поставки шасси их потребителям);</w:t>
      </w:r>
      <w:r>
        <w:br/>
      </w:r>
      <w:r>
        <w:rPr>
          <w:rFonts w:ascii="Times New Roman"/>
          <w:b w:val="false"/>
          <w:i w:val="false"/>
          <w:color w:val="000000"/>
          <w:sz w:val="28"/>
        </w:rPr>
        <w:t>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 структурированные комплексы, включающие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этих системах правилам участников и пользователей, а также реализующие информационную технологию выполнения установленных функций этих систем;</w:t>
      </w:r>
      <w:r>
        <w:br/>
      </w:r>
      <w:r>
        <w:rPr>
          <w:rFonts w:ascii="Times New Roman"/>
          <w:b w:val="false"/>
          <w:i w:val="false"/>
          <w:color w:val="000000"/>
          <w:sz w:val="28"/>
        </w:rPr>
        <w:t>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 в порядке, установленном в соответствии с настоящим Соглашением;</w:t>
      </w:r>
      <w:r>
        <w:br/>
      </w:r>
      <w:r>
        <w:rPr>
          <w:rFonts w:ascii="Times New Roman"/>
          <w:b w:val="false"/>
          <w:i w:val="false"/>
          <w:color w:val="000000"/>
          <w:sz w:val="28"/>
        </w:rPr>
        <w:t>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 в порядке, установленном в соответствии с настоящим Соглашением.</w:t>
      </w:r>
    </w:p>
    <w:bookmarkStart w:name="z9"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Порядок функционирования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определяется Евразийской экономической комиссией.</w:t>
      </w:r>
      <w:r>
        <w:br/>
      </w:r>
      <w:r>
        <w:rPr>
          <w:rFonts w:ascii="Times New Roman"/>
          <w:b w:val="false"/>
          <w:i w:val="false"/>
          <w:color w:val="000000"/>
          <w:sz w:val="28"/>
        </w:rPr>
        <w:t>
      Правила оформления, структура и формат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утверждаются Евразийской экономической комиссией.</w:t>
      </w:r>
      <w:r>
        <w:br/>
      </w:r>
      <w:r>
        <w:rPr>
          <w:rFonts w:ascii="Times New Roman"/>
          <w:b w:val="false"/>
          <w:i w:val="false"/>
          <w:color w:val="000000"/>
          <w:sz w:val="28"/>
        </w:rPr>
        <w:t>
      До введения в действие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применяются единые формы паспорта транспортного средства (паспорта шасси транспортного средства), самоходной машины и других видов техники.</w:t>
      </w:r>
      <w:r>
        <w:br/>
      </w:r>
      <w:r>
        <w:rPr>
          <w:rFonts w:ascii="Times New Roman"/>
          <w:b w:val="false"/>
          <w:i w:val="false"/>
          <w:color w:val="000000"/>
          <w:sz w:val="28"/>
        </w:rPr>
        <w:t>
      Основные требования к единым формам паспорта транспортного средства (паспорта шасси транспортного средства), самоходной машины и других видов техники, порядок их заполнения и обмена сведениями о бланках паспортов транспортных средств (паспортов шасси транспортных средств) и паспортов самоходных машин и других видов техники, а также сроки начала их применения утверждаются Евразийской экономической комиссией.</w:t>
      </w:r>
      <w:r>
        <w:br/>
      </w:r>
      <w:r>
        <w:rPr>
          <w:rFonts w:ascii="Times New Roman"/>
          <w:b w:val="false"/>
          <w:i w:val="false"/>
          <w:color w:val="000000"/>
          <w:sz w:val="28"/>
        </w:rPr>
        <w:t>
      При заполнении единых форм паспорта транспортного средства (паспорта шасси транспортного средства), самоходной машины и других видов техники в строке «Особые отметки» указывается государство–член Таможенного союза, на территории которого конкретное транспортное средство (шасси транспортного средства), самоходная машина или другой вид техники предназначены для первичного обращения при подтвержденном соответствии требованиям, установленным в этом государстве–члене Таможенного союза.</w:t>
      </w:r>
      <w:r>
        <w:br/>
      </w:r>
      <w:r>
        <w:rPr>
          <w:rFonts w:ascii="Times New Roman"/>
          <w:b w:val="false"/>
          <w:i w:val="false"/>
          <w:color w:val="000000"/>
          <w:sz w:val="28"/>
        </w:rPr>
        <w:t>
      До начала применения единых форм паспорт транспортного средства (паспорта шасси транспортного средства), самоходной машины и других видов техники транспортных средств (паспорт шасси транспортных средств) оформляется в соответствии со статьей 8 настоящего Соглашения.</w:t>
      </w:r>
    </w:p>
    <w:bookmarkStart w:name="z10"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В целях реализации настоящего Соглашения формируется единый реестр уполномоченных органов (организаций) государств–членов Таможенного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единый реестр).</w:t>
      </w:r>
      <w:r>
        <w:br/>
      </w:r>
      <w:r>
        <w:rPr>
          <w:rFonts w:ascii="Times New Roman"/>
          <w:b w:val="false"/>
          <w:i w:val="false"/>
          <w:color w:val="000000"/>
          <w:sz w:val="28"/>
        </w:rPr>
        <w:t>
      Порядок формирования и ведения Единого реестра утверждается Евразийской экономической комиссией.</w:t>
      </w:r>
      <w:r>
        <w:br/>
      </w:r>
      <w:r>
        <w:rPr>
          <w:rFonts w:ascii="Times New Roman"/>
          <w:b w:val="false"/>
          <w:i w:val="false"/>
          <w:color w:val="000000"/>
          <w:sz w:val="28"/>
        </w:rPr>
        <w:t>
      Формирование и ведение единого реестра осуществляет Евразийская экономическая комиссия.</w:t>
      </w:r>
    </w:p>
    <w:bookmarkStart w:name="z11"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оформляются организациями-изготовителями транспортных средств (шасси транспортных средств), самоходных машин и других видов техники (далее - организации-изготовители), включенными в Единый реестр, на произведенные ими транспортные средства (шасси транспортных средств), самоходные машины и другие виды техники.</w:t>
      </w:r>
      <w:r>
        <w:br/>
      </w: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в случаях, предусмотренных законодательством государств Сторон, оформляются также уполномоченными органами (организациями) государств Сторон.</w:t>
      </w:r>
      <w:r>
        <w:br/>
      </w:r>
      <w:r>
        <w:rPr>
          <w:rFonts w:ascii="Times New Roman"/>
          <w:b w:val="false"/>
          <w:i w:val="false"/>
          <w:color w:val="000000"/>
          <w:sz w:val="28"/>
        </w:rPr>
        <w:t>
      Электронные паспорта транспортных средств (паспорта шасси транспортных средств) и электронные паспорта самоходных машин и других видов техники оформляются с 1 июля 2015 года уполномоченными органами (организациями) государств Сторон и организациями-изготовителями, включенными в Единый реестр, в порядке, утверждаемом Евразийской экономической комиссией.</w:t>
      </w:r>
    </w:p>
    <w:bookmarkStart w:name="z12"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Органы (организации), устанавливаемые Сторонами, определяют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 в соответствии с основными требованиями к единым формам паспорта транспортного средства (паспорта шасси транспортного средства) и паспорта самоходной машины и других видов техники и доводят их до сведения органов государств Сторон, осуществляющих государственную регистрацию транспортных средств, органов государств Сторон, осуществляющих государственную регистрацию самоходных машин и других видов техники.</w:t>
      </w:r>
    </w:p>
    <w:bookmarkStart w:name="z13"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Системы электронных паспортов транспортных средств (паспортов шасси транспортных средств), самоходных машин и других видов техники обеспечивают поддержку единой динамической информационной модели процесса оформления электронных паспортов транспортных средств (паспортов шасси транспортных средств), самоходных машин и других видов техники и реализуют информационную технологию выполнения установленных функций для удовлетворения информационных потребностей участников этих систем. Посредством указанных систем обеспечиваются единство информационного поля, единый контроль доступа, единые мероприятия по обеспечению безопасности, целостности и достоверности данных, организуются централизованное взаимодействие с участниками этих систем и органами власти, инициация дополнительных мер, необходимых для гармонизации законодательства государств Сторон на этапе оформления электронных паспортов транспортных средств (паспортов шасси транспортных средств), самоходных машин и других видов техники, единый контроль за исполнением взаимно признаваемых Сторонами обязательных требований технических регламентов, а также централизованная проверка достоверности информации, централизованный мониторинг обеспечения единства обязательных требований Сторон и применения единых форм и правил оценки соответствия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Евразийская экономическая комиссия определяет организацию одного из государств Сторон в качестве администратора систем электронных паспортов транспортных средств (паспортов шасси транспортных средств) и самоходных машин и других видов техники.</w:t>
      </w:r>
    </w:p>
    <w:bookmarkStart w:name="z14"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До начала применения единых форм паспорта транспортного средства (паспорта шасси транспортного средства), самоходной машины и других видов техники уполномоченные органы Республики Беларусь и Республики Казахстан, определяемые Сторонами, обеспечиваются уполномоченным органом Российской Федерации в порядке, определяемом Российской Стороной, необходимым количеством бланков паспортов транспортных средств (паспортов шасси транспортных средств) Российской Федерации для поставки транспортных средств (шасси транспортных средств) в Российскую Федерацию в соответствии с заявками уполномоченных органов Республики Беларусь и Республики Казахстан.</w:t>
      </w:r>
      <w:r>
        <w:br/>
      </w:r>
      <w:r>
        <w:rPr>
          <w:rFonts w:ascii="Times New Roman"/>
          <w:b w:val="false"/>
          <w:i w:val="false"/>
          <w:color w:val="000000"/>
          <w:sz w:val="28"/>
        </w:rPr>
        <w:t>
      Условием оформления паспорта транспортного средства (паспорта шасси транспортного средства) Российской Федерации является наличие одобрения типа транспортного средства или одобрения типа шасси транспортного средства, подтверждающего соответствие транспортного средства или шасси транспортного средства требованиям законодательства Российской Федерации в области технического регулирования колесных транспортных средств.</w:t>
      </w:r>
      <w:r>
        <w:br/>
      </w:r>
      <w:r>
        <w:rPr>
          <w:rFonts w:ascii="Times New Roman"/>
          <w:b w:val="false"/>
          <w:i w:val="false"/>
          <w:color w:val="000000"/>
          <w:sz w:val="28"/>
        </w:rPr>
        <w:t>
      Заполнение бланка паспорта транспортного средства (паспорта шасси транспортного средства) Российской Федерации осуществляется организациями-изготовителями Республики Беларусь и Республики Казахстан в порядке, определяемом уполномоченным органом Российской Федерации.</w:t>
      </w:r>
      <w:r>
        <w:br/>
      </w:r>
      <w:r>
        <w:rPr>
          <w:rFonts w:ascii="Times New Roman"/>
          <w:b w:val="false"/>
          <w:i w:val="false"/>
          <w:color w:val="000000"/>
          <w:sz w:val="28"/>
        </w:rPr>
        <w:t>
      Учет и контроль использования бланков паспортов транспортных средств (паспортов шасси транспортных средств) Российской Федерации осуществляют уполномоченные органы государств Сторон. Порядок осуществления обмена сведениями об использовании бланков паспортов транспортных средств (паспортов шасси транспортных средств) Российской Федерации согласовывается уполномоченными органами государств Сторон.</w:t>
      </w:r>
    </w:p>
    <w:bookmarkStart w:name="z15"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другой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bookmarkStart w:name="z16"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17"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по истечении 60 дней с даты подписания и вступает в силу по истечении 5 календарных дней после дня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заверенную копию.</w:t>
      </w:r>
    </w:p>
    <w:p>
      <w:pPr>
        <w:spacing w:after="0"/>
        <w:ind w:left="0"/>
        <w:jc w:val="both"/>
      </w:pPr>
      <w:r>
        <w:rPr>
          <w:rFonts w:ascii="Times New Roman"/>
          <w:b w:val="false"/>
          <w:i w:val="false"/>
          <w:color w:val="000000"/>
          <w:sz w:val="28"/>
        </w:rPr>
        <w:t>Совершено в городе «___» _____________ 20___ года в одном подлинном экземпляре на русском языке.</w:t>
      </w:r>
    </w:p>
    <w:tbl>
      <w:tblPr>
        <w:tblW w:w="0" w:type="auto"/>
        <w:tblCellSpacing w:w="0" w:type="auto"/>
        <w:tblBorders>
          <w:top w:val="none"/>
          <w:left w:val="none"/>
          <w:bottom w:val="none"/>
          <w:right w:val="none"/>
          <w:insideH w:val="none"/>
          <w:insideV w:val="none"/>
        </w:tblBorders>
      </w:tblPr>
      <w:tblGrid>
        <w:gridCol w:w="4380"/>
        <w:gridCol w:w="4380"/>
        <w:gridCol w:w="4380"/>
      </w:tblGrid>
      <w:tr>
        <w:trPr>
          <w:trHeight w:val="30" w:hRule="atLeast"/>
        </w:trPr>
        <w:tc>
          <w:tcPr>
            <w:tcW w:w="4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