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d5b2" w14:textId="e99d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Пенсионных правил единого накопительного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2013 года № 984.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21 июня 2013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Пенсионные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накопительного пенсионного фонда (далее -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который вводится и действие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2013 года № 984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Пенсионные правила</w:t>
      </w:r>
      <w:r>
        <w:br/>
      </w:r>
      <w:r>
        <w:rPr>
          <w:rFonts w:ascii="Times New Roman"/>
          <w:b/>
          <w:i w:val="false"/>
          <w:color w:val="000000"/>
        </w:rPr>
        <w:t>единого накопительного пенсионного фонда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Пенсионные правила единого накопительного пенсионного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(далее – Закон) и устанавливают особенности правоотношений между единым накопительным пенсионным фондом (далее – ЕНПФ) 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вкладчиком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физическим лицом, за которое перечисляются обязательные профессиональные пенсионные взносы;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получателем пенсионных выплат за счет обязательных пенсионных взносов и (или) обязательных профессиональных пенсионных взносов (далее – получатель пенсионных выплат);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агентом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уплате обязательных профессиональных пенсионных взносов.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Обязательные пенсионные взносы подлежат уплате по ставкам,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агентами по уплате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агентами по уплате обязательных профессиональных пенсионных взносов (далее – агент).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пенсионные взносы и обязательные профессиональные пенсионные взносы уплачиваются в национальной валюте Республики Казахстан. Обязательные пенсионные взносы не могут быть уплачены в пользу других лиц.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 сроки исчисления, удержания (начисления) и перечисления обязательных пенсионных взносов и обязательных профессиональных пенсионных взносов и взыскания по ним, а также осуществления пенсионных выплат за счет обязательных пенсионных взносов и обязательных профессиональных пенсионных взносов из ЕНПФ </w:t>
      </w:r>
      <w:r>
        <w:rPr>
          <w:rFonts w:ascii="Times New Roman"/>
          <w:b w:val="false"/>
          <w:i w:val="false"/>
          <w:color w:val="000000"/>
          <w:sz w:val="28"/>
        </w:rPr>
        <w:t>устанавливаются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договора о пенсионном обеспечении за счет обязательных пенсионных взносов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ЕНПФ осуществляет привлечение обязательных пенсионных взносов и выплаты пенсионных накоплений за счет обязательных пенсионных взносов.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Договор о пенсионном обеспечении за счет обязательных пенсионных взносов является договором присоединения, условия которого утверждаются ЕНПФ и размещаются на интернет-ресурсе ЕНПФ.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 пенсионном обеспечении за счет обязательных пенсионных взносов устанавливает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иные особенности правоотношений между ЕНПФ, вкладчиком обязательных пенсионных взносов (получателем пенсионных выплат за счет обязательных пенсионных взносов).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постановлением Правительства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Обязательные пенсионные взносы зачисляются на открытые индивидуальные пенсионные счета вкладчиков обязательных пенсионных взносов. В случае отсутствия у физического лица в ЕНПФ открытого индивидуального пенсионного счета для учета обязательных пенсионных взносов, индивидуальный пенсионный счет открывается на основании поступивших из Государственной корпорации "Правительство для граждан" (далее – Государственная корпорация) списков физических лиц, в пользу которых перечисляются обязательные пенсионные взносы в порядке, определяемом Правительством Республики Казахстан.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 о реквизитах действующего документа, удостоверяющего личность физического лица, выданного уполномоченным органом Республики Казахстан, о его регистрации по месту жительства в Республике Казахстан, ЕНПФ получает из соответствующих государственных информационных систем.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постановлением Правительства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Вкладчик считается присоединившимся к договору о пенсионном обеспечении за счет обязательных пенсионных взносов, обязательных профессиональных пенсионных взносов со дня получения единым накопительным пенсионным фондом электронного уведомления Государственной корпорации о внесении сведений о договоре о пенсионном обеспечении за счет обязательных пенсионных взносов, обязательных профессиональных пенсионных взносов в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взносов. (далее – единый список).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заключения договора о пенсионном обеспечении за счет обязательных профессиональных пенсионных взносов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ЕНПФ осуществляет привлечение обязательных профессиональных пенсионных взносов и выплаты пенсионных накоплений за счет обязательных профессиональных пенсионных взносов.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 о пенсионном обеспечении за счет обязательных профессиональных пенсионных взносов является договором присоединения, условия которого утверждаются ЕНПФ и размещаются на интернет-ресурсе ЕНПФ.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 пенсионном обеспечении за счет обязательных профессиональных пенсионных взносов устанавливает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иные особенности правоотношений между ЕНПФ, физическим лицом, за которое перечисляются обязательные профессиональные пенсионные взносы (получателем пенсионных выплат за счет обязательных профессиональных пенсионных взносов), и агентом.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договора о пенсионном обеспечении за счет обязательных профессиональных пенсионных взносов (договор присоединения) осуществляется путем подписания агентом и физическим лицом, за которое перечисляются обязательные профессиональные пенсионные взносы,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открытии индивидуального пенсионного счета по учету обязательных профессиональных пенсионных взносов по форме, утвержденной внутренним документом ЕНПФ, которое размещается на интернет-ресурсе ЕНПФ.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Агент и физическое лицо, за которое перечисляются обязательные профессиональные пенсионные взносы, считаются присоединившимися к договору о пенсионном обеспечении за счет обязательных профессиональных пенсионных взносов со дня получения ЕНПФ электронного уведомления от Государственной корпорации о внесении сведений о договоре о пенсионном обеспечении за счет обязательных профессиональных пенсионных взносов в единый список.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ранее заключенного договора о пенсионном обеспечении за счет обязательных профессиональных пенсионных взносов физическое лицо, за которое перечисляются обязательные профессиональные пенсионные взносы, и новый агент подписывают заявление о присоединении к договору о пенсионном обеспечении за счет обязательных профессиональных пенсионных взносов по форме, которая определяется внутренними документами ЕНПФ, без открытия нового индивидуального пенсионного счета по учету обязательных профессиональных пенсионных взносов.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Обязательные профессиональные пенсионные взносы, инвестиционный доход, пеня и иные поступления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пенсионном обеспечении, поступившие в рамках заявления, указанного в части первой пункта 13 настоящих Правил, учитываются на ранее открытом индивидуальном пенсионном счете по учету обязательных профессиональных пенсионных взносов.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информирования вкладчика обязательных пенсионных взносов, физического лица, за которое перечисляются обязательные профессиональные пенсионные взносы, или получателя пенсионных выплат о состоянии пенсионных накоплений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состоянии пенсионных накоплений за счет обязательных пенсионных взносов и (или) обязательных профессиональных пенсионных взносов на любую дату, запрашиваемую вкладчиком обязательных пенсионных взносов, физическим лицом, за которое перечисляются обязательные профессиональные пенсионные взносы, или получателем пенсионных выплат предоставляется ЕНПФ с даты открытия индивидуального пенсионного счета по учету обязательных пенсионных взносов и (или) обязательных профессиональных пенсионных взносов в ЕНПФ.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Предоставление ЕНПФ вкладчику обязательных пенсионных взносов, физическому лицу, за которое перечисляются обязательные профессиональные пенсионные взносы, или получателю пенсионных выплат информации о состоянии пенсионных накоплений осуществляется без взимания платы.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состоянии пенсионных накоплений за счет обязательных пенсионных взносов и (или) обязательных профессиональных пенсионных взносов, в том числе в рамках ежегодного информирования, предоставляемая ЕНПФ вкладчику обязательных пенсионных взносов, физическому лицу, за которое перечисляются обязательные профессиональные пенсионные взносы, или получателю пенсионных выплат, включает сведения о: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сумме пенсионных накоплений по состоянию на начало и конец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сумме начисленного инвестиционного дохода по состоянию на начало и конец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величине </w:t>
      </w:r>
      <w:r>
        <w:rPr>
          <w:rFonts w:ascii="Times New Roman"/>
          <w:b w:val="false"/>
          <w:i w:val="false"/>
          <w:color w:val="000000"/>
          <w:sz w:val="28"/>
        </w:rPr>
        <w:t>комиссионного вознаграждения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инвестиционного дохода и пенсионных активов, утвержденной правлением Национального Банка Республики Казахстан и действующей на конец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сумме пенсионных взносов, пени, переводов, выплат пенсионных накоплений и (или) удержанного индивидуального подоходного налога с указанием дат в течение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иных операций, отражающихся на индивидуальном пенсионном счете по учету обязательных пенсионных взносов или обязательных профессиональных пенсионных взносов, с указанием дат в течение запрашиваемого периода.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Информирование осуществляется ЕНПФ одним из нижеуказанных способов, выбранных вкладчиком обязательных пенсионных взносов, физическим лицом, за которое перечисляются обязательные профессиональные пенсионные взносы, или получателем пенсионных выплат: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электронным: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электронной почты на адрес, представленный в ЕНПФ;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личного кабинета с использованием электронной цифровой подписи или логина пользователя и пароля;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вкладчика обязательных пенсионных взносов, физического лица, за которое перечисляются обязательные профессиональные пенсионные взносы, или получателя пенсионных выплат непосредственно в ЕНПФ;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услуг почтовой связи.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вкладчиком обязательных пенсионных взносов не выбран способ информирования о состоянии пенсионных накоплений, информирование осуществляется ЕНПФ при личном обращении.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При открытии в ЕНПФ индивидуального пенсионного счета для учета обязательных пенсионных взносов в соответствии с пунктом 7-1 настоящих Правил, способ предоставления ЕНПФ информации о состоянии пенсионных накоплений за счет обязательных пенсионных взносов автоматически определяется как "при личном обращении в ЕНПФ", который вкладчик обязательных пенсионных взносов вправе изменить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постановлением Правительства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Информирование о состоянии пенсионных накоплений, в том числе ежегодное обязательное информирование за истекший год, вкладчика обязательных пенсионных взносов или получателя пенсионных выплат за счет обязательных пенсионных взносов по договорам о пенсионном обеспечении за счет обязательных пенсионных взносов, заключенным до утверждения настоящих Правил, осуществляется ЕНПФ способом, указанным в электронных форматах, переданных ЕНПФ в порядке, установленном нормативным правовым актом уполномоченного органа, осуществляющего государственное регулирование, контроль и надзор финансового рынка и финансовых организаций, за исключением информирования посредством платежной карточки.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Способ передачи ЕНПФ информации о состоянии пенсионных накоплений за счет обязательных профессиональных пенсионных взносов определяется по соглашению с физическим лицом, за которое перечисляются обязательные профессиональные пенсионные взносы, в рамках заявления об открытии индивидуального пенсионного счета для учета обязательных профессиональных пенсионных взносов.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вкладчиком обязательных пенсионных взносов, физическим лицом, за которое перечисляются обязательные профессиональные пенсионные взносы, или получателем пенсионных выплат способа информирования о состоянии пенсионных накоплений за счет обязательных пенсионных взносов и (или) обязательных профессиональных пенсионных взносов, новый способ информирования определяется отдельным соглашением, форма которого определяется в соответствии с внутренними документами ЕНПФ.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способе передачи информации о состоянии пенсионных накоплений за счет обязательных пенсионных взносов либо, если передача определена способом, предусматривающим оповещение посредством платежной карточки, предоставление информации о состоянии пенсионных накоплений за счет обязательных пенсионных взносов за истекший год осуществляется при личном обращении вкладчика обязательных пенсионных взносов или получателя пенсионных выплат за счет обязательных пенсионных взносов непосредственно в ЕНПФ.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Правительства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Ежегодное обязательное информирование вкладчика обязательных пенсионных взносов, физического лица, за которое перечисляются обязательные профессиональные пенсионные взносы, или получателя пенсионных выплат о состоянии их пенсионных накоплений не осуществляется ЕНПФ в случаях: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денег на индивидуальном пенсионном счете по учету обязательных пенсионных взносов и (или) обязательных профессиональных пенсионных взносов по состоянию на 1 января текущего года;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неуведомления вкладчиком обязательных пенсионных взносов, физическим лицом, за которое перечисляются обязательные профессиональные пенсионные взносы, или получателем пенсионных выплат ЕНПФ об изменении места жительства, установленного в результате возврата в ЕНПФ информации о состоянии пенсионных накоплений за счет обязательных пенсионных взносов и (или) обязательных профессиональных пенсионных взносов за предыдущий год по причине отсутствия адресата по указанному адресу;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ЕНПФ из информационных систем государственных органов и (или) иных источников сведений: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смерти лица, имеющего пенсионные накопления в ЕНПФ;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на постоянное местожительства за пределы Республики Казахстан;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неполного (некорректного) почтового и электронного адреса, установленного в результате возврата в ЕНПФ информации о состоянии пенсионных накоплений;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выбора способа информирования при личном обращении непосредственно в ЕНПФ и посредством личного кабинета.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уведомления вкладчиком обязательных пенсионных взносов, физическим лицом, за которое перечисляются обязательные профессиональные пенсионные взносы, или получателем пенсионных выплат обо всех изменениях, влияющих на выполнение обязательств ЕНПФ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Вкладчик обязательных пенсионных взносов, физическое лицо, за которое перечисляются обязательные профессиональные пенсионные взносы, или получатель пенсионных выплат уведомляют ЕНПФ или Государственную корпорацию обо всех изменениях, влияющих на выполнение обязательств ЕНПФ, в течение десяти календарных дней с даты таких изменений. К изменениям, влияющим на выполнение обязательств ЕНПФ, относятся: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адреса места жительства, электронного адреса (e-mail) вкладчика обязательных пенсионных взносов, физического лица, за которое перечисляются обязательные профессиональные пенсионные взносы, указанных в заявлении об открытии индивидуального пенсионного счета по учету обязательных пенсионных взносов и (или) обязательных профессиональных пенсионных взносов или договоре о пенсионном обеспечении за счет обязательных пенсионных взносов, в случае, если договор о пенсионном обеспечении за счет обязательных пенсионных взносов заключен до утверждения настоящих Правил, либо отдельном заявлении, форма которого определяется в соответствии с внутренними документами ЕНПФ;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банковских реквизитов получателя пенсионных выплат, указанных в заявлении о назначении пенсионных выплат.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постановлением Правительства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Вкладчик обязательных пенсионных взносов, физическое лицо, за которое перечисляются обязательные профессиональные пенсионные взносы, или получатель пенсионных выплат в целях изменения реквизитов,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обращается в ЕНПФ с документом, удостоверяющим личность, и заявлением по форме, утвержденной внутренними документами ЕНПФ, либо посредством интернет-ресурса ЕНПФ для внесения изменений,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наличии электронной цифровой подписи.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пенсионных выплат, подавший заявление о назначении пенсионных выплат в Государственную корпорацию, уведомляет Государственную корпорацию об изменении банковских реквизитов в течение десяти календарных дней с даты таких изменений.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постановления Правительства РК от 08.05.2019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Рассмотрение ЕНПФ обращений по вопросам пенсионного обеспечения осуществляется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47"/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Настоящие Правила, изменения и дополнения к ним, а также обновленная редакция настоящих Правил размещаются на интернет-ресурсе ЕНПФ и филиалах ЕНПФ в доступном для обозрения месте.</w:t>
      </w:r>
    </w:p>
    <w:bookmarkEnd w:id="48"/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Договоры о пенсионном обеспечении за счет обязательных пенсионных взносов, заключенные вкладчиками обязательных пенсионных взносов (получателями пенсионных выплат за счет обязательных пенсионных взносов)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действуют в части, не противоречащей настоящим Правилам.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Вкладчики обязательных пенсионных взносов (получатели пенсионных выплат за счет обязательных пенсионных взносов), заключившие договоры о пенсионном обеспечении за счет обязательных пенсионных взносов до утверждения настоящих Правил, считаются присоединившимися к договору присоединения со дня открытия индивидуального пенсионного счета по учету обязательных пенсионных взносов в ЕНПФ.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Пенсионным правилам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894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Пенсионным правилам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148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