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15d02" w14:textId="6215d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изменений и дополнений в Соглашение о развитии выставочно-ярмарочной и конгрессной деятельности в Содружестве Независимых Государств от 26 мая 1995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ноября 2013 года № 1244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внесении изменений и дополнений в Соглашение о развитии выставочно-ярмарочной и конгрессной деятельности в Содружестве Независимых Государств от 26 мая 1995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Подписать Протокол о внесении изменений и дополнений в Соглашение о развитии выставочно-ярмарочной и конгрессной деятельности в Содружестве Независимых Государств от 26 мая 1995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18 ноября 2013 года № 1244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и дополнений в Соглашение о развитии</w:t>
      </w:r>
      <w:r>
        <w:br/>
      </w:r>
      <w:r>
        <w:rPr>
          <w:rFonts w:ascii="Times New Roman"/>
          <w:b/>
          <w:i w:val="false"/>
          <w:color w:val="000000"/>
        </w:rPr>
        <w:t>
выставочно-ярмарочной и конгрессной деятельности в</w:t>
      </w:r>
      <w:r>
        <w:br/>
      </w:r>
      <w:r>
        <w:rPr>
          <w:rFonts w:ascii="Times New Roman"/>
          <w:b/>
          <w:i w:val="false"/>
          <w:color w:val="000000"/>
        </w:rPr>
        <w:t>
Содружестве Независимых Государств от 26 мая 1995 года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Правительства государств-участников Соглашения о развитии выставочно-ярмарачной и конгрессной деятельности в Содружестве независимых Государств от 26 мая 1995 года (с изменениями от 23 мая 2008 года) (далее – Соглашение),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Межгосударственном совете по выставочно-ярмарочной и конгрессной деятельности Содружества Независимых Государств: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разделе I</w:t>
      </w:r>
      <w:r>
        <w:rPr>
          <w:rFonts w:ascii="Times New Roman"/>
          <w:b w:val="false"/>
          <w:i w:val="false"/>
          <w:color w:val="000000"/>
          <w:sz w:val="28"/>
        </w:rPr>
        <w:t xml:space="preserve">. Общие положения: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пункты 3 и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Совет является органом отраслевого сотрудничества СНГ в области выставочно-ярмарочной и конгрессной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Совет подотчетен в своей деятельности Совету глав правительств СНГ.»;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5, 6, 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Совет руководствуется в своей деятельности Уставом Содружества Независимых Государств, решениями Совета глав государств, Совета глав правительств, Экономического совета СНГ, международными договорами и решениями, принятыми в рамках Содружества,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Совет организует и координирует исполнение решений, принятых Советом глав государств, Советом глав правительств, Советом министров иностранных дел и Экономическим советом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Совет взаимодействует с Исполнительным комитетом СНГ, другими органами Содружества, при необходимости с секретариатами других международных организаций, а также органами государственной власти государств-участников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Совет ежегодно представляет в Исполнительный комитет СНГ информацию о своей деятельности.»;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разделе III</w:t>
      </w:r>
      <w:r>
        <w:rPr>
          <w:rFonts w:ascii="Times New Roman"/>
          <w:b w:val="false"/>
          <w:i w:val="false"/>
          <w:color w:val="000000"/>
          <w:sz w:val="28"/>
        </w:rPr>
        <w:t>. Органы управления: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состав Совета с правом совещательного голоса могут входить руководители секретариатов органов отраслевого сотрудничества, а также представители Исполнительного комитета СНГ.»;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Совет возглавляет председатель, который организует его работу.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Председательство в Совете осуществляется поочередно каждым членом Совета на основе принципа ротации в порядке русского алфавита названий государств-участников Соглашения, как правило, на срок не более одного года, если иное не будет установлено решением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Предшествующий и последующий председатели Совета являются его сопредседателями.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временного отсутствия председателя Совета, его обязанности возлагаются на одного из сопредседателей.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 Совета входит Исполнительный директор Исполнительной дирекции Совета, который является заместителем председателя Совета. Функции заместителя председателя Совета определяются решением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представляет Совет на заседаниях Совета глав государств, Совета глав правительств, Экономического совета СНГ, а также в отношениях с государствами-участниками СНГ по вопросам, связанным с деятельностью Совета.»;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6, 7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Организационно-техническое и информационное обеспечение деятельности Совета осуществляется Исполнительной дирекцией Совета, возглавляемой Исполнительным директором.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Исполнительный директор назначается и освобождается Советом по представлению председателя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Исполнительная дирекция организует выполнение решений Совета, плана его работы, по поручению председателя Совета решает другие вопросы, входящие в компетенцию деятельности Совета.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Положение об Исполнительной дирекции, ее структуре, смета расходов и численность работников утверждаются Советом.»;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Финансирование деятельности Исполнительной дирекции Совета осуществляется за счет внебюджетных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Расходы, связанные с финансированием проведения заседаний Совета, осуществляются за счет соответствующих органов государственной власти принимающего государства-участника Соглашения. Расходы на командирование членов Совета и участников заседания осуществляются направляющими органами государственной власти и организациями государств-участников Соглашения.».</w:t>
      </w:r>
    </w:p>
    <w:bookmarkEnd w:id="5"/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Протокол вступает в силу с даты получения депозитарием последнего уведомления о выполнении Сторонами внутригосударственных процедур, необходимых для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________________ « __ » _____ 20 __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настоящий Протокол, его заверенную копию.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294"/>
        <w:gridCol w:w="6546"/>
      </w:tblGrid>
      <w:tr>
        <w:trPr>
          <w:trHeight w:val="30" w:hRule="atLeast"/>
        </w:trPr>
        <w:tc>
          <w:tcPr>
            <w:tcW w:w="8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Азербайджанской Республики</w:t>
            </w:r>
          </w:p>
        </w:tc>
        <w:tc>
          <w:tcPr>
            <w:tcW w:w="6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 Федерации</w:t>
            </w:r>
          </w:p>
        </w:tc>
      </w:tr>
      <w:tr>
        <w:trPr>
          <w:trHeight w:val="30" w:hRule="atLeast"/>
        </w:trPr>
        <w:tc>
          <w:tcPr>
            <w:tcW w:w="8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Армения</w:t>
            </w:r>
          </w:p>
        </w:tc>
        <w:tc>
          <w:tcPr>
            <w:tcW w:w="6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Таджикистан</w:t>
            </w:r>
          </w:p>
        </w:tc>
      </w:tr>
      <w:tr>
        <w:trPr>
          <w:trHeight w:val="30" w:hRule="atLeast"/>
        </w:trPr>
        <w:tc>
          <w:tcPr>
            <w:tcW w:w="8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Беларусь</w:t>
            </w:r>
          </w:p>
        </w:tc>
        <w:tc>
          <w:tcPr>
            <w:tcW w:w="6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Туркменистана</w:t>
            </w:r>
          </w:p>
        </w:tc>
      </w:tr>
      <w:tr>
        <w:trPr>
          <w:trHeight w:val="540" w:hRule="atLeast"/>
        </w:trPr>
        <w:tc>
          <w:tcPr>
            <w:tcW w:w="8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6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Узбекистан</w:t>
            </w:r>
          </w:p>
        </w:tc>
      </w:tr>
      <w:tr>
        <w:trPr>
          <w:trHeight w:val="30" w:hRule="atLeast"/>
        </w:trPr>
        <w:tc>
          <w:tcPr>
            <w:tcW w:w="8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 Республики</w:t>
            </w:r>
          </w:p>
        </w:tc>
        <w:tc>
          <w:tcPr>
            <w:tcW w:w="6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Украины</w:t>
            </w:r>
          </w:p>
        </w:tc>
      </w:tr>
      <w:tr>
        <w:trPr>
          <w:trHeight w:val="30" w:hRule="atLeast"/>
        </w:trPr>
        <w:tc>
          <w:tcPr>
            <w:tcW w:w="82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Молдова</w:t>
            </w:r>
          </w:p>
        </w:tc>
        <w:tc>
          <w:tcPr>
            <w:tcW w:w="6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