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945f" w14:textId="2a89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января 2011 года № 52 "Об утверждении Стратегии развития акционерного общества "Национальный управляющий холдинг "КазАгро" на 2011 - 2020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2013 года № 1414. Утратило силу постановлением Правительства Республики Казахстан от 4 февраля 2020 года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04.02.2020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52 "Об утверждении Стратегии развития акционерного общества "Национальный управляющий холдинг "КазАгро" на 2011 – 2020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Стратегию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"Национальный управляющий холдинг "КазАгро" на 2011 – 2020 годы",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2013 года № 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января 2011 года № 52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 развития</w:t>
      </w:r>
      <w:r>
        <w:br/>
      </w:r>
      <w:r>
        <w:rPr>
          <w:rFonts w:ascii="Times New Roman"/>
          <w:b/>
          <w:i w:val="false"/>
          <w:color w:val="000000"/>
        </w:rPr>
        <w:t>акционерного общества "Национальный управляющий</w:t>
      </w:r>
      <w:r>
        <w:br/>
      </w:r>
      <w:r>
        <w:rPr>
          <w:rFonts w:ascii="Times New Roman"/>
          <w:b/>
          <w:i w:val="false"/>
          <w:color w:val="000000"/>
        </w:rPr>
        <w:t>холдинг "КазАгро" на 2011–2020 годы</w:t>
      </w:r>
      <w:r>
        <w:br/>
      </w:r>
      <w:r>
        <w:rPr>
          <w:rFonts w:ascii="Times New Roman"/>
          <w:b/>
          <w:i w:val="false"/>
          <w:color w:val="000000"/>
        </w:rPr>
        <w:t>1. Анализ текущего состояния</w:t>
      </w:r>
      <w:r>
        <w:br/>
      </w:r>
      <w:r>
        <w:rPr>
          <w:rFonts w:ascii="Times New Roman"/>
          <w:b/>
          <w:i w:val="false"/>
          <w:color w:val="000000"/>
        </w:rPr>
        <w:t>Анализ внешней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аграрный сектор Казахстана характеризуется низкой производительностью труда, обусловленной невысокой урожайностью сельскохозяйственных культур и продуктивностью сельскохозяйственных животных, использованием устаревших технологий, выпуском продукции с низкой добавленной стоимостью, слабой инновационной активностью субъектов отрасли. Отрасль нуждается в обновлении сельскохозяйственной техники (далее – сельхозтехники), уровень износа которой достигает 80 процентов (далее – %.). Большая часть сельхозтехники произведена до 1991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посевные площади в республике отводятся под зерновые культуры, из них порядка 85 % или около 13 миллионов (далее – млн.) гектар (далее – га) занимает пшеница. Объемы производства пшеницы превышают уровень национального потребления, а избыток экспортируется по сложившейся среднемировой цене. Основными экспортными рынками сбыта являются страны Содружества Независимых Государств (далее – СНГ), Европейского Союза, Ближнего Востока и Северной Африки. Отрасль развивается в условиях роста конкуренции со стороны России и Украины. Перспективным направлением экспорта является рынок Китайской Народной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доступности сельскохозяйственных товаропроизводителей (далее – СХТП) к финансированию весенне-полевых и уборочных работ, обеспечения гарантированного сбыта зерна в осенний период, выработки единой экспортной политики и развития инфраструктуры хранения и экспортной перевалки зерна с участием акционерного общества "Национальная компания "Продовольственная контрактная корпорация" (далее – АО "НК "Продкорпорация") создан Единый зерновой холдинг.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Отечественное производство овощей, картофеля, бахчевых культур удовлетворяет потребности населения. Однако наблюдается высокая импортозависимость по фруктам, винограду.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животноводстве наблюдается устойчивый рост поголовья всех видов скота в сельскохозяйственных формированиях (далее – сельхозформирования). Однако низкий удельный вес племенного поголовья по разным видам животных, концентрация основного поголовья скота в хозяйствах населения, слабая репродуктивная база для быстрого воспроизводства высокопродуктивного скота и птицы сдерживают рост производства в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генетического потенциала, стимулирование внедрения современных технологий содержания и воспроизводств скота, освоение пастбищных земель позволяют производить экологически чистую животноводческую продукции, востребованную на мировом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Перерабатывающая промышленность Казахстана характеризуется ростом конкуренции с производителями из стран Таможенного Союза. Отрицательно на конкурентоспособность отечественных производителей продуктов питания влияют низкое качество сырья, непригодного к промышленной переработке, неразвитость инфраструктуры заготовки и доставки сырья, транспортировки, хранения и реализации сырья, устаревшее оборудование, монополизм торговых сетей, недостаток оборотных средств на сезонный закуп сырья, наличие на внутреннем рынке дешевой недоброкачественной импортной продукции. В республике наблюдается высокая доля импортной продукции на рынках мясомолочных, масложировых продуктов и плодовоовощных консервов.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агропромышленный комплекс (далее – АПК) Казахстана за последние годы характеризуется ростом валового производства сельскохозяйственной продукции (далее – сельхозпродукции) и основных производственных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Относительно низкие в сравнении с мировыми показателями уровень производительности труда, урожайность в растениеводстве, продуктивность в животноводстве, наличие обширных сельскохозяйственных земель создают потенциал для интенсивного развития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роста мирового спроса на продовольствие, нереализованный потенциал АПК Казахстана является важным стимулирующим фактором для роста инвестиций в отрасли сельского хозяйства и переработки, что позволит Казахстану войти в число ведущих мировых производителей продовольствия.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инновационного развития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мировой практики успешного ведения сельского хозяйства показывает, что улучшение результатов сельскохозяйственного производства (далее – сельхозпроизводства) достигается за счет внедрения инноваций. При этом задачи инновационного развития решаются за счет генерирования инноваций на собственной исследовательской базе (США, Франция, Германия), за счет трансферта и адаптации зарубежных технологий (Аргентина, Австралия, Китай) либо путем комбинирования предыдущих двух подходов, то есть трансферта технологий с одновременным развитием собственной научной базы (Бразилия, Канада, Южная Корея, Япония).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мирового опыта, окружающих условий и имеющихся ресурсов в Казахстане в качестве оптимального подхода к развитию инноваций в сельском хозяйстве определено сочетание трансферта зарубежных технологий с собственными научными исследованиями.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акционерного общества "Национальный управляющий холдинг "КазАгро" (далее – холдинг) в реализации инновационной политики в области сельского хозяйства будет осуществляться через преимущественное финансирование инвестиционных проектов инновационного характера, а также внедрение и развитие инноваций в деятельности холдинга и его дочерних акционерных обществ (далее – ДАО).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потребителей услуг холдинга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финансовым ресурсам является важнейшим компонентом устойчивости развития АПК. В настоящее время в льготном финансировании различных форм нуждаются практически все субъекты аграрного производства. В сельском хозяйстве в 2009 году функционировало 175636 сельхозформирований, из них: государственные предприятия – 35 единиц (далее – ед.), негосударственные предприятия – 5408 ед., крестьянские (фермерские) хозяйства – 170193 ед. Количество хозяйств населения на конец 2009 года составляло 2248000 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начало 2009 года 1792,9 тысяч (далее – тыс.) человек самостоятельно занятого и 236,1 тыс. человек безработной части сельского населения по уровню доходов и имеющемуся хозяйственному опыту рассматриваются как приоритетные целевые социальные группы при реализации программы микрокредитования на селе.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основными проблемами значительной части потребителей услуг ДАО холдинга, препятствующими их полноценному финансированию, являются высокие риски, связанные с низкой эффективностью осуществления сельскохозяйственной деятельности, недостаточным уровнем качества предлагаемого залогового имущества, мелкотоварностью сельхозпроизводства, влияющей на размер активов и объемов производства.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конкурентной среды холдинга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Конкурентами ДАО холдинга в оказании услуг субъектам АПК выступают банки второго уровня (далее – БВУ), лизинговые компании, микрофинансовые организации (далее – МФО), институты развития и социально-предпринимательские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Ключевыми конкурентными преимуществами ДАО холдинга по сравнению с другими участниками рынка являются более низкая стоимость кредитования и лизингового финансирования сельхозтоваропроизводителей и более длительные сроки финансирования, обусловленные возможностью привлечения государственных средств на поддержку АПК и относительно "дешевых" заимствований с внутренних и внешних рынков капитала.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Существенным отличием ДАО холдинга от БВУ является концентрация кредитных ресурсов в АПК, что обуславливает высокое влияние отраслевых рисков на кредитную деятельность ДАО холдинга.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рынка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в 2009 году выдано кредитов сельскому хозяйству в сумме 281,8 миллиардов (далее – млрд.) тенге из 7644 млрд. тенге ссудного портфеля БВУ.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динамика изменения доли кредитов сельскому хозяйству по отношению к совокупному кредитному портфелю БВУ показывает отрицательную тенденцию. По данным Национального Банка Республики Казахстан с 2003 по 2006 годы этот показатель сократился с 12 % до 4,4 %, в 2009 году сократился до 3,69 % от общей суммы выданных кредитов экономике.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95 % кредитов выдается юридическим лицам, представленным крупными и средними СХТП, и лишь 4 % кредитов предоставляется крестьянским (фермерским) хозяйствам.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ставка кредитования БВУ составляет 15–22 %, жесткие требования к залоговой базе являются невыполнимыми для большинства субъектов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кредитного портфеля БВУ преобладают краткосрочные кредиты, что свидетельствует о низком уровне доверия к отрасли со стороны банковского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совокупном объеме ссудного портфеля в аграрной отрасли на долю ДАО холдинга приходится половина всех выданных займов. Клиентами ДАО холдинга ежегодно выступают порядка 22–25 тыс. заемщиков. При этом основную категорию заемщиков (более 98%) составляют представители малого и среднего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"Аграрная кредитная корпорация" (далее – АО "Аграрная кредитная корпорация") осуществляет кредитование СХТП через кредитные товарищества (далее – КТ) с процентной ставкой вознаграждения в среднем до 8–9 % годовых для конечных заемщиков (4 % – маржа АО "Аграрная кредитная корпорация", 4–5% – КТ). Объединения СХТП кредитуются с процентной ставкой вознаграждения до 5 % годовых. Требования к залоговой базе заемщиков более щадящие, чем в БВУ и учитывают особенности ликвидности имеющегося у СХТП имущества. Всего в 2009 году АО "Аграрная кредитная корпорация" прокредитовано 153 КТ на сумму 11192,7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в сельской местности создано 161 КТ, в состав которых вошли 6,7 тыс. СХТП. Продолжается работа по стимулированию объединений мелких СХТП (далее – объединения) для ведения совместного производства. В 2009 году прокредитовано 27 объединений на сумму 737,6 млн. тенге. В состав объединений вошли 471 участник, из них 169 СХТП и 302 личных подворных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расширения доступности кредитных ресурсов и увеличения притока инвестиций в АПК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АПК в Республике Казахстан на 2013–2020 годы "Агробизнес – 2020" предусмотрены новые инструменты поддержки субъектов АПК: субсидирование ставки вознаграждения по кредитам и лизингу сельхозтехники, субсидирование частичной компенсации расходов при инвестиционных вложениях, направленных на создание новых либо расширение действующих производственных мощностей в приоритетных секторах АПК, субсидирование при страховании и гарантирование займов субъектов АПК перед финансовыми институтами. Также предусмотрено проведение единовременной меры по финансовому оздоровлению субъектов АПК, а также фондирование группой компаний холдинга БВУ, МФО и КТ для последующего финансирования субъектов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инструменты поддержки субъектов АПК предоставляют холдингу возможность для увеличения финансирования АПК за счет внебюджетных источников.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рынка лизинговых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конец 2009 года в республике функционировало порядка 46 лизинговых компаний, в 2008 году их количество составляло 48, из которых 12 являлись дочерними структурами БВУ. По данным Агентства Республики Казахстан по статистике основными отраслями для лизинговых компаний в предоставлении своих услуг в первой половине 2009 году были транспорт и связь – 40 % от общей стоимости договоров, сельское хозяйство – 36%, строительство – 12 %, промышленность – 9 %. В 2008 году на сельское хозяйство приходилось – 64 % от общей стоимости договоров, промышленность – 9 %, строительство – 8 %, транспорт и связь – 6 %.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лизинговых компаний, аффилиированных с БВУ (таких как БТА Лизинг, Центр Лизинг, АТФ Лизинг, Темир Лизинг) в среднем составляла 14 – 24% годовых, срок лизинга составляет до 5 лет, размер авансового взноса до передачи предмета лизинга лизингополучателю составляет 15 – 40% от стоимости предмета лизинга.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"КазАгроФинанс" (далее – АО "КазАгроФинанс") осуществляет лизинговые услуги по ставке вознаграждения от 4 % годовых по бюджетным источникам финансирования и до 12,5 % по внебюджетным источникам финансирования, при сроке лизинга от 5 до 7 лет, размер авансового взноса составляет 15 – 20 % от стоимости предмета лизинга.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рынка микрокредитования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2009 году по стране было зарегистрировано 1317 ед. МФО, из которых действовавшими являлись 1088 ед. (83 % от общего числа зарегистрированных), из них активные составили 549 МФО. По состоянию на 1 января 2010 года в сельской местности расположены 465 МФО (35 % от общего числа зарегистрированных), из которых действующие - 404 (87 %) МФО, активные – 147 (32 %).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2009 года общее количество выданных микрокредитов МФО составило более 197 тыс. займов на общую сумму 40,8 млрд. тенге, из них в сельской местности 7 тыс. займов на общую сумму 4,2 млрд.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Средневзвешенные ставки вознаграждения МФО по выданным микрокредитам в 2009 году составили 31,5 % годовых – по краткосрочным и 22,3 % годовых – по долгосрочным микрокредитам; в сельской местности ставки вознаграждения составили: 17,9 % годовых – по краткосрочным и 13,9 % годовых – по долгосрочным микрокредитам.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МФО осуществляется через государственные институты развития – акционерное общество "Фонд развития предпринимательства "Даму" (далее – АО "Фонд развития предпринимательства "Даму") и акционерное общество "Фонд финансовой поддержки сельского хозяйства" (далее – АО "Фонд финансовой поддержки сельского хозяйства").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2005 – 2009 годы АО "Фонд развития предпринимательства "Даму" было выделено 17 млрд. тенге на развитие системы микрокредитования.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"Фонд финансовой поддержки сельского хозяйства" за период 2005 – 2009 годы, в рамках реализации программы по развитию системы микрокредитования на селе, было выделено 8,5 млрд. тенге, в том числе в 2009 году за счет бюджетных средств выдано займов 44 МФО на общую сумму 1000 млн. тенге. Займы выдавались на тендерной основе по ставке вознаграждения 7,5 % годовых.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"Фонд финансовой поддержки сельского хозяйства" в 2009 году за счет погашенных средств по ранее выданным микрокредитам выдано 5083 микрокредита на общую сумму 1789,9 млн. тенге. Микрокредиты выдавались по ставке вознаграждения 9,5 % годовых, размером до 400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микрокредитования сельского населения через АО "Фонд финансовой поддержки сельского хозяйства" в 2009 году обеспечено занятостью порядка 5 тыс. человек.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рынка гарантирования зерновых расписок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Зерновая расписка выдается хлебоприемным предприятием в подтверждение принятия зерна от владельца зерна на хранение и, являясь ордерной неэмиссионной ценной бумагой, может выступать в виде ликвидного залогового инструмента для привлечения финансирования в зерновую отрасль.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"КазАгроГарант" (далее – АО "КазАгроГарант") принимает участие в реализации государственной политики по стимулированию привлечения инвестиций в аграрный сектор путем развития системы гарантирования исполнения обязательств субъектов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момент АО "КазАгроГарант" является единственной организацией в республике по гарантированию исполнения обязательств по зерновым и хлопковым распискам. По состоянию на 1 января 2010 года участниками системы гарантирования исполнения обязательств по зерновым распискам являлись – 53 хлебоприемных предприятия (далее – ХПП), емкость хранения которых составляла порядка 4,4 млн. тонн зерна, участниками системы гарантирования исполнения обязательств по хлопковым распискам являлись – 4 хлопкоперерабатывающих организации с общей мощностью переработки хлопка 180 тыс.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Конкурентами АО "КазАгроГарант" являются страховые организации. Анализ условий страхования ХПП демонстрирует, что франшиза по договору страхования гражданской правовой ответственности (далее – ГПО) достигает в отдельных случаях 95 % от страховой суммы, при этом договор страхования должен заключаться по каждой зерновой расписке. При наступлении страхового случая держатель зерновой расписки – владелец зерна получит возмещение всего лишь на сумму равную лишь 5 % от страховой суммы и значит, теряется весь смысл страхования ГПО ХПП перед держателями зерновых расписок, и, следовательно, не достигается главная цель поддержки сельхозпроизводителей – защита их прав и законных интересов в полном объеме.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рынка информационно-маркетинговых услуг</w:t>
      </w:r>
      <w:r>
        <w:br/>
      </w:r>
      <w:r>
        <w:rPr>
          <w:rFonts w:ascii="Times New Roman"/>
          <w:b/>
          <w:i w:val="false"/>
          <w:color w:val="000000"/>
        </w:rPr>
        <w:t>в агропромышленном комплексе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в республике имеется около 100 фирм и компаний, функционирующих на рынке оказания информационно-маркетинговых и консалтинговых услуг. Однако все они имеют узкую направленность, недостаточно обеспечены информацией и не имеют разветвленной региональной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данный вид услуг в сфере аграрного сектора практически не развит вследствие непривлекательности рынка из-за низкой платежеспособности СХТП и малочисленности квалифицированных специалистов в этой сфере.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"Казагромаркетинг" (далее – АО "Казагромаркетинг") на сегодня является единственной специализированной компанией, осуществляющей комплекс услуг по информационно-маркетинговому и консультационному обслуживанию участников аграрного рынка на всей территории Республики Казахстан по различным направлениям развития аграрного сектора, в том числе предоставляющей гарантированный объем информационных услуг на безвозмездной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информационно-консультационного и маркетингового обеспечения субъектов аграрного рынка осуществляет АО "Казагромаркетинг", представленное 13 областными филиалами, 2 представительствами и 160 сельскими информационно-консультационными центрами (далее – СИКЦ).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"Казагромаркетинг" посредством филиалов, представительств и СИКЦ осуществляет предоставление на безвозмездной основе пакета информационных услуг не менее 50 тыс. субъектам АПК, перечень которых ежегодно утверждается приказом Министра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"Казагромаркетинг" публикует ежемесячный бюллетень по заказам СХТП и государственных органов, проводит маркетинговые исследования рынков, оказывает консультационные услуги, проводит обучающие семинары, разрабатывает бизнес-планы, организовывает и проводит сельскохозяйственные выставочно-ярмарочные мероприятия.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Взаимодействие с компаниями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 взаимодействует с институтами развития, социально-предпринимательскими корпорациями в рамках реализации задач развития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Холдинг стремится эффективно использовать потенциал сотрудничества с компаниями квазигосударственного сектора при финансировании инвестиционных проектов, кредитовании субъектов АПК.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Примером такого успешного сотрудничества является кредитование СХТП на проведение весенне-полевых и уборочных работ под залог гарантий социально-предпринимательских корпораций. Это позволило обеспечить доступность кредитных ресурсов для субъектов, не имеющих возможность предоставить банковские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 региональных проектов успешно реализуется при финансировании холдинга под залоговое имущество, предоставляемое социально-предпринимательскими корпорациями.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Влияние глобальных факторов внешней среды</w:t>
      </w:r>
      <w:r>
        <w:br/>
      </w:r>
      <w:r>
        <w:rPr>
          <w:rFonts w:ascii="Times New Roman"/>
          <w:b/>
          <w:i w:val="false"/>
          <w:color w:val="000000"/>
        </w:rPr>
        <w:t>Правовые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Холдинг руководствуется в своей деятельности правовыми нормами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и 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года, 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иными нормативными правовыми актами, в том числе документами Системы государственного планирования.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Политические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холдинга соответствует требованиям документов Системы государственного планирования в Республике Казахстан, определяющих направления и приоритеты государственной политики в сфере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 руководствуется при осуществлении своей деятельности поставленными государством задачами по развитию АПК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аграрную политику государства регулярно вносятся коррективы, которые холдингу также следует учитывать. При этом развитие как краткосрочных, так и долговременных явлений в этой сфере сопровождается постоянным анализом, мониторингом программных мероприятий и предпринимаемых мер со стороны Правительства Республики Казахстан, Министерства сельского хозяйства Республики Казахстан и иных государственных органов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Хозяйственные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Холдингу необходимо учитывать возможные хозяйственные риски, которым подвергаются клиенты компаний холдинга. Постоянные изменения внешних и внутренних цен на сырье, материалы, комплектующие, энергоресурсы способны оказывать существенное влияние на успешность деятельности заемщиков компаний холдинга.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длительность сроков возврата государственных средств, инвестированных в реальный сектор экономики, также следует особо тщательно взвешивать и оценивать потенциальные изменения таких ключевых факторов хозяйственной деятельности субъектов АПК как значительные изменения объемов производства и реализации продукции, стоимости материальных затрат и накладных издержек, цен на продукцию, доступности сырья и материалов, изменения рыночной конъюнктуры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Существенным фактором, способным повлиять на эффективное функционирование отечественного АПК, может стать возрастание конкуренции на продовольственном рынке в результате предстоящего вступления Казахстана во Всемирную Торговую Организацию и усиление ограничений по применению различных мер аграрной политики, в том числе по внутренней поддержке сельского хозяйства, тарифному квотированию и уровню таможенных пошлин.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Демографические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наблюдаемым ростом численности населения в мире вопросы развития сельского хозяйства приобретают все более высокую значимость. Исследователи, отмечая превышение демографического прироста населения относительно роста мирового производства продовольствия, указывают на появившиеся в начале 21 века негативные тенденции сужения возможностей дальнейшего наращивания производства сельхозпродукции, замедления выпуска продуктов питания, роста экологической нагрузки, связанных с сельским хозяйством.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развивающихся странах с повышением благосостояния планируется увеличение спроса на продукцию животноводства и растениеводства, продукцию сельскохозяйственной переработки (далее – сельхозпереработки).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демографический рост населения планеты и увеличение глобальной потребности в продовольствии позволит холдингу успешно на долгосрочной основе реализовывать мероприятия по содействию наращиванию экспортного потенциала продукции АПК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населения Казахстана идет медленными темпами, таким образом, в обозримой перспективе рост объемов сельхозпроизводства в стране будет обеспечиваться за счет вытеснения импортной продукции и наращивания объемов продукции, поставляемой на экспорт.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тоже время урбанизация населения приведет к росту потребности в ранней плодоовощной продукции городским населением, необходимости строительства новых овощехранилищ и тепличных комплексов. Кроме того, фактор урбанизации и роста уровня благосостояния населения приведет к качественному изменению структуры потребления: в потребительской корзине будет увеличиваться доля полуфабрикатов и готовых продовольственных изделий.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Технологические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Ключевыми факторами, влияющими на технологическое развитие АПК, являются эффективность производства и техническое перевооружение, скорость освоения производства новых видов продукции и привлечение новейших агротехнологий. Особое влияние данных факторов на технологическое развитие АПК обусловлено структурой, текущим состоянием и тенденциями роста казахстанской экономики, сложившимся положением в научно-технической сфере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состояние с внедрением новых технологий в АПК не соответствует необходимому уровню и не обеспечивает устойчивый рост продукции АПК, разработку и внедрение новых товаров, вывод их на более высокий уровень конкурентоспособности.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требуется проведение полномасштабной технологической модернизации предприятий АПК, которая позволит заменить низкопроизводительное и трудоемкое оборудование более современным и эффективным.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 настоящее время развитой научно-исследовательской базы в АПК, достаточной для обеспечения ускоренного технологического развития отрасли, и отсутствие отечественных мощностей по производству современного, отвечающего мировым стандартам оборудования делает процесс технической и технологической модернизации АПК Казахстана зависимым от привлечения импортных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повышение уровня технологичности отечественного сельскохозяйственного производства неизменно повлечет увеличение спроса СХТП Республики Казахстан на услуги структур холдинга по приобретению высокотехнологичного и высокопроизводительного оборудования и техники.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Влияние изменения климата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климата в мире наиболее сильно будут ощущаться именно в сельском хозяйстве. Многие регионы, включая и Казахстан, могут пострадать в будущем от резкого сокращения количества годовых и сезонных осадков. Засухи, наводнения, бури – все это будет влиять на урожай сельскохозяйственных культур и, несомненно, внесет свои коррективы в структуру посевных площадей. В последнее время, в западных регионах Казахстана из-за жары и суховеев списывается от 40 % до 50 % посевов сельскохозяйственных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Серьезные проблемы также связаны с влиянием климата на состояние водных ресурсов. Происходит обмеление крупных и мелких водоемов, снижаются возможности орошения на посевных площадях, увеличивается выкачивание грунтовых вод в зернопроизводящих районах.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климатические изменения, влекущие ухудшение условий земледелия, способны повлечь как увеличение мировой потребности на продукцию растениеводства, так и повышение спроса на ирригационные системы, и иное современное поливочное оборудование. Это дает возможность холдингу усилить свое влияние на наращивание производства и экспорта растениеводческой продукции и на обеспечение АПК необходимым оборудованием и производственной инфраструктурой.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Риски изменения природно-климатических условий для холдинга существенны тем, что сельское хозяйство относится к отраслям, в значительной степени зависящим от климатических условий, а также тем, что колебания погодных условий оказывают серьезное влияние на урожайность сельскохозяйственных культур, объемы их производства и на обеспеченность животноводства кормовыми ресурсами, которые могут существенно повлиять на степень достижения показателей инвестиционных проектов, финансируемых группой компаний холдинга.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внутренней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холдинга с акционером и ДАО регулируются действующим законодательством Республики Казахстан, уставом холдинга и кодексом корпоративного управления холдинга. В соответствии с кодексом корпоративного управления холдинга, взаимоотношения между холдингом и ДАО осуществляются в рамках утвержденных корпоративных процедур, через соответствующие органы холдинга и ДАО.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Следуя общепринятым принципам корпоративного управления, в холдинге и ДАО внедрены институты независимых директоров, корпоративного секретаря, службы внутреннего аудита, созданы комитеты при Советах директоров холдинга и ДАО. В целях повышения корпоративной стоимости ДАО, а также усиления эффекта синергии, холдинг на постоянной основе проводит анализ их деятельности, возможность их расширения или же объединения.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деятельность. Холдинг осуществляет реализацию государственной политики по стимулированию развития АПК Республики Казахстан путем обеспечения эффективного управления инвестиционными активами и развития корпоративной культуры ДАО, осуществляющих деятельность в сфере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ДАО реализуют мероприятия по поддержке АПК по направлениям деятельности, определенным законодательством Республики Казахстан. Сильной стороной деятельности ДАО является наличие наработанного опыта поддержки АПК в рамках конкретных направлений деятельности, а также наличие региональных сетей и сформированной инфраструктуры по оказанию финансовых и иных услуг субъектам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Консолидация в группе компаний холдинга финансовых, производственных и инфраструктурных ресурсов позволяет достигать синергетического эффекта от оказания совместной и согласованной поддержки развития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следует отметить, что ДАО холдинга значительно различаются в своей операционной деятельности, профиль их деятельности неоднороден, существуют элементы дублирования в отдельных финансовых институтах холдинга.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этим, будет проведена работа по реструктуризации функций ДАО, приняты меры по исключению схожих инструментов поддержки. Численность дочерних и зависимых компаний Холдинга будет оптимизирована в целях недопущения дублирования направлений их деятельности. Непрофильные компании будут переданы в конкурентную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отсутствует единое информационное пространство между холдингом и ДАО, что снижает эффективность их взаимодействия.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высоких кредитных рейтингов позволяет холдингу привлекать относительно "дешевые" финансовые ресурсы с внутреннего и внешнего рынков капиталов.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дальнейшего качественного развития ДАО необходимо сконцентрировать их деятельность на достижении конкретных результатов поддержки АПК страны, в том числе определенных в стратегических и программных документах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отсутствием в настоящее время ряда четко структурированных бизнес - процессов деятельности холдинга и ДАО, требуется осуществить внедрение единых корпоративных стандартов бизнес - процессов в холдинге и ДАО, что позволит повысить операционную результативность деятельности группы компаний холдинга по поддержке развития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Сильной стороной холдинга является государственная поддержка АПК, как финансовая, так и организационно-административная. Холдинг имеет возможность привлечения бюджетных ресурсов для финансирования потребностей АПК, что играет ключевую роль в деятельности группы компаний холдинга.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состояние. Анализ финансово-хозяйственной деятельности группы компаний холдинга показывает доходность активов и рентабельность капитала на уровне ниже среднерыночного, что обусловлено льготным характером финансирования субъектов АПК посредством предоставления "дешевых" кредитных ресурсов по ставкам, оговоренным нормативными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национальная банковская система в настоящее время продолжает испытывать институциональные трудности и не может служить полноценным источником ресурсов для развития АПК страны, а инвестиционный капитал отечественных инвесторов весьма ограничен по своим объемам, группа компаний холдинга имеет возможность в среднесрочной перспективе расширить свое присутствие на рынке финансирования потребностей субъектов АПК и тем самым повысить результативность поддержки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Корпоративное управление. В настоящее время существует потребность в повышении общего уровня корпоративного управления в группе компаний холдинга, в том числе в повышении эффективности советов директоров и усилении роли независимых директоров.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развития системы корпоративного управления планируется проведение диагностики действующей системы корпоративного управления в группе компаний холдинга и формирование по итогам диагностики плана мероприятий по дальнейшему совершенствованию корпоративного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 будет обеспечивать повышение уровня корпоративного управления в группе компаний холдинга за счет соблюдения обязательных требований национального законодательства, и приверженности ДАО к внедрению лучших практик корпоративного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следует отметить, что у холдинга и ДАО отсутствует рейтинг корпоративного управления, что снижает эффективность применения лучшей практики корпоративного управления в рамках группы компаний холдинга.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системы менеджмента качества в группе компаний холдинг намерен провести независимую диагностику текущего состояния внедрения систем менеджмента качества в группе компаний холдинга.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диагностики холдингом будет обеспечено проведение работ по получению и подтверждению группой компаний холдинга международных сертификатов соответствия стандартам системы менеджмента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Угрозой для осуществления группой компаний холдинга результативной поддержки субъектов АПК может являться общий низкий уровень состояния АПК: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сильная изношенность материально-технической базы субъектов АПК, не позволяющая привлечь достаточное залоговое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низкий уровень развития транспортно-логистической инфраструктуры, повышающий издержки реализации финансируемых ДАО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неблагополучной эпизоотической обстановки в животноводстве, повышающей риски реализации проектов в сфере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неэффективное использование земельных, водных и финансовых ресурсов субъектами АПК, снижающее эффективность реализации финансируемых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низкий уровень вовлеченности аграрного сектора Казахстана в мировую торговлю по товарной номенклатуре, снижающий возможности финансирования ДАО перспективных сфер производства и переработки сельскохозяйственной продукции.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SWOT анализ деятельности холдинга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7"/>
        <w:gridCol w:w="5903"/>
      </w:tblGrid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Сильные стороны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Слабые стороны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ресурсов на приоритетных направлениях индустриального развития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консолидация финансовых и инфраструктурных ресурсов в Холдинге для развития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специализация ДАО на оказании финансовых услуг в аграрном секторе;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обширной региональной сети филиалов и представительств ДАО;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сформированная инфраструктура по оказанию услуг субъектам АПК (КТ, МФО, СИКЦ);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высококвалифицированный персонал, наработанный опыт работы ДАО по финансовой и нефинансовой поддержке субъектов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 доля на рынке кредитования аграрной отрасли (около половины всех займов в АПК выданы дочерними компаниями Холдинга);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широкая клиентская база СХТП;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высоких кредитных рейтингов, позволяющих привлекать относительно недорогие ресурсы на внешних рынках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субъектов АПК по ставкам ниже рыночных;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 влияние на ситуацию на внутреннем зерновом рынке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ограниченность рынков привлечения "дешевых"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кредитного портфеля в высокорискованной отрасли;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ограниченные возможности для повышения доходности деятельности холдинга и хеджированию отраслевых рисков за счет повышения процентных ставок по займам;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залоговом обеспечении низколиквидного имущества, преимущественно расположенного в сельской местности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Возможности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Угрозы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займов и инвестиций из различных источников, в том числе внешних, для развития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роста производительности труда в АПК посредством финансирования инвестиционных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кредитов для представителей малого и среднего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расширение инфраструктуры по оказанию услуг субъектам АПК (КТ, МФО, СИКЦ);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бизнес-процессов, внедрение новых инструментов поддержки субъектов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положительных финансовых результатов и устойчивого развития группы компаний холдинга;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корпоративного управления и усиление синергетического эффекта группы компаний холдинга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доступности рынков привлечения "дешевых"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 кредитоспособности заемщиков вследствие неблагоприятных природно-климатических изменений;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неблагоприятные изменения конъюнктуры цен на внутреннем и внешнем продовольственном рынках;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удорожание стоимости внешних заимствований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Представленный анализ проведен в целях определения стратегических направлений и целей развития, которые холдинг может достичь при эффективном использовании имеющихся возможностей для развития за счет своих сильных сторон, усиления выявленных слабых сторон и нейтрализации существующих угроз.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 направления деятельности холдинга соответствуют основным задачам развития АПК, определенных в документах Системы государственного планирования (приложение 2 к настоящей Стратегии развития холдинга на 2011 – 2020 годы).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 и видение</w:t>
      </w:r>
      <w:r>
        <w:br/>
      </w:r>
      <w:r>
        <w:rPr>
          <w:rFonts w:ascii="Times New Roman"/>
          <w:b/>
          <w:i w:val="false"/>
          <w:color w:val="000000"/>
        </w:rPr>
        <w:t>Миссия холдинга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Миссией холдинга является реализация государственной политики по стимулированию индустриального развития АПК на принципах результативности, транспарентности и эффективного корпоративного управления структурами холдинга.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Видение холдинга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 к 2020 году станет ведущей управляющей компанией в области реализации государственной политики по повышению эффективности отраслей АПК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Являясь финансовым оператором важнейших стратегических проектов развития сельского хозяйства, холдинг будет обеспечивать доступное, целевое и эффективное использование государственных и привлеченных ресурсов, осуществляя дальнейшее развитие производственной, информационной и сервисной инфраструктуры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2020 году холдинг и все его дочерние структуры получат рейтинги корпоративного управления, что будет подтверждать высокую культуру корпоративного развития группы компаний холдинга на основе прозрачности деятельности и высоких критериев развития человеческого потенциала.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Стратегические направления деятельности, цели, задачи,</w:t>
      </w:r>
      <w:r>
        <w:br/>
      </w:r>
      <w:r>
        <w:rPr>
          <w:rFonts w:ascii="Times New Roman"/>
          <w:b/>
          <w:i w:val="false"/>
          <w:color w:val="000000"/>
        </w:rPr>
        <w:t>ключевые показатели деятельности, ожидаемые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1. Стимулирование роста производительности труда в АПК через индустриализацию и диверсификацию.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Рост производительности труда за счет финансирования высокотехнологичных (инновационных) проектов с применением современных агротехнологий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инвестиционной политики группы компаний холдинга в АПК в соответствии с отраслевыми приоритетами;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средств для финансирования субъектов АПК, инвестиционных, в том числе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процессами прямого участия в реализации инвестиционных (benchmark) проектов, в том числе на принципах государственно – 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техническому и технологическому обновлению АПК через инструменты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кластерному развитию АПК;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внедрению "зеленых технологий".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производительность труда на предприятиях в рамках профинансированных холдингом проектов, тыс. тенге на 1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финансирования инновационных проектов в общем объеме финансирования проектов,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финансирования приобретения сельхозтехники от общего объема субсидируемого закупа сельхозтехники,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достижения целей стратегического направления 1 повысится уровень индустриализации и диверсификации агропромышленного сектора через реализацию инвестиционных проектов, предусматривающих внедрение современных технологий и способствующих росту производительности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финансирования приобретения сельхозтехники от общего объема субсидируемого закупа сельхозтехники в течение десяти лет составит в среднем 31 %.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процессами прямого участия в реализации инвестиционных (benchmark) проектов позволит привлечь частный бизнес и иностранных инвесторов к внедрению новых проектов в сфере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внедрению "зеленых технологий" в сельхозпроизводстве расширятся возможности по производству экологически чистой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2. Участие в обеспечении продовольственной безопасности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Насыщение внутренних продовольственных рынков отечественной сельхозпродукцией и продуктами ее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процессов финансирования ДАО субъектов АПК в рамках продовольственных поясов вокруг городов Астана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маркетинговой и торговой инфраструктуры и логистики;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и мониторинг финансирования производства, переработки, закупа и реализации сельхозпродукции.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Ключевой показатель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мяса, молока и продуктов их переработки по проектам, профинансированным за счет ресурсов группы компаний холдинга, тыс.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достижения цели стратегического направления 2 будут увеличиваться объемы производства и переработки отечественной сельхозпродукции за счет расширения финансирования проектов, закупа и реализации сельхозпродукции.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холдингом процессов финансирования ДАО проектов субъектов АПК, реализуемых в рамках продовольственных поясов вокруг городов Астана и Алматы, позволит обеспечить приоритетность их рассмотрения и финансирования ДАО.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развитию маркетинговой и торговой инфраструктуры и логистики субъекты АПК получат возможность увеличить объемы реализации продукции на рынках и в торговых сетях городов, в том числе за счет уменьшения числа посреднических звеньев при доставке продукции до конечного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3. Содействие развитию и реализации экспортного потенциала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Развитие экспортного потенциала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 мониторинг финансирования ДАО экспортоориентированных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инвестиционной политики по развитию интенсивного и отгонного животноводства, кормопроизводства;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работы ДАО по расширению инфраструктуры для хранения и экспорта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ДАО по увеличению экспорта сельхозпродукции, в том числе ее географии;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проведении выставочно-ярмарочных мероприятий, бизнес-форумов, конференций на территории страны и за рубежом.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экспортированной продукции, произведенной за счет ресурсов группы компаний холдинга, в общем объеме экспорта аграрной отрасли,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 мощностей по хранению зерна, созданных за счет ресурсов группы компаний холдинга, в том числе строительство зерновых терминалов и зернохранилищ на экспортных направлениях через АО "НК "Продкорпорация", тыс. тонн/год.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достижения цели стратегического направления 3 будет расширена география экспорта сельхозпродукции и продуктов ее переработки.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Единого зернового холдинга будет способствовать проведению единой экспортной политики и гарантированному сбыту зерна, развитию инфраструктуры экспорта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инфраструктуры хранения зерна будет осуществлено строительство новых и модернизация действующих мощностей для хранения зерна в основных зерносеющих регионах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западного и южного направлений экспорта зерна и расширения экспорта в Китайскую Народную Республику будет осуществлено строительство новых мощностей для перевалки зерна в южных и западных регионах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4. Повышение доступности услуг по поддержке субъектов АПК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Финансовое оздоровление субъектов АПК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на организованных рынках капитала средств для проведения мер финансового оздоровления субъектов АПК;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фондирование БВУ на проведение финансового оздоровления субъектов АПК;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процесса финансового оздоровления субъектов АПК ДАО холдинга.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привлеченных средств для проведения финансового оздоровления, млрд.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размещенных средств для проведения финансового оздоровления заемщиков ДАО холдинга, млрд.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кредитных и лизинговых договоров заемщиков ДАО холдинга, прошедших через финансовое оздоровление, 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Развитие доступной финансовой, производственной и сервисной инфраструктуры АПК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предоставления услуг ДАО по принципу "одного окна";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развитию сельской потребительской кооперации;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устойчивости системы гарантирования исполнения обязательств по зерновым и хлопковым распискам;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системы предоставления информационно-маркетинговых услуг для развития агробизнеса;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микрокредитования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процесса увеличения клиентской базы ДАО холдинга;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фондирование ДАО, БВУ для последующего кредитования субъектов АПК;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фондирование КТ для последующего кредитования субъектов АПК;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фондирование МФО для последующего кредитования субъектов АПК;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поддержки несельскохозяйственных видов предпринимательской деятельности в сельской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 фондирования БВУ, МФО и КТ, млрд.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рост пользователей услуг холдинга и фондируемых финансовых организаций,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достижения целей стратегического направления 4 будут созданы благоприятные условия для развития бизнеса в АПК, увеличения инвестиций в сферу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фондирования ДАО, БВУ, КТ, МФО расширится доступ субъектов АПК и сельского населения к льготному финансированию за счет имеющейся банковской инфраструктуры с развитой филиальной сетью, сети кредитных и микрокредитных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 финансового оздоровления путем реструктуризации, рефинансирования, а также финансирования субъектов АПК на погашение имеющихся задолженностей позволит улучшить платежеспособность, снизить кредитную нагрузку и уменьшить риски банкротства субъектов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5. Повышение качества корпоративного управления и прозрачности деятельности холдинга.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Повышение эффективности управления активами холдинга.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эффективности использования собственного капитала и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системы мониторинга профинансированных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качеством ссудного портфеля;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роли риск-менеджмента в деятельности группы компаний холдинга;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долговыми обязательствами группы компаний холдинга через установление и мониторинг коэффициентов долговой нагрузки;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и развитие инноваций в группе компаний холдинга;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поддержание кредитных рейтингов холдинга.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ROA, ROE;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оптимального уровня сформированных резервов (провизий) по ссудному портфелю ДАО Холдинга, не более 18%;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внедрения инноваций в деятельность группы компаний холдинга,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2. Рост эффективности системы корпоративного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оптимизация организационной структуры, исключение дублирования функций и вывод непрофильных активов ДАО холдинга;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оптимизация бизнес-процессов по предоставлению услуг субъектам АПК;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человеческого потенциала и формирование конкурентоспособной системы оплаты труда в холдинге.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рейтинга корпоративного управления группы компаний холдинга;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% удовлетворенности работников морально-психологическим климатом и системой оплаты труда (не менее 80 % работников).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Обеспечение прозрачности деятельности группы компаний холдинга.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продвижение единого бренда холдинга и его ДАО;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в органы управления группы компаний холдинга представителей общественных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активизация информационно-имиджевой деятельности холдинга и его ДАО в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единого бренда для холдинга и его ДАО в 2014 – 2015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ежегодный прирост количества упоминаний о деятельности холдинга и его ДАО в СМИ на 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корпоративного управления в холдинге и ДАО позволит значительно повысить эффективность деятельности организаций, а также станет открытой моделью системы управления, готовой для применения в частных компаниях, действующих в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риск-менеджмента в холдинге и ДАО будет способствовать достижению прозрачности их деятельности, а также эффективному и прозрачному управлению ресурсами, что повысит привлекательность для внешних кредиторов.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оптимизации бизнес-процессов по предоставлению услуг агробизнесу будет увеличена доступность услуг для субъектов АПК, обеспечена прозрачность и сокращение сроков рассмотрения заявок на финансирование, сформирована база данных профинансированных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внедрение инноваций позволит существенно повысить скорость и качество принятия решений о поддержке развития АПК через автоматизацию бизнес-процессов и внедрение современных технологий и стандартов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Изложенные стратегические направления, цели, задачи и ключевые показатели деятельности представлены в приложении 3 к настоящей Стратегии развития холдинга на 2011 – 2020 годы.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Этапы реализации Стратегии развития холдинга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холдинга на 2011 – 2020 годы будет реализована в два этапа.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охватывает период 2011 – 2015 годы. В рамках первого этапа планируется: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создать Единый зерновой холдинг;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реализовать закрепленные за холдингом мероприятия </w:t>
      </w:r>
      <w:r>
        <w:rPr>
          <w:rFonts w:ascii="Times New Roman"/>
          <w:b w:val="false"/>
          <w:i w:val="false"/>
          <w:color w:val="000000"/>
          <w:sz w:val="28"/>
        </w:rPr>
        <w:t>Комплексного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проекта "Развитие экспортного потенциала мяса крупного рогатого скота" на 2011–2015 годы, утвержденного постановлением Правительства Республики Казахстан от 29 июля 2011 года № 877;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привлечь средства на проведение финансового оздоровления субъектов АПК;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провести необходимые процедуры по финансовому оздоровлению заемщиков ДАО холдинга;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усовершенствовать действующие и созданы новые инструменты поддержки субъектов АПК в соответствии с отраслевой программой </w:t>
      </w:r>
      <w:r>
        <w:rPr>
          <w:rFonts w:ascii="Times New Roman"/>
          <w:b w:val="false"/>
          <w:i w:val="false"/>
          <w:color w:val="000000"/>
          <w:sz w:val="28"/>
        </w:rPr>
        <w:t>"Агробизнес–2020"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сформировать единый бренд для холдинга и его ДАО;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провести диагностику системы корпоративного управления и системы менеджмента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будет реализован в 2016 – 2020 годах, в рамках которого планируется: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механизма участия холдинга в кластерном развитии АПК;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 объемов экспорта животноводческой продукции по профинансированным холдингом проектам;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зерновых терминалов и зернохранилищ на экспортных направлениях;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инвестиционных (benchmark) проектов по приоритетным направлениям развития АПК, в т.ч. на принципах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корпоративного управления в группе компаний холдинга за счет соблюдения обязательных требований национального законодательства и приверженности компаний к внедрению лучших практик корпоративного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протяжении обоих этапов холдинг будет продолжать работу по расширению финансирования субъектов АПК, обеспечению доступности инструментов поддержки, повышению эффективности деятельности ДАО, оптимизации организационной структуры группы компаний холдинга, реализации поставленных стратегических задач.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 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2011-2020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ключевых показателей деятельности (далее - КПД)</w:t>
      </w:r>
      <w:r>
        <w:br/>
      </w:r>
      <w:r>
        <w:rPr>
          <w:rFonts w:ascii="Times New Roman"/>
          <w:b/>
          <w:i w:val="false"/>
          <w:color w:val="000000"/>
        </w:rPr>
        <w:t>акционерного общества "Национальный управляющий холдинг</w:t>
      </w:r>
      <w:r>
        <w:br/>
      </w:r>
      <w:r>
        <w:rPr>
          <w:rFonts w:ascii="Times New Roman"/>
          <w:b/>
          <w:i w:val="false"/>
          <w:color w:val="000000"/>
        </w:rPr>
        <w:t>"КазАгро" по стратегическим направлениям деятельности</w:t>
      </w:r>
      <w:r>
        <w:br/>
      </w:r>
      <w:r>
        <w:rPr>
          <w:rFonts w:ascii="Times New Roman"/>
          <w:b/>
          <w:i w:val="false"/>
          <w:color w:val="000000"/>
        </w:rPr>
        <w:t>на 2011 - 2020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1. "Стимулирование роста производительности труда в АПК через индустриализацию и диверсификацию"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Рост производительности труда за счет финансирования высокотехнологичных (инновационных) проектов с применением современных агротехнологий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952"/>
        <w:gridCol w:w="95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КПД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на предприятиях в рамках профинансированных холдингом проектов, тыс. тенге на 1 работника;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финансирования инновационных проектов в общем объеме финансирования проектов,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финансирования приобретения сельхозтехники от общего объема субсидируемого закупа сельхозтехники, в 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30,8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30,4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29,9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29,5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2. "Участие в обеспечении продовольственной безопасности страны"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Насыщение внутренних продовольственных рынков отечественной сельхозпродукцией и продуктами ее переработки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792"/>
        <w:gridCol w:w="792"/>
        <w:gridCol w:w="792"/>
        <w:gridCol w:w="875"/>
        <w:gridCol w:w="875"/>
        <w:gridCol w:w="875"/>
        <w:gridCol w:w="875"/>
        <w:gridCol w:w="875"/>
        <w:gridCol w:w="875"/>
        <w:gridCol w:w="876"/>
        <w:gridCol w:w="876"/>
        <w:gridCol w:w="876"/>
      </w:tblGrid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КПД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мяса, молока и продуктов их переработки по проектам, профинансированным за счет ресурсов группы компаний холдинга, тыс. тонн: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мяса и мясопродуктов: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поставлено на рынок г. Астана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поставлено на рынок г. Алматы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молока и молокопродуктов: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поставлено на рынок г. Астана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поставлено на рынок г. Алматы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3. "Содействие развитию и реализации экспортного потенциала АПК"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Развитие экспортного потенциала АПК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842"/>
        <w:gridCol w:w="842"/>
        <w:gridCol w:w="842"/>
        <w:gridCol w:w="842"/>
        <w:gridCol w:w="842"/>
        <w:gridCol w:w="842"/>
        <w:gridCol w:w="842"/>
        <w:gridCol w:w="930"/>
        <w:gridCol w:w="842"/>
        <w:gridCol w:w="842"/>
        <w:gridCol w:w="843"/>
        <w:gridCol w:w="843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КПД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экспортированной продукции, произведенной за счет ресурсов группы компаний холдинга, в общем объеме экспорта аграрной отрасли, %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мощностей по хранению зерна, созданных за счет ресурсов группы компаний холдинга, тыс. тонн/год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зерновых терминалов и зернохранилищ на экспортных направлениях через АО "НК "Продкорпорация", тыс. тонн/год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4. "Повышение доступности услуг по поддержке субъектов АПК"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Финансовое оздоровление субъектов АПК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895"/>
        <w:gridCol w:w="895"/>
        <w:gridCol w:w="895"/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КПД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привлеченных средств для проведения финансового оздоровления, млрд. тенге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размещенных средств для проведения финансового оздоровления заемщиков ДАО холдинга, млрд. тенге: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кредитных и лизинговых договоров заемщиков ДАО холдинга, прошедших через финансовое оздоровление, ед.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Развитие доступной финансовой, производственной и сервисной инфраструктуры АПК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867"/>
        <w:gridCol w:w="867"/>
        <w:gridCol w:w="957"/>
        <w:gridCol w:w="867"/>
        <w:gridCol w:w="957"/>
        <w:gridCol w:w="957"/>
        <w:gridCol w:w="958"/>
        <w:gridCol w:w="958"/>
        <w:gridCol w:w="867"/>
        <w:gridCol w:w="958"/>
        <w:gridCol w:w="958"/>
        <w:gridCol w:w="868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КПД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фондирования БВУ, МФО и КТ, млрд. тенге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пользователей услуг холдинга и фондируемых финансовых организаций, %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5. "Повышение качества корпоративного управления и прозрачности деятельности холдинга."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Повышение эффективности управления активами холдинга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838"/>
        <w:gridCol w:w="838"/>
        <w:gridCol w:w="838"/>
        <w:gridCol w:w="838"/>
        <w:gridCol w:w="838"/>
        <w:gridCol w:w="838"/>
        <w:gridCol w:w="838"/>
        <w:gridCol w:w="838"/>
        <w:gridCol w:w="839"/>
        <w:gridCol w:w="839"/>
        <w:gridCol w:w="839"/>
        <w:gridCol w:w="839"/>
      </w:tblGrid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КПД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ROA, %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ROE, %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оптимального уровня сформированных резервов (провизий) по ссудному портфелю ДАО холдинга, не более 18%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внедрения инноваций в деятельность группы компаний холдинга, %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Рост эффективности системы корпоративного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КПД 1. Получение рейтинга корпоративного управления группы компаний холдинга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5264"/>
        <w:gridCol w:w="5114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компании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Плановая дата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"Аграрная кредитная корпорация"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"КазАгроФинанс"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НК "Продкорпорация"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"Казагромаркетинг"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"КазАгроГарант"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финансовой поддержки сельского хозяйства"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"КазАгроПродукт"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КПД 2. % удовлетворенности работников морально-психологическим климатом и системой оплаты труда (не менее 80 % работников)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5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8"/>
      </w:tblGrid>
      <w:tr>
        <w:trPr>
          <w:trHeight w:val="30" w:hRule="atLeast"/>
        </w:trPr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КПД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удовлетворенности работников морально-психологическим климатом и системой оплаты труда (не менее 80 % работников)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Обеспечение прозрачности деятельности группы компаний холдинга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КПД 1. Создание единого бренда для холдинга и ДАО в 2014-2015 годах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5264"/>
        <w:gridCol w:w="5114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компании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Плановая дата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"Аграрная кредитная корпорация"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"КазАгроФинанс"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НК "Продкорпорация"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"Казагромаркетинг"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"КазАгроГарант"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финансовой поддержки сельского хозяйства"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"КазАгроПродукт"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КПД 2. Ежегодный прирост количества упоминаний о деятельности холдинга и ДАО в СМИ на 5 %.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9"/>
        <w:gridCol w:w="849"/>
        <w:gridCol w:w="849"/>
      </w:tblGrid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КПД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прирост количества упоминаний о деятельности холдинга и его дочерних акционерных обществ в СМИ на 5 %.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 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2011-2020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 стратегических направлений деятельности</w:t>
      </w:r>
      <w:r>
        <w:br/>
      </w:r>
      <w:r>
        <w:rPr>
          <w:rFonts w:ascii="Times New Roman"/>
          <w:b/>
          <w:i w:val="false"/>
          <w:color w:val="000000"/>
        </w:rPr>
        <w:t>акционерного общества "Национальный управляющий холдинг</w:t>
      </w:r>
      <w:r>
        <w:br/>
      </w:r>
      <w:r>
        <w:rPr>
          <w:rFonts w:ascii="Times New Roman"/>
          <w:b/>
          <w:i w:val="false"/>
          <w:color w:val="000000"/>
        </w:rPr>
        <w:t xml:space="preserve">"КазАгро" на 2011-2020 годы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24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4483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4737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5626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92"/>
        <w:gridCol w:w="9708"/>
      </w:tblGrid>
      <w:tr>
        <w:trPr>
          <w:trHeight w:val="30" w:hRule="atLeast"/>
        </w:trPr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ГПФИИР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2010-2014 годы</w:t>
            </w:r>
          </w:p>
        </w:tc>
        <w:tc>
          <w:tcPr>
            <w:tcW w:w="9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"О Государственной программе по форсированному индустриально-инновационному развитию Республики Казахстан на 2010-2014 годы и признании утратившими силу некоторых указов Президента Республики Казахстан" № 958 от 19.03.2010 года;</w:t>
            </w:r>
          </w:p>
        </w:tc>
      </w:tr>
      <w:tr>
        <w:trPr>
          <w:trHeight w:val="30" w:hRule="atLeast"/>
        </w:trPr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– 2050</w:t>
            </w:r>
          </w:p>
        </w:tc>
        <w:tc>
          <w:tcPr>
            <w:tcW w:w="9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Н.А. Назарбаева народу Казахстана от 14 декабря 2012;</w:t>
            </w:r>
          </w:p>
        </w:tc>
      </w:tr>
      <w:tr>
        <w:trPr>
          <w:trHeight w:val="30" w:hRule="atLeast"/>
        </w:trPr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"Агробизнес – 2020"</w:t>
            </w:r>
          </w:p>
        </w:tc>
        <w:tc>
          <w:tcPr>
            <w:tcW w:w="9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февраля 2013 года № 151 "Об утверждении Программы по развитию агропромышленного комплекса в Республике Казахстан на 2013 - 2020 годы "Агробизнес-2020""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 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2011-2020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Дерево стратегических направлений</w:t>
      </w:r>
      <w:r>
        <w:br/>
      </w:r>
      <w:r>
        <w:rPr>
          <w:rFonts w:ascii="Times New Roman"/>
          <w:b/>
          <w:i w:val="false"/>
          <w:color w:val="000000"/>
        </w:rPr>
        <w:t>деятельности акционерного общества "Национальный</w:t>
      </w:r>
      <w:r>
        <w:br/>
      </w:r>
      <w:r>
        <w:rPr>
          <w:rFonts w:ascii="Times New Roman"/>
          <w:b/>
          <w:i w:val="false"/>
          <w:color w:val="000000"/>
        </w:rPr>
        <w:t xml:space="preserve">управляющий холдинг "КазАгро" на 2011-2020 годы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