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e196" w14:textId="3c7e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постановления Правительства Республики Казахстан от 1 декабря 2011 года № 1420 "Об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2014 года № 144. Утратило силу постановлением Правительства Республики Казахстан от 29 января 2024 года № 45.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29.01.2024 </w:t>
      </w:r>
      <w:r>
        <w:rPr>
          <w:rFonts w:ascii="Times New Roman"/>
          <w:b w:val="false"/>
          <w:i w:val="false"/>
          <w:color w:val="ff0000"/>
          <w:sz w:val="28"/>
        </w:rPr>
        <w:t>№ 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декабря 2011 года № 1420 "Об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 (САПП Республики Казахстан, 2012 г., № 5, ст. 88)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Правила</w:t>
      </w:r>
      <w:r>
        <w:rPr>
          <w:rFonts w:ascii="Times New Roman"/>
          <w:b w:val="false"/>
          <w:i w:val="false"/>
          <w:color w:val="000000"/>
          <w:sz w:val="28"/>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 Договор найма (поднайма) жилища составляется в трех экземплярах. Один экземпляр договора найма (поднайма) жилища хранится в администрации государственного учреждения (государственного предприятия), второй передается местному исполнительному органу для регистрации в реестре государственного имущества (далее – реестр) и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p>
      <w:pPr>
        <w:spacing w:after="0"/>
        <w:ind w:left="0"/>
        <w:jc w:val="both"/>
      </w:pPr>
      <w:r>
        <w:rPr>
          <w:rFonts w:ascii="Times New Roman"/>
          <w:b w:val="false"/>
          <w:i w:val="false"/>
          <w:color w:val="000000"/>
          <w:sz w:val="28"/>
        </w:rPr>
        <w:t>
      На веб-портале реестра www.gosreestr.kz наниматели (поднаниматели) вправе просмотреть информацию по заключенным с ними договорам найма (поднайма) жилища, в том числе, по условиям договора, начислениям по договору, перечисленным платежам в бюджет и пени в случае наличия.";</w:t>
      </w:r>
    </w:p>
    <w:bookmarkStart w:name="z4" w:id="2"/>
    <w:p>
      <w:pPr>
        <w:spacing w:after="0"/>
        <w:ind w:left="0"/>
        <w:jc w:val="both"/>
      </w:pPr>
      <w:r>
        <w:rPr>
          <w:rFonts w:ascii="Times New Roman"/>
          <w:b w:val="false"/>
          <w:i w:val="false"/>
          <w:color w:val="000000"/>
          <w:sz w:val="28"/>
        </w:rPr>
        <w:t>
      дополнить пунктом 19 следующего содержания:</w:t>
      </w:r>
    </w:p>
    <w:bookmarkEnd w:id="2"/>
    <w:p>
      <w:pPr>
        <w:spacing w:after="0"/>
        <w:ind w:left="0"/>
        <w:jc w:val="both"/>
      </w:pPr>
      <w:r>
        <w:rPr>
          <w:rFonts w:ascii="Times New Roman"/>
          <w:b w:val="false"/>
          <w:i w:val="false"/>
          <w:color w:val="000000"/>
          <w:sz w:val="28"/>
        </w:rPr>
        <w:t>
      "19.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утвержденной уполномоченным органом  в сфере жилищных отношений.</w:t>
      </w:r>
    </w:p>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Start w:name="z5"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договоре</w:t>
      </w:r>
      <w:r>
        <w:rPr>
          <w:rFonts w:ascii="Times New Roman"/>
          <w:b w:val="false"/>
          <w:i w:val="false"/>
          <w:color w:val="000000"/>
          <w:sz w:val="28"/>
        </w:rPr>
        <w:t xml:space="preserve"> найма (поднайма) жилища из государственного жилищного фонда или жилища, арендованного местным исполнительным органом в частном жилищном фонде: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частью третьей следующего содержания:</w:t>
      </w:r>
    </w:p>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Start w:name="z7" w:id="4"/>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