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89a3" w14:textId="0168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2014 года № 166.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166</w:t>
      </w:r>
    </w:p>
    <w:bookmarkEnd w:id="1"/>
    <w:bookmarkStart w:name="z4"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5"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(САПП Республики Казахстан, 2010 г., № 54, ст. 521):</w:t>
      </w:r>
      <w:r>
        <w:br/>
      </w:r>
      <w:r>
        <w:rPr>
          <w:rFonts w:ascii="Times New Roman"/>
          <w:b w:val="false"/>
          <w:i w:val="false"/>
          <w:color w:val="000000"/>
          <w:sz w:val="28"/>
        </w:rPr>
        <w:t>
</w:t>
      </w:r>
      <w:r>
        <w:rPr>
          <w:rFonts w:ascii="Times New Roman"/>
          <w:b w:val="false"/>
          <w:i w:val="false"/>
          <w:color w:val="000000"/>
          <w:sz w:val="28"/>
        </w:rPr>
        <w:t>
      заголовок и преамбулу изложить в следующей редакции:</w:t>
      </w:r>
      <w:r>
        <w:br/>
      </w:r>
      <w:r>
        <w:rPr>
          <w:rFonts w:ascii="Times New Roman"/>
          <w:b w:val="false"/>
          <w:i w:val="false"/>
          <w:color w:val="000000"/>
          <w:sz w:val="28"/>
        </w:rPr>
        <w:t>
      «Об утверждении стандартов государственных услуг «Выдача лицензии, переоформление, выдача дубликата лицензии на проектную деятельность», «Выдача лицензии, переоформление, выдача дубликата лицензии на строительно-монтажные работы»</w:t>
      </w:r>
      <w:r>
        <w:br/>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проектную деятельность»,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Государственная услуга оказывается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дубликата лицензии на проектную деятельность,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выдачей дубликата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выдачу дубликата лицензии на проектную деятельность,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8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дополнить абзацем восьмым следующего содержания:</w:t>
      </w:r>
      <w:r>
        <w:br/>
      </w:r>
      <w:r>
        <w:rPr>
          <w:rFonts w:ascii="Times New Roman"/>
          <w:b w:val="false"/>
          <w:i w:val="false"/>
          <w:color w:val="000000"/>
          <w:sz w:val="28"/>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рекомендация от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дополнить абзацем шестым следующего содержания:</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w:t>
      </w:r>
      <w:r>
        <w:rPr>
          <w:rFonts w:ascii="Times New Roman"/>
          <w:b w:val="false"/>
          <w:i w:val="false"/>
          <w:color w:val="000000"/>
          <w:sz w:val="28"/>
        </w:rPr>
        <w:t>
      подпункт 7) дополнить абзацами пятым, шестым, седьмым, восьмым, девятым, десятым, одиннадцатым и двенадцатым следующего содержания:</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приложению 9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000000"/>
          <w:sz w:val="28"/>
        </w:rPr>
        <w:t>
      дополнить указанный стандарт приложением 9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строительно-монтажные работы»,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Государственная услуга оказывается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дубликата лицензии на строительно-монтажные работы,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выдачей дубликата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выдачу дубликата лицензии на строительно-монтажные работы,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абзац третий подпункта 1) </w:t>
      </w:r>
      <w:r>
        <w:rPr>
          <w:rFonts w:ascii="Times New Roman"/>
          <w:b w:val="false"/>
          <w:i w:val="false"/>
          <w:color w:val="000000"/>
          <w:sz w:val="28"/>
        </w:rPr>
        <w:t>пункта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дополнить абзацем шестым следующего содержания:</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w:t>
      </w:r>
      <w:r>
        <w:rPr>
          <w:rFonts w:ascii="Times New Roman"/>
          <w:b w:val="false"/>
          <w:i w:val="false"/>
          <w:color w:val="000000"/>
          <w:sz w:val="28"/>
        </w:rPr>
        <w:t>
      подпункт 7) дополнить абзацами пятым, шестым, седьмым, восьмым, девятым, десятым, одиннадцатым и двенадцатым следующего содержания:</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приложению 9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000000"/>
          <w:sz w:val="28"/>
        </w:rPr>
        <w:t>
      дополнить указанный стандарт приложением 9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 (САПП Республики Казахстан, 2012 г., № 68, ст. 990):</w:t>
      </w:r>
      <w:r>
        <w:br/>
      </w:r>
      <w:r>
        <w:rPr>
          <w:rFonts w:ascii="Times New Roman"/>
          <w:b w:val="false"/>
          <w:i w:val="false"/>
          <w:color w:val="000000"/>
          <w:sz w:val="28"/>
        </w:rPr>
        <w:t>
</w:t>
      </w:r>
      <w:r>
        <w:rPr>
          <w:rFonts w:ascii="Times New Roman"/>
          <w:b w:val="false"/>
          <w:i w:val="false"/>
          <w:color w:val="000000"/>
          <w:sz w:val="28"/>
        </w:rPr>
        <w:t>
      заголовок и преамбулу изложить в следующей редакции:</w:t>
      </w:r>
      <w:r>
        <w:br/>
      </w:r>
      <w:r>
        <w:rPr>
          <w:rFonts w:ascii="Times New Roman"/>
          <w:b w:val="false"/>
          <w:i w:val="false"/>
          <w:color w:val="000000"/>
          <w:sz w:val="28"/>
        </w:rPr>
        <w:t>
      ««Об утверждении стандартов государственных услуг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«Выдача лицензии, переоформление, выдача дубликата лицензии на проектную деятельность», «Выдача лицензии, переоформление, выдача дубликата лицензии на строительно-монтажные работы» и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изыскательскую деятельность», утвержденным указанном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Государственная услуга оказывается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дубликата лицензии на изыскательскую деятельность,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выдачи дубликатов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изыскательскую деятельность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абзац третий подпункта 1) </w:t>
      </w:r>
      <w:r>
        <w:rPr>
          <w:rFonts w:ascii="Times New Roman"/>
          <w:b w:val="false"/>
          <w:i w:val="false"/>
          <w:color w:val="000000"/>
          <w:sz w:val="28"/>
        </w:rPr>
        <w:t>пункта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дополнить абзацем шестым следующего содержания:</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w:t>
      </w:r>
      <w:r>
        <w:rPr>
          <w:rFonts w:ascii="Times New Roman"/>
          <w:b w:val="false"/>
          <w:i w:val="false"/>
          <w:color w:val="000000"/>
          <w:sz w:val="28"/>
        </w:rPr>
        <w:t>
      подпункт 7) дополнить абзацами пятым, шестым, седьмым, восьмым, девятым, десятым, одиннадцатым и двенадцатым следующего содержания:</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приложению 9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000000"/>
          <w:sz w:val="28"/>
        </w:rPr>
        <w:t>
      дополнить указанный стандарт приложением 9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деятельность по организации строительства жилых зданий за счет привлечения денег дольщиков»,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Государственная услуга оказывается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дубликатов лицензии на деятельность по организации строительства жилых зданий за счет привлечения денег дольщиков,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выдачей дубликата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выдачу дубликата лицензии на деятельность по организации строительства жилых зданий за счет привлечения денег дольщиков,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абзац третий подпункта 1) </w:t>
      </w:r>
      <w:r>
        <w:rPr>
          <w:rFonts w:ascii="Times New Roman"/>
          <w:b w:val="false"/>
          <w:i w:val="false"/>
          <w:color w:val="000000"/>
          <w:sz w:val="28"/>
        </w:rPr>
        <w:t>пункта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дополнить абзацем шестым следующего содержания:</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w:t>
      </w:r>
      <w:r>
        <w:rPr>
          <w:rFonts w:ascii="Times New Roman"/>
          <w:b w:val="false"/>
          <w:i w:val="false"/>
          <w:color w:val="000000"/>
          <w:sz w:val="28"/>
        </w:rPr>
        <w:t>
      подпункт 7) дополнить абзацами пятым, шестым, седьмым, восьмым, девятым, десятым, одиннадцатым и двенадцатым следующего содержания:</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приложению 9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000000"/>
          <w:sz w:val="28"/>
        </w:rPr>
        <w:t>
      дополнить указанный стандарт приложением 9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Утратил силу постановлением Правительства РК от 18.02.2015 </w:t>
      </w:r>
      <w:r>
        <w:rPr>
          <w:rFonts w:ascii="Times New Roman"/>
          <w:b w:val="false"/>
          <w:i w:val="false"/>
          <w:color w:val="000000"/>
          <w:sz w:val="28"/>
        </w:rPr>
        <w:t>№ 69</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3"/>
    <w:bookmarkStart w:name="z58"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166</w:t>
      </w:r>
    </w:p>
    <w:bookmarkEnd w:id="4"/>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bookmarkStart w:name="z59"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166</w:t>
      </w:r>
    </w:p>
    <w:bookmarkEnd w:id="5"/>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xml:space="preserve">
строительно-монтажные работы» </w:t>
      </w:r>
    </w:p>
    <w:p>
      <w:pPr>
        <w:spacing w:after="0"/>
        <w:ind w:left="0"/>
        <w:jc w:val="both"/>
      </w:pPr>
      <w:r>
        <w:rPr>
          <w:rFonts w:ascii="Times New Roman"/>
          <w:b/>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bookmarkStart w:name="z60"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166</w:t>
      </w:r>
    </w:p>
    <w:bookmarkEnd w:id="6"/>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xml:space="preserve">
изыскательскую деятельность» </w:t>
      </w:r>
    </w:p>
    <w:p>
      <w:pPr>
        <w:spacing w:after="0"/>
        <w:ind w:left="0"/>
        <w:jc w:val="both"/>
      </w:pPr>
      <w:r>
        <w:rPr>
          <w:rFonts w:ascii="Times New Roman"/>
          <w:b/>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bookmarkStart w:name="z61"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166</w:t>
      </w:r>
    </w:p>
    <w:bookmarkEnd w:id="7"/>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деятельность по организации</w:t>
      </w:r>
      <w:r>
        <w:br/>
      </w:r>
      <w:r>
        <w:rPr>
          <w:rFonts w:ascii="Times New Roman"/>
          <w:b w:val="false"/>
          <w:i w:val="false"/>
          <w:color w:val="000000"/>
          <w:sz w:val="28"/>
        </w:rPr>
        <w:t>
строительства жилых зданий за счет</w:t>
      </w:r>
      <w:r>
        <w:br/>
      </w:r>
      <w:r>
        <w:rPr>
          <w:rFonts w:ascii="Times New Roman"/>
          <w:b w:val="false"/>
          <w:i w:val="false"/>
          <w:color w:val="000000"/>
          <w:sz w:val="28"/>
        </w:rPr>
        <w:t xml:space="preserve">
привлечения денег дольщиков» </w:t>
      </w:r>
    </w:p>
    <w:p>
      <w:pPr>
        <w:spacing w:after="0"/>
        <w:ind w:left="0"/>
        <w:jc w:val="both"/>
      </w:pPr>
      <w:r>
        <w:rPr>
          <w:rFonts w:ascii="Times New Roman"/>
          <w:b/>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