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0787" w14:textId="ece0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ликвидации акционерного общества "Центральный плавательный бассейн"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апреля 2014 года № 372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Ликвидировать акционерное общество «Центральный плавательный бассейн».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делам спорта и физической культуры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2001 года № 1253 «О реорганизации Республиканского государственного казенного предприятия «Центральный плавательный бассейн» Агентства Республики Казахстан по туризму и спорту»;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6 июня 2008 года № 543 «О некоторых вопросах передачи прав владения и пользования государственными пакетами акций (долями участия) отдельных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апреля 2014 года № 372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1998 года № 1141 «О видах государственной собственности в отношении организаций и объектов, расположенных на территории города Алматы» (САПП Республики Казахстан, 1998 г., № 41, ст. 371):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хозяйственных товариществ и акционерных обществ, государственные доли и пакеты акций которых находятся в государственной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129,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«О видах государственной собственности на государственные пакеты акций и государственные доли участия в организациях» (САПП Республики Казахстан, 1999 г., № 13, ст. 124):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указанным постановлением,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акционерных обществ и хозяйственных товариществ, государственные пакеты акций и доли участия которых остаются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Астана»: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21-74, исключить,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«г. Алматы»: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123-123,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«О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«Агентство Республики Казахстан по делам спорта и физической культуры»: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299 и 299-1,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