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2bd2" w14:textId="7282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финансового сектора Республики Казахстан до 2030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2014 года № 954. Утратило силу постановлением Правительства Республики Казахстан от 18 ноября 2022 года № 922.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18.11.2022 </w:t>
      </w:r>
      <w:r>
        <w:rPr>
          <w:rFonts w:ascii="Times New Roman"/>
          <w:b w:val="false"/>
          <w:i w:val="false"/>
          <w:color w:val="ff0000"/>
          <w:sz w:val="28"/>
        </w:rPr>
        <w:t>№ 922</w:t>
      </w:r>
      <w:r>
        <w:rPr>
          <w:rFonts w:ascii="Times New Roman"/>
          <w:b w:val="false"/>
          <w:i w:val="false"/>
          <w:color w:val="ff0000"/>
          <w:sz w:val="28"/>
        </w:rPr>
        <w:t>.</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Вводится в действие с 1 сентября 2014 года</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финансового сектора Республики Казахстан до 2030 года.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 1 сентября 2014 года.</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2014 года № 954</w:t>
            </w:r>
          </w:p>
        </w:tc>
      </w:tr>
    </w:tbl>
    <w:bookmarkStart w:name="z5" w:id="3"/>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финансового сектора Республики Казахстан</w:t>
      </w:r>
      <w:r>
        <w:br/>
      </w:r>
      <w:r>
        <w:rPr>
          <w:rFonts w:ascii="Times New Roman"/>
          <w:b/>
          <w:i w:val="false"/>
          <w:color w:val="000000"/>
        </w:rPr>
        <w:t>до 2030 года</w:t>
      </w:r>
      <w:r>
        <w:br/>
      </w:r>
      <w:r>
        <w:rPr>
          <w:rFonts w:ascii="Times New Roman"/>
          <w:b/>
          <w:i w:val="false"/>
          <w:color w:val="000000"/>
        </w:rPr>
        <w:t>1. Введение</w:t>
      </w:r>
    </w:p>
    <w:bookmarkEnd w:id="3"/>
    <w:p>
      <w:pPr>
        <w:spacing w:after="0"/>
        <w:ind w:left="0"/>
        <w:jc w:val="both"/>
      </w:pPr>
      <w:r>
        <w:rPr>
          <w:rFonts w:ascii="Times New Roman"/>
          <w:b w:val="false"/>
          <w:i w:val="false"/>
          <w:color w:val="000000"/>
          <w:sz w:val="28"/>
        </w:rPr>
        <w:t>
      Развитие финансового сектора страны зависит от определения его места и роли в экономике страны с учетом потребностей общества и государства. При этом в силу разных точек зрения целевые установки перед финансовым сектором каждого отдельного экономического агента не должны доминировать. В противном случае возникают условия для роста неэффективности системы и увеличения системных рисков.</w:t>
      </w:r>
    </w:p>
    <w:p>
      <w:pPr>
        <w:spacing w:after="0"/>
        <w:ind w:left="0"/>
        <w:jc w:val="both"/>
      </w:pPr>
      <w:r>
        <w:rPr>
          <w:rFonts w:ascii="Times New Roman"/>
          <w:b w:val="false"/>
          <w:i w:val="false"/>
          <w:color w:val="000000"/>
          <w:sz w:val="28"/>
        </w:rPr>
        <w:t>
      Государство ожидает, что финансовый сектор будет способен предоставлять достаточный объем ресурсов по приемлемой цене для финансирования приоритетных отраслей экономики в рамках программ экономического развития.</w:t>
      </w:r>
    </w:p>
    <w:p>
      <w:pPr>
        <w:spacing w:after="0"/>
        <w:ind w:left="0"/>
        <w:jc w:val="both"/>
      </w:pPr>
      <w:r>
        <w:rPr>
          <w:rFonts w:ascii="Times New Roman"/>
          <w:b w:val="false"/>
          <w:i w:val="false"/>
          <w:color w:val="000000"/>
          <w:sz w:val="28"/>
        </w:rPr>
        <w:t>
      Для потребителей (юридических и физических лиц) важным является удовлетворенность качеством, объемом, стоимостью и перечнем услуг, оказываемых финансовой системой, независимо от фаз экономического цикла.</w:t>
      </w:r>
    </w:p>
    <w:p>
      <w:pPr>
        <w:spacing w:after="0"/>
        <w:ind w:left="0"/>
        <w:jc w:val="both"/>
      </w:pPr>
      <w:r>
        <w:rPr>
          <w:rFonts w:ascii="Times New Roman"/>
          <w:b w:val="false"/>
          <w:i w:val="false"/>
          <w:color w:val="000000"/>
          <w:sz w:val="28"/>
        </w:rPr>
        <w:t>
      Перед самими финансовыми организациями стоит цель увеличения текущей стоимости бизнеса, максимизации его прибыльности, прежде всего, за счет роста объема услуг от основной деятельности при управляемых рисках и структуре затрат.</w:t>
      </w:r>
    </w:p>
    <w:p>
      <w:pPr>
        <w:spacing w:after="0"/>
        <w:ind w:left="0"/>
        <w:jc w:val="both"/>
      </w:pPr>
      <w:r>
        <w:rPr>
          <w:rFonts w:ascii="Times New Roman"/>
          <w:b w:val="false"/>
          <w:i w:val="false"/>
          <w:color w:val="000000"/>
          <w:sz w:val="28"/>
        </w:rPr>
        <w:t>
      Общей целью как для общества и государства, так и для финансовых организаций является формирование финансового сектора, максимально эффективно осуществляющего свою функцию финансового посредника.</w:t>
      </w:r>
    </w:p>
    <w:p>
      <w:pPr>
        <w:spacing w:after="0"/>
        <w:ind w:left="0"/>
        <w:jc w:val="both"/>
      </w:pPr>
      <w:r>
        <w:rPr>
          <w:rFonts w:ascii="Times New Roman"/>
          <w:b w:val="false"/>
          <w:i w:val="false"/>
          <w:color w:val="000000"/>
          <w:sz w:val="28"/>
        </w:rPr>
        <w:t xml:space="preserve">
      Направления развития финансового сектора также должны учитывать изменения, происходящие в глобальном масштабе. На фоне усиления интеграционных процессов разрабатываются согласованные унифицированные подходы к регулированию национальных финансовых рынков (стандарты Базель III, Solvency II). Республика Казахстан и ее финансовый рынок не остаются в стороне от мировых тенденций. Происходит активное внедрение лучшей международной практики и стандартов регулирования. </w:t>
      </w:r>
    </w:p>
    <w:p>
      <w:pPr>
        <w:spacing w:after="0"/>
        <w:ind w:left="0"/>
        <w:jc w:val="both"/>
      </w:pPr>
      <w:r>
        <w:rPr>
          <w:rFonts w:ascii="Times New Roman"/>
          <w:b w:val="false"/>
          <w:i w:val="false"/>
          <w:color w:val="000000"/>
          <w:sz w:val="28"/>
        </w:rPr>
        <w:t xml:space="preserve">
      Интеграция во Всемирную торговую организацию (далее – ВТО) и Единое экономическое пространство (далее – ЕЭП), в свою очередь, создает предпосылки для дальнейшей либерализации рынка финансовых услуг. Последующее усиление конкуренции на финансовом рынке, с одной стороны, должно повлечь за собой повышение качества и расширение спектра предоставляемых услуг. С другой стороны, повысится степень уязвимости финансового сектора Республики Казахстан к внешним шокам, возрастут так называемые риски "заражения", что, при реализации неблагоприятного сценария развития, может привести к оттоку капитала и средств кредиторов и вкладчиков из банковской системы, кредитному сжатию. </w:t>
      </w:r>
    </w:p>
    <w:p>
      <w:pPr>
        <w:spacing w:after="0"/>
        <w:ind w:left="0"/>
        <w:jc w:val="both"/>
      </w:pPr>
      <w:r>
        <w:rPr>
          <w:rFonts w:ascii="Times New Roman"/>
          <w:b w:val="false"/>
          <w:i w:val="false"/>
          <w:color w:val="000000"/>
          <w:sz w:val="28"/>
        </w:rPr>
        <w:t>
      В этих условиях финансовая система не должна создавать новые риски или увеличивать масштаб существующих рисков в экономике. Это требует выработки оптимального механизма регулирования, когда возможные последствия реализации рисков минимизированы, при этом требования не являются избыточными и не подавляют активность финансового сектора.</w:t>
      </w:r>
    </w:p>
    <w:p>
      <w:pPr>
        <w:spacing w:after="0"/>
        <w:ind w:left="0"/>
        <w:jc w:val="both"/>
      </w:pPr>
      <w:r>
        <w:rPr>
          <w:rFonts w:ascii="Times New Roman"/>
          <w:b w:val="false"/>
          <w:i w:val="false"/>
          <w:color w:val="000000"/>
          <w:sz w:val="28"/>
        </w:rPr>
        <w:t>
      Концепция развития финансового сектора Республики Казахстан до 2030 года обсуждена с участием финансовых организаций, Национальной палаты предпринимателей и объединения юридических лиц "Ассоциация финансистов Казахстана", результатом чего стал охват разных мнений, предложений, идей, направленных на улучшение функционирования финансового сектора. Кроме того, документ также учитывает выводы и рекомендации Международного валютного фонда в рамках проекта "Программа оценки финансового сектора: модуль стабильности" (Financial Sector Assessment Program), который реализовывался в 4 квартале 2013 года – в первой половине 2014 года.</w:t>
      </w:r>
    </w:p>
    <w:bookmarkStart w:name="z7" w:id="4"/>
    <w:p>
      <w:pPr>
        <w:spacing w:after="0"/>
        <w:ind w:left="0"/>
        <w:jc w:val="left"/>
      </w:pPr>
      <w:r>
        <w:rPr>
          <w:rFonts w:ascii="Times New Roman"/>
          <w:b/>
          <w:i w:val="false"/>
          <w:color w:val="000000"/>
        </w:rPr>
        <w:t xml:space="preserve"> 2. Цели и задачи Концепции развития финансового сектора</w:t>
      </w:r>
      <w:r>
        <w:br/>
      </w:r>
      <w:r>
        <w:rPr>
          <w:rFonts w:ascii="Times New Roman"/>
          <w:b/>
          <w:i w:val="false"/>
          <w:color w:val="000000"/>
        </w:rPr>
        <w:t>Республики Казахстан до 2030 года</w:t>
      </w:r>
    </w:p>
    <w:bookmarkEnd w:id="4"/>
    <w:p>
      <w:pPr>
        <w:spacing w:after="0"/>
        <w:ind w:left="0"/>
        <w:jc w:val="both"/>
      </w:pPr>
      <w:r>
        <w:rPr>
          <w:rFonts w:ascii="Times New Roman"/>
          <w:b w:val="false"/>
          <w:i w:val="false"/>
          <w:color w:val="000000"/>
          <w:sz w:val="28"/>
        </w:rPr>
        <w:t>
      Концепция развития финансового сектора Республики Казахстан до 2030 года нацелена на создание конкурентоспособного финансового сектора и повышение его эффективности в перераспределении ресурсов в экономике на базе лучших международных стандартов, включая стандарты Организации экономического сотрудничества и развития (далее – ОЭСР).</w:t>
      </w:r>
    </w:p>
    <w:p>
      <w:pPr>
        <w:spacing w:after="0"/>
        <w:ind w:left="0"/>
        <w:jc w:val="both"/>
      </w:pPr>
      <w:r>
        <w:rPr>
          <w:rFonts w:ascii="Times New Roman"/>
          <w:b w:val="false"/>
          <w:i w:val="false"/>
          <w:color w:val="000000"/>
          <w:sz w:val="28"/>
        </w:rPr>
        <w:t>
      Для решения поставленной цели предусматривается реализация следующих задач:</w:t>
      </w:r>
    </w:p>
    <w:p>
      <w:pPr>
        <w:spacing w:after="0"/>
        <w:ind w:left="0"/>
        <w:jc w:val="both"/>
      </w:pPr>
      <w:r>
        <w:rPr>
          <w:rFonts w:ascii="Times New Roman"/>
          <w:b w:val="false"/>
          <w:i w:val="false"/>
          <w:color w:val="000000"/>
          <w:sz w:val="28"/>
        </w:rPr>
        <w:t>
      1) снижение издержек общества и государства на поддержание устойчивости финансовой системы в случае возникновения потенциальных шоков;</w:t>
      </w:r>
    </w:p>
    <w:p>
      <w:pPr>
        <w:spacing w:after="0"/>
        <w:ind w:left="0"/>
        <w:jc w:val="both"/>
      </w:pPr>
      <w:r>
        <w:rPr>
          <w:rFonts w:ascii="Times New Roman"/>
          <w:b w:val="false"/>
          <w:i w:val="false"/>
          <w:color w:val="000000"/>
          <w:sz w:val="28"/>
        </w:rPr>
        <w:t>
      2) повышение эффективности финансового сектора в условиях экономической интеграции и глобализации;</w:t>
      </w:r>
    </w:p>
    <w:p>
      <w:pPr>
        <w:spacing w:after="0"/>
        <w:ind w:left="0"/>
        <w:jc w:val="both"/>
      </w:pPr>
      <w:r>
        <w:rPr>
          <w:rFonts w:ascii="Times New Roman"/>
          <w:b w:val="false"/>
          <w:i w:val="false"/>
          <w:color w:val="000000"/>
          <w:sz w:val="28"/>
        </w:rPr>
        <w:t>
      3) совершенствование инфраструктуры и создание оптимальных условий для качественного развития финансовой системы;</w:t>
      </w:r>
    </w:p>
    <w:p>
      <w:pPr>
        <w:spacing w:after="0"/>
        <w:ind w:left="0"/>
        <w:jc w:val="both"/>
      </w:pPr>
      <w:r>
        <w:rPr>
          <w:rFonts w:ascii="Times New Roman"/>
          <w:b w:val="false"/>
          <w:i w:val="false"/>
          <w:color w:val="000000"/>
          <w:sz w:val="28"/>
        </w:rPr>
        <w:t>
      4) расширение ресурсов роста финансового сектора, в том числе за счет финансовых продуктов, отвечающих потребностям экономики;</w:t>
      </w:r>
    </w:p>
    <w:p>
      <w:pPr>
        <w:spacing w:after="0"/>
        <w:ind w:left="0"/>
        <w:jc w:val="both"/>
      </w:pPr>
      <w:r>
        <w:rPr>
          <w:rFonts w:ascii="Times New Roman"/>
          <w:b w:val="false"/>
          <w:i w:val="false"/>
          <w:color w:val="000000"/>
          <w:sz w:val="28"/>
        </w:rPr>
        <w:t>
      5) поддержание сбалансированных экономических условий и снижение кредитных рисков в экономике.</w:t>
      </w:r>
    </w:p>
    <w:p>
      <w:pPr>
        <w:spacing w:after="0"/>
        <w:ind w:left="0"/>
        <w:jc w:val="both"/>
      </w:pPr>
      <w:r>
        <w:rPr>
          <w:rFonts w:ascii="Times New Roman"/>
          <w:b w:val="false"/>
          <w:i w:val="false"/>
          <w:color w:val="000000"/>
          <w:sz w:val="28"/>
        </w:rPr>
        <w:t>
      Концепция развития финансового сектора Республики Казахстан до 2030 года предполагает несколько этапов. При этом успешная реализация мероприятий на каждом из них создаст основу для дальнейшего устойчивого развития финансовой системы до 2030 года и далее в условиях новых мировых тенденций.</w:t>
      </w:r>
    </w:p>
    <w:p>
      <w:pPr>
        <w:spacing w:after="0"/>
        <w:ind w:left="0"/>
        <w:jc w:val="both"/>
      </w:pPr>
      <w:r>
        <w:rPr>
          <w:rFonts w:ascii="Times New Roman"/>
          <w:b w:val="false"/>
          <w:i w:val="false"/>
          <w:color w:val="000000"/>
          <w:sz w:val="28"/>
        </w:rPr>
        <w:t xml:space="preserve">
      До 2020 года основные усилия будут направлены на повышение устойчивости финансового сектора посредством решения существующих проблем и укрепление его конкурентоспособности, а также принятие соответствующих мер и создание фундамента для функционирования финансового рынка после 2020 года. На данном этапе ожидаются завершение переходного периода после вступления Республики Казахстан в ВТО, а также переход на международные стандарты регулирования финансовой деятельности. </w:t>
      </w:r>
    </w:p>
    <w:p>
      <w:pPr>
        <w:spacing w:after="0"/>
        <w:ind w:left="0"/>
        <w:jc w:val="both"/>
      </w:pPr>
      <w:r>
        <w:rPr>
          <w:rFonts w:ascii="Times New Roman"/>
          <w:b w:val="false"/>
          <w:i w:val="false"/>
          <w:color w:val="000000"/>
          <w:sz w:val="28"/>
        </w:rPr>
        <w:t>
      В период до 2025 года планируется завершить процесс гармонизации законодательств стран-участниц ЕЭП, определяющих развитие финансовых рынков стран. Основным итогом гармонизации станет создание наднационального органа по регулированию финансового рынка. В этой связи ожидается изменение роли и места национальных регуляторных органов.</w:t>
      </w:r>
    </w:p>
    <w:p>
      <w:pPr>
        <w:spacing w:after="0"/>
        <w:ind w:left="0"/>
        <w:jc w:val="both"/>
      </w:pPr>
      <w:r>
        <w:rPr>
          <w:rFonts w:ascii="Times New Roman"/>
          <w:b w:val="false"/>
          <w:i w:val="false"/>
          <w:color w:val="000000"/>
          <w:sz w:val="28"/>
        </w:rPr>
        <w:t>
      В период после 2020 года перед финансовыми организациями встанут вызовы, связанные с ростом проникновения финансовых услуг, оказываемых глобальными и региональными лидерами на внутреннем рынке без коммерческого присутствия (через филиалы). Необходимо принимать во внимание развитие инфо-коммуникационных технологий, а также гибридных моделей (стратегические партнерства традиционных финансовых и технологических организаций), что изменит привычный уклад предоставления финансовых услуг. В этой связи отечественные финансовые организации должны быть способны выигрывать конкуренцию за потребителя с игроками, аппетит к риску и возможности которых несопоставимо выше в условиях нераспространения на них базовых пруденциальных нормативов и требований. В этих условиях рост конкурентоспособности невозможен только лишь за счет экстенсивного увеличения масштабов бизнеса. Он должен также базироваться на улучшении качества бизнес-стратегий и процессов, позволяющих быстро адаптировать новые тренды и технологии предоставления финансовых услуг потребителям.</w:t>
      </w:r>
    </w:p>
    <w:bookmarkStart w:name="z8" w:id="5"/>
    <w:p>
      <w:pPr>
        <w:spacing w:after="0"/>
        <w:ind w:left="0"/>
        <w:jc w:val="left"/>
      </w:pPr>
      <w:r>
        <w:rPr>
          <w:rFonts w:ascii="Times New Roman"/>
          <w:b/>
          <w:i w:val="false"/>
          <w:color w:val="000000"/>
        </w:rPr>
        <w:t xml:space="preserve"> 3. Анализ текущей ситуации и тенденции развития финансового</w:t>
      </w:r>
      <w:r>
        <w:br/>
      </w:r>
      <w:r>
        <w:rPr>
          <w:rFonts w:ascii="Times New Roman"/>
          <w:b/>
          <w:i w:val="false"/>
          <w:color w:val="000000"/>
        </w:rPr>
        <w:t>сектора Республики Казахстан</w:t>
      </w:r>
    </w:p>
    <w:bookmarkEnd w:id="5"/>
    <w:bookmarkStart w:name="z9" w:id="6"/>
    <w:p>
      <w:pPr>
        <w:spacing w:after="0"/>
        <w:ind w:left="0"/>
        <w:jc w:val="both"/>
      </w:pPr>
      <w:r>
        <w:rPr>
          <w:rFonts w:ascii="Times New Roman"/>
          <w:b w:val="false"/>
          <w:i w:val="false"/>
          <w:color w:val="000000"/>
          <w:sz w:val="28"/>
        </w:rPr>
        <w:t>
      1. Основные внутренние структурные проблемы и тенденции развития финансового сектора</w:t>
      </w:r>
    </w:p>
    <w:bookmarkEnd w:id="6"/>
    <w:p>
      <w:pPr>
        <w:spacing w:after="0"/>
        <w:ind w:left="0"/>
        <w:jc w:val="both"/>
      </w:pPr>
      <w:r>
        <w:rPr>
          <w:rFonts w:ascii="Times New Roman"/>
          <w:b w:val="false"/>
          <w:i w:val="false"/>
          <w:color w:val="000000"/>
          <w:sz w:val="28"/>
        </w:rPr>
        <w:t>
      Развитие финансовой системы Республики Казахстан носит неустойчивый характер и обуславливается наличием ряда ключевых проблем, многие из которых носят затяжной характер, что также подтверждается межстрановыми оценками ведущих международных организаций. Стагнация финансового рынка на протяжении последних лет вызвана как внутренними причинами, так и ограничениями со стороны реального сектора, в частности:</w:t>
      </w:r>
    </w:p>
    <w:p>
      <w:pPr>
        <w:spacing w:after="0"/>
        <w:ind w:left="0"/>
        <w:jc w:val="both"/>
      </w:pPr>
      <w:r>
        <w:rPr>
          <w:rFonts w:ascii="Times New Roman"/>
          <w:b w:val="false"/>
          <w:i w:val="false"/>
          <w:color w:val="000000"/>
          <w:sz w:val="28"/>
        </w:rPr>
        <w:t>
      1) приоритеты кредитования банками отражают диспропорции в структуре экономического роста, базирующегося на потребительском спросе, а не на инвестициях;</w:t>
      </w:r>
    </w:p>
    <w:p>
      <w:pPr>
        <w:spacing w:after="0"/>
        <w:ind w:left="0"/>
        <w:jc w:val="both"/>
      </w:pPr>
      <w:r>
        <w:rPr>
          <w:rFonts w:ascii="Times New Roman"/>
          <w:b w:val="false"/>
          <w:i w:val="false"/>
          <w:color w:val="000000"/>
          <w:sz w:val="28"/>
        </w:rPr>
        <w:t>
      2) ограниченный набор услуг, оказываемых крупным предприятиям, и неспособность банков аккумулировать самостоятельно существенный объем ресурсов, необходимых для финансирования масштабных инвестиционных проектов, определяют зависимость финансирования приоритетных направлений развития экономики, в том числе малого и среднего предпринимательства, во многом от ресурсов, выделяемых государством;</w:t>
      </w:r>
    </w:p>
    <w:p>
      <w:pPr>
        <w:spacing w:after="0"/>
        <w:ind w:left="0"/>
        <w:jc w:val="both"/>
      </w:pPr>
      <w:r>
        <w:rPr>
          <w:rFonts w:ascii="Times New Roman"/>
          <w:b w:val="false"/>
          <w:i w:val="false"/>
          <w:color w:val="000000"/>
          <w:sz w:val="28"/>
        </w:rPr>
        <w:t>
      3) перекос в сторону розничного фондирования банковской системы при фактическом отсутствии рынка перераспределения ликвидности и неразвитости механизмов рефинансирования делает систему подверженной рискам "смены настроений" вкладчиков;</w:t>
      </w:r>
    </w:p>
    <w:p>
      <w:pPr>
        <w:spacing w:after="0"/>
        <w:ind w:left="0"/>
        <w:jc w:val="both"/>
      </w:pPr>
      <w:r>
        <w:rPr>
          <w:rFonts w:ascii="Times New Roman"/>
          <w:b w:val="false"/>
          <w:i w:val="false"/>
          <w:color w:val="000000"/>
          <w:sz w:val="28"/>
        </w:rPr>
        <w:t>
      4) высокий объем неработающих займов снижает возможности банковского сектора гибко реагировать на изменения макроэкономической среды, ситуации на отдельных рынках;</w:t>
      </w:r>
    </w:p>
    <w:p>
      <w:pPr>
        <w:spacing w:after="0"/>
        <w:ind w:left="0"/>
        <w:jc w:val="both"/>
      </w:pPr>
      <w:r>
        <w:rPr>
          <w:rFonts w:ascii="Times New Roman"/>
          <w:b w:val="false"/>
          <w:i w:val="false"/>
          <w:color w:val="000000"/>
          <w:sz w:val="28"/>
        </w:rPr>
        <w:t>
      5) несоответствие структуры активов и пассивов банковской системы по видам валют, поскольку кредиторы банков увеличивают предпочтения к иностранной валюте, а заемщики – к национальной валюте;</w:t>
      </w:r>
    </w:p>
    <w:p>
      <w:pPr>
        <w:spacing w:after="0"/>
        <w:ind w:left="0"/>
        <w:jc w:val="both"/>
      </w:pPr>
      <w:r>
        <w:rPr>
          <w:rFonts w:ascii="Times New Roman"/>
          <w:b w:val="false"/>
          <w:i w:val="false"/>
          <w:color w:val="000000"/>
          <w:sz w:val="28"/>
        </w:rPr>
        <w:t>
      6) отсутствие внутренних точек роста других сегментов, в частности страхования, когда развитие обеспечивается благодаря обязательным видам страхования либо сопутствующему страхованию, как кросс-продажи при кредитовании банками, пенсионные аннуитеты за счет переводов пенсионных накоплений из накопительных пенсионных фондов в страховые организации;</w:t>
      </w:r>
    </w:p>
    <w:p>
      <w:pPr>
        <w:spacing w:after="0"/>
        <w:ind w:left="0"/>
        <w:jc w:val="both"/>
      </w:pPr>
      <w:r>
        <w:rPr>
          <w:rFonts w:ascii="Times New Roman"/>
          <w:b w:val="false"/>
          <w:i w:val="false"/>
          <w:color w:val="000000"/>
          <w:sz w:val="28"/>
        </w:rPr>
        <w:t>
      7) системный риск, связанный с высокой убыточностью отдельных видов страхования в результате законодательного ограничения размера страховых тарифов и дерегулирования государственных функций с передачей их коммерческим страховым организациям без должного селектирования рисков;</w:t>
      </w:r>
    </w:p>
    <w:p>
      <w:pPr>
        <w:spacing w:after="0"/>
        <w:ind w:left="0"/>
        <w:jc w:val="both"/>
      </w:pPr>
      <w:r>
        <w:rPr>
          <w:rFonts w:ascii="Times New Roman"/>
          <w:b w:val="false"/>
          <w:i w:val="false"/>
          <w:color w:val="000000"/>
          <w:sz w:val="28"/>
        </w:rPr>
        <w:t>
      8) низкий потенциал небанковских институциональных инвесторов на рынке частных инвестиций, когда возможности страховых организаций ограничены передачей существенного объема страховых премий перестраховщикам-нерезидентам Республики Казахстан, а в управлении пенсионными деньгами при создании Единого накопительного пенсионного фонда (далее – ЕНПФ) на первый план выходит вопрос обеспечения сохранности средств за счет снижения рисков инвестирования;</w:t>
      </w:r>
    </w:p>
    <w:p>
      <w:pPr>
        <w:spacing w:after="0"/>
        <w:ind w:left="0"/>
        <w:jc w:val="both"/>
      </w:pPr>
      <w:r>
        <w:rPr>
          <w:rFonts w:ascii="Times New Roman"/>
          <w:b w:val="false"/>
          <w:i w:val="false"/>
          <w:color w:val="000000"/>
          <w:sz w:val="28"/>
        </w:rPr>
        <w:t>
      9) дефицит предложения и непривлекательность инструментов рынка ценных бумаг относительно депозитов банков и рынка недвижимости для розничных инвесторов;</w:t>
      </w:r>
    </w:p>
    <w:p>
      <w:pPr>
        <w:spacing w:after="0"/>
        <w:ind w:left="0"/>
        <w:jc w:val="both"/>
      </w:pPr>
      <w:r>
        <w:rPr>
          <w:rFonts w:ascii="Times New Roman"/>
          <w:b w:val="false"/>
          <w:i w:val="false"/>
          <w:color w:val="000000"/>
          <w:sz w:val="28"/>
        </w:rPr>
        <w:t>
      10) как следствие, отсутствие альтернативности рынку банковских услуг со стороны рынка ценных бумаг;</w:t>
      </w:r>
    </w:p>
    <w:p>
      <w:pPr>
        <w:spacing w:after="0"/>
        <w:ind w:left="0"/>
        <w:jc w:val="both"/>
      </w:pPr>
      <w:r>
        <w:rPr>
          <w:rFonts w:ascii="Times New Roman"/>
          <w:b w:val="false"/>
          <w:i w:val="false"/>
          <w:color w:val="000000"/>
          <w:sz w:val="28"/>
        </w:rPr>
        <w:t>
      11) ослаблению конкурентоспособности банковского сектора Республики Казахстан могут послужить появление и рост альтернативных (нетрадиционных) организаций, предоставляющих финансовые услуги, и изменение поведения потребителей в отношении того, где и как они приобретают финансовые услуги и продукты;</w:t>
      </w:r>
    </w:p>
    <w:p>
      <w:pPr>
        <w:spacing w:after="0"/>
        <w:ind w:left="0"/>
        <w:jc w:val="both"/>
      </w:pPr>
      <w:r>
        <w:rPr>
          <w:rFonts w:ascii="Times New Roman"/>
          <w:b w:val="false"/>
          <w:i w:val="false"/>
          <w:color w:val="000000"/>
          <w:sz w:val="28"/>
        </w:rPr>
        <w:t>
      12) неконкурентоспособность Регионального финансового центра города Алматы (далее – РФЦА) по сравнению с мировыми финансовыми центрами как следствие основных проблем рынка ценных бумаг страны, присущих на данном этапе его развития, а также проблем, носящих системный характер (инфраструктурные, экономические, инвестиционные, деловые, социальные, транспортные, экологические).</w:t>
      </w:r>
    </w:p>
    <w:p>
      <w:pPr>
        <w:spacing w:after="0"/>
        <w:ind w:left="0"/>
        <w:jc w:val="both"/>
      </w:pPr>
      <w:r>
        <w:rPr>
          <w:rFonts w:ascii="Times New Roman"/>
          <w:b w:val="false"/>
          <w:i w:val="false"/>
          <w:color w:val="000000"/>
          <w:sz w:val="28"/>
        </w:rPr>
        <w:t>
      Банковский сектор. По состоянию на 1 января 2014 года в Республике Казахстан функционировало 38 банков, из них 17 банков с иностранным участием, 1 банк со 100 %-ным государственным участием и 3 банка с квазигосударственным участием в капитале.</w:t>
      </w:r>
    </w:p>
    <w:p>
      <w:pPr>
        <w:spacing w:after="0"/>
        <w:ind w:left="0"/>
        <w:jc w:val="both"/>
      </w:pPr>
      <w:r>
        <w:rPr>
          <w:rFonts w:ascii="Times New Roman"/>
          <w:b w:val="false"/>
          <w:i w:val="false"/>
          <w:color w:val="000000"/>
          <w:sz w:val="28"/>
        </w:rPr>
        <w:t>
      После нескольких лет стагнации, вызванной финансовым кризисом, начиная с 2011 года, отмечалась определенная динамика роста банковского сектора. Однако показатели уровня финансового посредничества свидетельствуют о недостаточной эффективности банков по перераспределению ресурсов в экономике и удовлетворению спроса на кредиты со стороны экономических агентов и также отражают усиление регулирования в свете международных инициатив по решению проблем, приведших к возникновению мирового финансового кризиса. За последние 3 года (2011 – 2013 годы) активы банковского сектора увеличились на 28,5 % до 15 462 млрд. тенге. Тем не менее, по отношению к валовому внутреннему продукту (далее – ВВП) активы банковского сектора сократились с 55 % до 46 % (относительно несырьевого ВВП составляют порядка 64 %). Кредитный портфель банковского сектора на 1 января 2014 года составил 13 348 млрд. тенге, увеличившись на 47,2 % с начала 2011 года. Уровень кредитов к ВВП, максимальное значение которого достигало 70 % в 2007 году, сохраняется на низком уровне – 40 % (относительно несырьевого ВВП составляет порядка 55 %).</w:t>
      </w:r>
    </w:p>
    <w:p>
      <w:pPr>
        <w:spacing w:after="0"/>
        <w:ind w:left="0"/>
        <w:jc w:val="both"/>
      </w:pPr>
      <w:r>
        <w:rPr>
          <w:rFonts w:ascii="Times New Roman"/>
          <w:b w:val="false"/>
          <w:i w:val="false"/>
          <w:color w:val="000000"/>
          <w:sz w:val="28"/>
        </w:rPr>
        <w:t>
      Низкий уровень финансового посредничества в большей степени связан с несбалансированным кредитованием и низкой диверсификацией ссудного портфеля, а также преимущественно краткосрочным фондированием. В его структуре преобладают займы, предоставленные сектору услуг, в частности отраслям торговли (то есть кредиты с высокой долей оборачиваемости), строительства и операциям с недвижимым имуществом (займы, выданные во многом в докризисный период). Недостаточная вовлеченность банковского сектора в процесс финансирования малого и среднего бизнеса отражает высокий уровень закредитованности и неустойчивое финансовое положение последних, в том числе в силу их низкой способности генерировать капитал, что приводит к концентрации кредитного риска в данных направлениях.</w:t>
      </w:r>
    </w:p>
    <w:p>
      <w:pPr>
        <w:spacing w:after="0"/>
        <w:ind w:left="0"/>
        <w:jc w:val="both"/>
      </w:pPr>
      <w:r>
        <w:rPr>
          <w:rFonts w:ascii="Times New Roman"/>
          <w:b w:val="false"/>
          <w:i w:val="false"/>
          <w:color w:val="000000"/>
          <w:sz w:val="28"/>
        </w:rPr>
        <w:t>
      В результате, несмотря на высокий уровень спроса на кредитные ресурсы со стороны корпоративного сектора, банки все больше концентрируются на предоставлении краткосрочных высокодоходных, но одновременно высокорискованных потребительских кредитов. За последние три года доля потребительских займов выросла почти в 2 раза, что вызывает определенную обеспокоенность, поскольку в перспективе может увеличивать кредитные риски населения. Невысокий текущий уровень долговой нагрузки населения (отношение совокупного долга домашних хозяйств к ВВП составляет 11 %) сохраняет определенный запас для дальнейшего наращивания банковского бизнеса в данном направлении. Однако агрессивный рост необеспеченных потребительских займов уже требует принятия мер по его ограничению.</w:t>
      </w:r>
    </w:p>
    <w:p>
      <w:pPr>
        <w:spacing w:after="0"/>
        <w:ind w:left="0"/>
        <w:jc w:val="both"/>
      </w:pPr>
      <w:r>
        <w:rPr>
          <w:rFonts w:ascii="Times New Roman"/>
          <w:b w:val="false"/>
          <w:i w:val="false"/>
          <w:color w:val="000000"/>
          <w:sz w:val="28"/>
        </w:rPr>
        <w:t>
      В этих условиях одним из вопросов дальнейшего развития банковского сектора является решение существующих проблем высокого уровня неработающих займов и дефицита долгосрочных источников фондирования, которые оказывают дестимулирующее воздействие на кредитную активность банков.</w:t>
      </w:r>
    </w:p>
    <w:p>
      <w:pPr>
        <w:spacing w:after="0"/>
        <w:ind w:left="0"/>
        <w:jc w:val="both"/>
      </w:pPr>
      <w:r>
        <w:rPr>
          <w:rFonts w:ascii="Times New Roman"/>
          <w:b w:val="false"/>
          <w:i w:val="false"/>
          <w:color w:val="000000"/>
          <w:sz w:val="28"/>
        </w:rPr>
        <w:t>
      По состоянию на 1 января 2014 года доля неработающих займов составляла 31,2 % от совокупного кредитного портфеля банков, значительная доля которых приходится на банки, которые провели реструктуризацию обязательств. На протяжении последних двух лет данный показатель находится на относительно стабильном уровне в пределах достаточно узкого диапазона (от 30 % до 32 %). Это свидетельствует о том, что потенциал использования банками "классических" инструментов улучшения качества активов, таких как проведение реструктуризации задолженности, практически исчерпан. Для решения проблемы низкого качества активов в 2012 году были введены в действие несколько механизмов "очистки" баланса банков. Данные механизмы предполагают продажу проблемных активов акционерному обществу "Фонд проблемных кредитов" (далее – Фонд проблемных кредитов) и дочерние организации банка, приобретающие сомнительные и безнадежные активы родительского банка (далее – ОУСА), а также условия прощения безнадежной задолженности до конца 2015 года без возникновения дополнительных налоговых обязательств для банков. Вместе с тем, заявленный банками потенциал использования указанных выше инструментов очистки не соответствует предоставленным законодательством возможностям в силу сложного и длительного законодательного и процессуального урегулирования вопросов исполнения долговых обязательств. Дополнительно Национальным Банком Республики Казахстан в рамках мер раннего реагирования были введены лимиты для доли неработающих займов в ссудном портфеле банков (с 2013 года – 20 %, с 2014 года – 15 % от ссудного портфеля). Для активизации работы банков по улучшению качества кредитных портфелей с 1 января 2016 года как пруденциальный норматив будет введен обязательный для банков максимальный лимит неработающих займов на уровне 10 %.</w:t>
      </w:r>
    </w:p>
    <w:p>
      <w:pPr>
        <w:spacing w:after="0"/>
        <w:ind w:left="0"/>
        <w:jc w:val="both"/>
      </w:pPr>
      <w:r>
        <w:rPr>
          <w:rFonts w:ascii="Times New Roman"/>
          <w:b w:val="false"/>
          <w:i w:val="false"/>
          <w:color w:val="000000"/>
          <w:sz w:val="28"/>
        </w:rPr>
        <w:t>
      Снижение доли долгосрочного фондирования в структуре обязательств банков во многом обусловлено снижением обязательств перед нерезидентами (на 42,5 % за последние 2 года) ввиду ограниченного доступа на внешний рынок. Как следствие, основой базы фондирования банковской системы являются депозиты клиентов (73,6 % от объема совокупных обязательствах банков на конец 2013 года). При этом доля краткосрочных обязательств (до 1 года) достигает 2/3 от совокупных обязательств. Но даже срочные депозиты не могут в полной мере рассматриваться как стабильный источник фондирования, так как законодательство и сложившиеся рыночные условия позволяют досрочное востребование по требованию вкладчиков и во многих случаях без потери процентного вознаграждения. Это делает ресурсную базу банков волатильной и дорогостоящей, а также ограничивает возможности для полноценного долгосрочного кредитования банками экономики и населения, в особенности это касается кредитования в национальной валюте, которое наиболее востребовано.</w:t>
      </w:r>
    </w:p>
    <w:p>
      <w:pPr>
        <w:spacing w:after="0"/>
        <w:ind w:left="0"/>
        <w:jc w:val="both"/>
      </w:pPr>
      <w:r>
        <w:rPr>
          <w:rFonts w:ascii="Times New Roman"/>
          <w:b w:val="false"/>
          <w:i w:val="false"/>
          <w:color w:val="000000"/>
          <w:sz w:val="28"/>
        </w:rPr>
        <w:t>
      Данное обстоятельство осложняется тем, что существенная часть депозитов выражена в иностранной валюте, что увеличивает финансовые риски как банков, так и заемщиков, получивших кредитование в иностранной валюте, но не имеющих валютной выручки или эффективных инструментов хеджирования. При этом даже умеренная тенденция в динамике курса тенге на внутреннем рынке приводит к заметному изменению валютной структуры депозитной базы.</w:t>
      </w:r>
    </w:p>
    <w:p>
      <w:pPr>
        <w:spacing w:after="0"/>
        <w:ind w:left="0"/>
        <w:jc w:val="both"/>
      </w:pPr>
      <w:r>
        <w:rPr>
          <w:rFonts w:ascii="Times New Roman"/>
          <w:b w:val="false"/>
          <w:i w:val="false"/>
          <w:color w:val="000000"/>
          <w:sz w:val="28"/>
        </w:rPr>
        <w:t>
      Возможности внутреннего рынка облигаций были исторически слабыми, а следствием реформ в пенсионном секторе Республики Казахстан в 2013 году стало сокращение спроса на облигации банков со стороны частных пенсионных фондов. В результате объем облигаций банков, находящихся в обращении, за последние два года сократился на 32,2 % до 1 006,3 млрд. тенге.</w:t>
      </w:r>
    </w:p>
    <w:p>
      <w:pPr>
        <w:spacing w:after="0"/>
        <w:ind w:left="0"/>
        <w:jc w:val="both"/>
      </w:pPr>
      <w:r>
        <w:rPr>
          <w:rFonts w:ascii="Times New Roman"/>
          <w:b w:val="false"/>
          <w:i w:val="false"/>
          <w:color w:val="000000"/>
          <w:sz w:val="28"/>
        </w:rPr>
        <w:t>
      Страховой сектор. По состоянию на 1 января 2014 года осуществляют деятельность по страхованию и перестрахованию 34 страховые организации, из них 7 по страхованию жизни. При этом количество страховых организаций по общему страхованию имеет отчетливую тенденцию к снижению. За последние три года прекратили свою деятельность 6 страховых организаций по общему страхованию, и если учесть обстоятельства по возможным слияниям и поглощениями в 2014 году, количество страховых организаций по общему страхованию может еще сократиться.</w:t>
      </w:r>
    </w:p>
    <w:p>
      <w:pPr>
        <w:spacing w:after="0"/>
        <w:ind w:left="0"/>
        <w:jc w:val="both"/>
      </w:pPr>
      <w:r>
        <w:rPr>
          <w:rFonts w:ascii="Times New Roman"/>
          <w:b w:val="false"/>
          <w:i w:val="false"/>
          <w:color w:val="000000"/>
          <w:sz w:val="28"/>
        </w:rPr>
        <w:t>
      Несмотря на динамичный рост активов страховых организаций, их доля в ВВП остается на довольно низком уровне (менее 2 %). Показатель объема премий в расчете на душу населения в 2013 году не превысил порога в 100 долларов США при том, что население Республики Казахстан составляет 17,2 млн. человек. Все это свидетельствует об огромном потенциале казахстанского страхового рынка.</w:t>
      </w:r>
    </w:p>
    <w:p>
      <w:pPr>
        <w:spacing w:after="0"/>
        <w:ind w:left="0"/>
        <w:jc w:val="both"/>
      </w:pPr>
      <w:r>
        <w:rPr>
          <w:rFonts w:ascii="Times New Roman"/>
          <w:b w:val="false"/>
          <w:i w:val="false"/>
          <w:color w:val="000000"/>
          <w:sz w:val="28"/>
        </w:rPr>
        <w:t>
      Совокупный объем активов страховых организаций на 1 января 2014 года составил 523,4 млрд. тенге, увеличившись на 52,5 % с начала 2011 года. Обязательства страховых организаций за тот же период выросли на 99,8 % до 268,8 млрд. тенге. Динамичный рост активов страхового сектора объясняется требованием уполномоченного органа по поэтапной капитализации страховых организаций в период с 2010 по 2012 год.</w:t>
      </w:r>
    </w:p>
    <w:p>
      <w:pPr>
        <w:spacing w:after="0"/>
        <w:ind w:left="0"/>
        <w:jc w:val="both"/>
      </w:pPr>
      <w:r>
        <w:rPr>
          <w:rFonts w:ascii="Times New Roman"/>
          <w:b w:val="false"/>
          <w:i w:val="false"/>
          <w:color w:val="000000"/>
          <w:sz w:val="28"/>
        </w:rPr>
        <w:t>
      До 80 % активов страхового сектора составляют инвестиции: ценные бумаги – 51 %, вклады в банки – 24,5 %, деньги – 3,7 %, что свидетельствует о высокой ликвидности активов страхового сектора.</w:t>
      </w:r>
    </w:p>
    <w:p>
      <w:pPr>
        <w:spacing w:after="0"/>
        <w:ind w:left="0"/>
        <w:jc w:val="both"/>
      </w:pPr>
      <w:r>
        <w:rPr>
          <w:rFonts w:ascii="Times New Roman"/>
          <w:b w:val="false"/>
          <w:i w:val="false"/>
          <w:color w:val="000000"/>
          <w:sz w:val="28"/>
        </w:rPr>
        <w:t>
      Совокупный объем страховых премий, принятых страховыми (перестраховочными) организациями по договорам прямого страхования, за период с начала 2011 года по 1 января 2014 года составил 640,3 млрд. тенге. При этом наиболее динамично развивается отрасль "страхование жизни", доля которой в общем объеме страховых премий увеличилась с 13,3 % по состоянию на 1 января 2011 года до 22,4 % по состоянию на 1 января 2014 года. Основная динамика роста была обеспечена ростом объемов заключенных договоров пенсионного аннуитета за счет обязательных пенсионных накоплений.</w:t>
      </w:r>
    </w:p>
    <w:p>
      <w:pPr>
        <w:spacing w:after="0"/>
        <w:ind w:left="0"/>
        <w:jc w:val="both"/>
      </w:pPr>
      <w:r>
        <w:rPr>
          <w:rFonts w:ascii="Times New Roman"/>
          <w:b w:val="false"/>
          <w:i w:val="false"/>
          <w:color w:val="000000"/>
          <w:sz w:val="28"/>
        </w:rPr>
        <w:t>
      В структуре видов страхования доля добровольного личного страхования выросла с 25,1 % по состоянию на 1 января 2011 года до 36,4 % по состоянию на 1 января 2014 года, тогда как доля добровольного имущественного страхования сократилась с 49,6 % до 42,6 %, а обязательного – с 25,3 % до 21,0 %.</w:t>
      </w:r>
    </w:p>
    <w:p>
      <w:pPr>
        <w:spacing w:after="0"/>
        <w:ind w:left="0"/>
        <w:jc w:val="both"/>
      </w:pPr>
      <w:r>
        <w:rPr>
          <w:rFonts w:ascii="Times New Roman"/>
          <w:b w:val="false"/>
          <w:i w:val="false"/>
          <w:color w:val="000000"/>
          <w:sz w:val="28"/>
        </w:rPr>
        <w:t>
      Объем страховых премий, переданных на перестрахование, за период с начала 2011 года по 1 января 2014 года составил 205,1 млрд. тенге или 32,0 % от совокупного объема страховых премий. При этом на перестрахование нерезидентам Республики Казахстан передано 159,7 млрд. тенге или 24,9 % от совокупного объема страховых премий.</w:t>
      </w:r>
    </w:p>
    <w:p>
      <w:pPr>
        <w:spacing w:after="0"/>
        <w:ind w:left="0"/>
        <w:jc w:val="both"/>
      </w:pPr>
      <w:r>
        <w:rPr>
          <w:rFonts w:ascii="Times New Roman"/>
          <w:b w:val="false"/>
          <w:i w:val="false"/>
          <w:color w:val="000000"/>
          <w:sz w:val="28"/>
        </w:rPr>
        <w:t>
      В общей сумме страховых премий, переданных на перестрахование нерезидентам Республики Казахстан, доля перестраховочных организаций с рейтингом не ниже "А-" составляет 85,8 %, от "В-" до "ВВВ+" – 14 %, без рейтинга – 0,2 %.</w:t>
      </w:r>
    </w:p>
    <w:p>
      <w:pPr>
        <w:spacing w:after="0"/>
        <w:ind w:left="0"/>
        <w:jc w:val="both"/>
      </w:pPr>
      <w:r>
        <w:rPr>
          <w:rFonts w:ascii="Times New Roman"/>
          <w:b w:val="false"/>
          <w:i w:val="false"/>
          <w:color w:val="000000"/>
          <w:sz w:val="28"/>
        </w:rPr>
        <w:t>
      Основной причиной высокой доли страховых премий, передаваемых перестраховщикам-нерезидентам Республики Казахстан, являются низкий уровень капитализации страховых организаций и их недостаточная квалификация в специальных и отраслевых страховых продуктах. Кроме того, помимо традиционного трансграничного перестрахования крупных и специализированных отраслевых рисков, отмечаются факты передачи рисков на перестрахование, связанные с изъятием средств и выводом капитала.</w:t>
      </w:r>
    </w:p>
    <w:p>
      <w:pPr>
        <w:spacing w:after="0"/>
        <w:ind w:left="0"/>
        <w:jc w:val="both"/>
      </w:pPr>
      <w:r>
        <w:rPr>
          <w:rFonts w:ascii="Times New Roman"/>
          <w:b w:val="false"/>
          <w:i w:val="false"/>
          <w:color w:val="000000"/>
          <w:sz w:val="28"/>
        </w:rPr>
        <w:t>
      Совокупный объем страховых премий, принятых страховыми (перестраховочными) организациями по договорам перестрахования по состоянию на 1 января 2014 года, составляет 26 млрд. тенге. При этом сумма страховых премий, принятых в перестрахование от нерезидентов Республики Казахстан, составляет 13 млрд. тенге. Тенденция увеличения объема входящего перестрахования от нерезидентов за последние 3 года имеет устойчивый характер (более 20 % в год).</w:t>
      </w:r>
    </w:p>
    <w:p>
      <w:pPr>
        <w:spacing w:after="0"/>
        <w:ind w:left="0"/>
        <w:jc w:val="both"/>
      </w:pPr>
      <w:r>
        <w:rPr>
          <w:rFonts w:ascii="Times New Roman"/>
          <w:b w:val="false"/>
          <w:i w:val="false"/>
          <w:color w:val="000000"/>
          <w:sz w:val="28"/>
        </w:rPr>
        <w:t>
      Общий объем страховых выплат, произведенных за период с начала 2011 года по 1 января 2014 года, составил 163,2 млрд. тенге, при этом на добровольное личное страхование пришлось 52,5 % всех выплат, на обязательное страхование – 29,4 %, на добровольное имущественное страхование – 18,1 %.</w:t>
      </w:r>
    </w:p>
    <w:p>
      <w:pPr>
        <w:spacing w:after="0"/>
        <w:ind w:left="0"/>
        <w:jc w:val="both"/>
      </w:pPr>
      <w:r>
        <w:rPr>
          <w:rFonts w:ascii="Times New Roman"/>
          <w:b w:val="false"/>
          <w:i w:val="false"/>
          <w:color w:val="000000"/>
          <w:sz w:val="28"/>
        </w:rPr>
        <w:t>
      Действия регулятора по развитию страхового сектора способствовали повышению устойчивости самих финансовых организаций, в частности, посредством повышения требований по платежеспособности и, как следствие, размеру их капитала, но, тем не менее, не привели к повышению значимости сектора в развитии экономики страны, масштабному предоставлению услуг потребителям (за исключением законодательного установленных обязательных видов услуг). Во многом это было обусловлено как низкой страховой культурой и грамотностью потребителей данных услуг, так и готовностью самих участников страхового рынка обеспечивать свою конкурентоспособность.</w:t>
      </w:r>
    </w:p>
    <w:p>
      <w:pPr>
        <w:spacing w:after="0"/>
        <w:ind w:left="0"/>
        <w:jc w:val="both"/>
      </w:pPr>
      <w:r>
        <w:rPr>
          <w:rFonts w:ascii="Times New Roman"/>
          <w:b w:val="false"/>
          <w:i w:val="false"/>
          <w:color w:val="000000"/>
          <w:sz w:val="28"/>
        </w:rPr>
        <w:t xml:space="preserve">
      В Республике Казахстан действуют 9 видов обязательного страхования, которые осуществляют страховые организации и по которым приняты отдельные законы, детально регламентирующие условия и порядок проведения страхования. Кроме того в законодательстве существуют нормы, предусматривающие проведение страхования, имеющего признаки обязательного. </w:t>
      </w:r>
    </w:p>
    <w:p>
      <w:pPr>
        <w:spacing w:after="0"/>
        <w:ind w:left="0"/>
        <w:jc w:val="both"/>
      </w:pPr>
      <w:r>
        <w:rPr>
          <w:rFonts w:ascii="Times New Roman"/>
          <w:b w:val="false"/>
          <w:i w:val="false"/>
          <w:color w:val="000000"/>
          <w:sz w:val="28"/>
        </w:rPr>
        <w:t>
      Традиционно обязательное страхование является локомотивом страхового рынка. Рынок добровольного страхования развивается в основном за счет системы кросс-продаж банков и агентской сети по обязательному страхованию. Традиционной услугой при заемных операциях являются страхование заемщика от несчастных случаев и страхование объекта залога. Указанные виды страхования являются, прежде всего, источником дополнительных доходов для банковских конгломератов, а не инструментом действительного снижения уровня кредитного риска. Добровольное страхование автомобильного транспорта и имущества получило развитие исключительно за счет кросс-продаж полисов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По остальным видам добровольного страхования следует отметить ограниченность предлагаемых услуг по добровольному страхованию, относительную высокую стоимость страховых продуктов (ввиду отсутствия статистики) или их невостребованность, недостаточную активность отдельных страховых организаций на рынке и низкий интерес к страхованию потенциальных страхователей.</w:t>
      </w:r>
    </w:p>
    <w:p>
      <w:pPr>
        <w:spacing w:after="0"/>
        <w:ind w:left="0"/>
        <w:jc w:val="both"/>
      </w:pPr>
      <w:r>
        <w:rPr>
          <w:rFonts w:ascii="Times New Roman"/>
          <w:b w:val="false"/>
          <w:i w:val="false"/>
          <w:color w:val="000000"/>
          <w:sz w:val="28"/>
        </w:rPr>
        <w:t xml:space="preserve">
      Наиболее заинтересованным субъектом в развитии рынка накопительного страхования в стране является государство, поскольку оно компенсирует дефицит государственных социальных гарантий. Долгосрочные виды личного страхования (в том числе аннуитеты) обеспечивают получение дополнительного дохода, не зависящего от размера государственных выплат, в том числе по старости и инвалидности. Соответственно, наличие развитого рынка личного страхования снижает нагрузку на расходную часть бюджета, уменьшая затраты государства на обеспечение граждан. </w:t>
      </w:r>
    </w:p>
    <w:p>
      <w:pPr>
        <w:spacing w:after="0"/>
        <w:ind w:left="0"/>
        <w:jc w:val="both"/>
      </w:pPr>
      <w:r>
        <w:rPr>
          <w:rFonts w:ascii="Times New Roman"/>
          <w:b w:val="false"/>
          <w:i w:val="false"/>
          <w:color w:val="000000"/>
          <w:sz w:val="28"/>
        </w:rPr>
        <w:t>
      На данный момент доля добровольного накопительного страхования жизни, за исключением аннуитетного страхования в рамках пенсионного обеспечения и обязательного страхования работника от несчастного случая, в доходах населения остается крайне незначительной. Отношение страховых премий на душу населения на 1 октября 2013 года составляло 11 782,95 тенге (76,6 долларов США), что значительно ниже аналогичных показателей в Российской Федерации – 149,79 долларов США.</w:t>
      </w:r>
    </w:p>
    <w:p>
      <w:pPr>
        <w:spacing w:after="0"/>
        <w:ind w:left="0"/>
        <w:jc w:val="both"/>
      </w:pPr>
      <w:r>
        <w:rPr>
          <w:rFonts w:ascii="Times New Roman"/>
          <w:b w:val="false"/>
          <w:i w:val="false"/>
          <w:color w:val="000000"/>
          <w:sz w:val="28"/>
        </w:rPr>
        <w:t>
      Осуществление гарантийных и компенсационных выплат потребителям в случае принудительной ликвидации страховой организации является основной задачей акционерного общества "Фонд гарантирования страховых выплат" (далее – Фонд гарантирования страховых выплат). В целом система гарантирования страховых выплат является необходимым элементом доверия потребителей страхового рынка. Однако уровень накопления резервов гарантирования является на текущий момент низким (7 % от страховых резервов). Для усиления контроля и обеспечения финансовой устойчивости предусмотрено вхождение Национального Банка Республики Казахстан в состав акционеров Фонда гарантирования страховых выплат.</w:t>
      </w:r>
    </w:p>
    <w:p>
      <w:pPr>
        <w:spacing w:after="0"/>
        <w:ind w:left="0"/>
        <w:jc w:val="both"/>
      </w:pPr>
      <w:r>
        <w:rPr>
          <w:rFonts w:ascii="Times New Roman"/>
          <w:b w:val="false"/>
          <w:i w:val="false"/>
          <w:color w:val="000000"/>
          <w:sz w:val="28"/>
        </w:rPr>
        <w:t>
      Рынок ценных бумаг. До 2007 года в становлении отечественного рынка ценных бумаг наиболее активную роль играли накопительные пенсионные фонды наравне с другими институциональными инвесторами, такими как банки и инвестиционные фонды. Негативное влияние на дальнейшую тенденцию развития рынка ценных бумаг оказал мировой финансовый кризис 2008 года, в результате которого эмитентами по выпускам корпоративных облигаций были допущены дефолты, упало доверие инвесторов к инвестиционным фондам, в результате чего значительное их количество было закрыто, снизилось общее число эмитентов на рынке ценных бумаг.</w:t>
      </w:r>
    </w:p>
    <w:p>
      <w:pPr>
        <w:spacing w:after="0"/>
        <w:ind w:left="0"/>
        <w:jc w:val="both"/>
      </w:pPr>
      <w:r>
        <w:rPr>
          <w:rFonts w:ascii="Times New Roman"/>
          <w:b w:val="false"/>
          <w:i w:val="false"/>
          <w:color w:val="000000"/>
          <w:sz w:val="28"/>
        </w:rPr>
        <w:t>
      На уменьшение ликвидности отечественного фондового рынка негативно повлияло сокращение инвестиционной активности основного класса институциональных инвесторов в лице накопительных пенсионных фондов и управляющих пенсионными активами, в том числе в результате законодательных изменений, которые создавали и поддерживали спрос на корпоративные ценные бумаги казахстанских эмитентов. Помимо этого сузились возможности привлечения эмитентами акционерного и (или) заемного капитала через рынок ценных бумаг и инвестиционные горизонты для других инвесторов, как следствие сократился объем внутреннего организованного рынка, представленного акционерным обществом "Казахстанская фондовая биржа" (далее – Казахстанская фондовая биржа).</w:t>
      </w:r>
    </w:p>
    <w:p>
      <w:pPr>
        <w:spacing w:after="0"/>
        <w:ind w:left="0"/>
        <w:jc w:val="both"/>
      </w:pPr>
      <w:r>
        <w:rPr>
          <w:rFonts w:ascii="Times New Roman"/>
          <w:b w:val="false"/>
          <w:i w:val="false"/>
          <w:color w:val="000000"/>
          <w:sz w:val="28"/>
        </w:rPr>
        <w:t>
      Рынок ценных бумаг Республики Казахстан в большей степени ориентирован на институциональных инвесторов, поскольку в общем объеме торгов преобладают сделки с государственными ценными бумагами и операции репо. По состоянию на 1 января 2014 года на организованном рынке ценных бумаг обращались 187 выпусков общим объемом 3 620,5 млрд. тенге. Введение в 2012 году ограничений на круг инвесторов в лице банков, накопительных пенсионных фондов и страховых организаций, осуществляющих деятельность в отрасли "страхование жизни", которые вправе участвовать при первичном размещении государственных ценных бумаг, привело к сокращению объемов торгов с данными финансовыми инструментами. Данная мера была направлена на пресечение манипулирования и недобросовестной практики на рынке государственных ценных бумаг.</w:t>
      </w:r>
    </w:p>
    <w:p>
      <w:pPr>
        <w:spacing w:after="0"/>
        <w:ind w:left="0"/>
        <w:jc w:val="both"/>
      </w:pPr>
      <w:r>
        <w:rPr>
          <w:rFonts w:ascii="Times New Roman"/>
          <w:b w:val="false"/>
          <w:i w:val="false"/>
          <w:color w:val="000000"/>
          <w:sz w:val="28"/>
        </w:rPr>
        <w:t xml:space="preserve">
      Сократились количество и объем действующих выпусков негосударственных облигаций, в том числе допущенных к обращению на фондовой бирже. Если на конец 2010 года в обращении находилось 388 выпусков общим объемом 6 196 млрд. тенге, то на 1 января 2014 года – уже 359 (из них 250 – на фондовой бирже) на сумму 6 000,5 млрд. тенге. При этом объем торгов облигациями увеличился с 270,4 млрд. тенге на конец 2010 года до 392,2 млрд. тенге на конец 2013 года по причине того, что банки в 2013 году в рамках своей среднесрочной стратегии заимствования осуществляли активное размещение облигаций на организованном рынке ценных бумаг. </w:t>
      </w:r>
    </w:p>
    <w:p>
      <w:pPr>
        <w:spacing w:after="0"/>
        <w:ind w:left="0"/>
        <w:jc w:val="both"/>
      </w:pPr>
      <w:r>
        <w:rPr>
          <w:rFonts w:ascii="Times New Roman"/>
          <w:b w:val="false"/>
          <w:i w:val="false"/>
          <w:color w:val="000000"/>
          <w:sz w:val="28"/>
        </w:rPr>
        <w:t xml:space="preserve">
      Количество действующих выпусков акций на 1 января 2014 года составило 1 628, тогда как количество обращаемых на фондовой бирже выпусков акций составило 102, увеличившись с конца 2010 года на 11 выпусков. В свою очередь, объем торгов акциями существенно сократился с 280,6 млрд. тенге на конец 2010 года до 117,5 млрд. тенге на конец 2013 года. </w:t>
      </w:r>
    </w:p>
    <w:p>
      <w:pPr>
        <w:spacing w:after="0"/>
        <w:ind w:left="0"/>
        <w:jc w:val="both"/>
      </w:pPr>
      <w:r>
        <w:rPr>
          <w:rFonts w:ascii="Times New Roman"/>
          <w:b w:val="false"/>
          <w:i w:val="false"/>
          <w:color w:val="000000"/>
          <w:sz w:val="28"/>
        </w:rPr>
        <w:t xml:space="preserve">
      Из 102 выпусков акций, включенных в официальный список фондовой биржи, активная торговля осуществляется только с 8 выпусками акций, входящими в представительский Индекс KASE Казахстанской фондовой биржи. Из указанных 8 выпусков акций 5 выпусков акций обращаются как на внутреннем рынке, так и внешних рынках ценных бумаг. Таким образом, ликвидность и ценообразование по данной категории акций обеспечиваются торгами не только на казахстанском рынке ценных бумаг, но и за рубежом. Следовательно, меры по повышению ликвидности ценных бумаг должны обеспечиваться посредством привлечения иностранных инвесторов для участия в торгах с ценными бумагами на внутреннем рынке ценных бумаг. </w:t>
      </w:r>
    </w:p>
    <w:p>
      <w:pPr>
        <w:spacing w:after="0"/>
        <w:ind w:left="0"/>
        <w:jc w:val="both"/>
      </w:pPr>
      <w:r>
        <w:rPr>
          <w:rFonts w:ascii="Times New Roman"/>
          <w:b w:val="false"/>
          <w:i w:val="false"/>
          <w:color w:val="000000"/>
          <w:sz w:val="28"/>
        </w:rPr>
        <w:t>
      Наблюдается тенденция уменьшения действующих выпусков паевых инвестиционных фондов, количество которых по состоянию на 1 января 2014 года составило 99 (на конец 2010 года – 162).</w:t>
      </w:r>
    </w:p>
    <w:p>
      <w:pPr>
        <w:spacing w:after="0"/>
        <w:ind w:left="0"/>
        <w:jc w:val="both"/>
      </w:pPr>
      <w:r>
        <w:rPr>
          <w:rFonts w:ascii="Times New Roman"/>
          <w:b w:val="false"/>
          <w:i w:val="false"/>
          <w:color w:val="000000"/>
          <w:sz w:val="28"/>
        </w:rPr>
        <w:t>
      По состоянию на 1 января 2014 года общая капитализация рынка негосударственных ценных бумаг, включенных в официальный список Казахстанской фондовой биржи, составила 9 779 млрд. тенге, уменьшившись на 18,8 % по сравнению с 2010 годом. При этом капитализация рынка акций на 1 января 2014 года составила 4 351 млрд. тенге (снижение на 51,4 %).</w:t>
      </w:r>
    </w:p>
    <w:p>
      <w:pPr>
        <w:spacing w:after="0"/>
        <w:ind w:left="0"/>
        <w:jc w:val="both"/>
      </w:pPr>
      <w:r>
        <w:rPr>
          <w:rFonts w:ascii="Times New Roman"/>
          <w:b w:val="false"/>
          <w:i w:val="false"/>
          <w:color w:val="000000"/>
          <w:sz w:val="28"/>
        </w:rPr>
        <w:t>
      Таким образом, отечественный рынок ценных бумаг на сегодняшний день характеризуется низкой ликвидностью, обусловленной недостатком качественных финансовых инструментов, и, соответственно, отсутствием интереса инвесторов в привлечении инвестиций через рынок ценных бумаг.</w:t>
      </w:r>
    </w:p>
    <w:p>
      <w:pPr>
        <w:spacing w:after="0"/>
        <w:ind w:left="0"/>
        <w:jc w:val="both"/>
      </w:pPr>
      <w:r>
        <w:rPr>
          <w:rFonts w:ascii="Times New Roman"/>
          <w:b w:val="false"/>
          <w:i w:val="false"/>
          <w:color w:val="000000"/>
          <w:sz w:val="28"/>
        </w:rPr>
        <w:t>
      В развитии финансового рынка в целом государственные ценные бумаги выступают в качестве "безрискового" ориентира для других субъектов данного рынка. В настоящее время внутренний рынок характеризуется большим количеством выпусков государственных ценных бумаг в обращении наряду с низкой торговой активностью участников рынка и, как следствие, отсутствием на вторичном рынке надежной кривой доходности, которая, в свою очередь, является одним из важнейших показателей состояния финансового рынка и экономики страны в целом.</w:t>
      </w:r>
    </w:p>
    <w:p>
      <w:pPr>
        <w:spacing w:after="0"/>
        <w:ind w:left="0"/>
        <w:jc w:val="both"/>
      </w:pPr>
      <w:r>
        <w:rPr>
          <w:rFonts w:ascii="Times New Roman"/>
          <w:b w:val="false"/>
          <w:i w:val="false"/>
          <w:color w:val="000000"/>
          <w:sz w:val="28"/>
        </w:rPr>
        <w:t>
      Несмотря на то, что в настоящее время эмитентами в большей степени используются в качестве инструментов финансирования банковские кредиты, существующие примеры привлечения акционерного капитала в ходе первичного размещения акций (далее – IPO, initial public offering) показывают, что казахстанский рынок ценных бумаг обладает необходимыми и достаточными ресурсами для того, чтобы стимулировать эмитентов привлекать акционерный капитал посредством первичного размещения своих акций.</w:t>
      </w:r>
    </w:p>
    <w:p>
      <w:pPr>
        <w:spacing w:after="0"/>
        <w:ind w:left="0"/>
        <w:jc w:val="both"/>
      </w:pPr>
      <w:r>
        <w:rPr>
          <w:rFonts w:ascii="Times New Roman"/>
          <w:b w:val="false"/>
          <w:i w:val="false"/>
          <w:color w:val="000000"/>
          <w:sz w:val="28"/>
        </w:rPr>
        <w:t>
      Таким образом, немаловажным условием для привлечения корпоративных эмитентов на рынок ценных бумаг будет являться пример успешного привлечения квазигосударственными организациями акционерного капитала в рамках реализации программы "Народное IPO".</w:t>
      </w:r>
    </w:p>
    <w:p>
      <w:pPr>
        <w:spacing w:after="0"/>
        <w:ind w:left="0"/>
        <w:jc w:val="both"/>
      </w:pPr>
      <w:r>
        <w:rPr>
          <w:rFonts w:ascii="Times New Roman"/>
          <w:b w:val="false"/>
          <w:i w:val="false"/>
          <w:color w:val="000000"/>
          <w:sz w:val="28"/>
        </w:rPr>
        <w:t>
      За последние несколько лет инфраструктура рынка ценных бумаг существенно изменилась. Наблюдается тенденция к укрупнению мелких и средних компаний, в том числе путем реорганизации в форме присоединения одних компаний к другим.</w:t>
      </w:r>
    </w:p>
    <w:p>
      <w:pPr>
        <w:spacing w:after="0"/>
        <w:ind w:left="0"/>
        <w:jc w:val="both"/>
      </w:pPr>
      <w:r>
        <w:rPr>
          <w:rFonts w:ascii="Times New Roman"/>
          <w:b w:val="false"/>
          <w:i w:val="false"/>
          <w:color w:val="000000"/>
          <w:sz w:val="28"/>
        </w:rPr>
        <w:t>
      Если по состоянию на конец 2010 года количество организаций, осуществляющих брокерскую и (или) дилерскую деятельность, не являющихся банками, составляло 52, то уже по состоянию на 1 января 2014 года их количество уменьшилось до 24, активы брокерских компаний сократились в 4 раза. Количество управляющих инвестиционным портфелем сократилось с 39 до 27 компаний, а их активы уменьшились на 30,1 %.</w:t>
      </w:r>
    </w:p>
    <w:p>
      <w:pPr>
        <w:spacing w:after="0"/>
        <w:ind w:left="0"/>
        <w:jc w:val="both"/>
      </w:pPr>
      <w:r>
        <w:rPr>
          <w:rFonts w:ascii="Times New Roman"/>
          <w:b w:val="false"/>
          <w:i w:val="false"/>
          <w:color w:val="000000"/>
          <w:sz w:val="28"/>
        </w:rPr>
        <w:t>
      Вместе с тем, сокращение количества профессиональных участников рынка ценных бумаг связано как с решениями акционеров брокерских компаний и управляющих инвестиционным портфелем по закрытию бизнеса и добровольной сдачи лицензий, так и изменением регуляторных требований в отношении их деятельности. Так, с 2013 года регулятором были повышены требования к минимальному размеру уставного капитала организаций, планирующих осуществление и осуществляющих лицензируемые виды профессиональной деятельности на рынке ценных бумаг, усилены требования к системе управления рисками и программно-техническому обеспечению, используемому при осуществлении профессиональных видов деятельности на рынке ценных бумаг.</w:t>
      </w:r>
    </w:p>
    <w:p>
      <w:pPr>
        <w:spacing w:after="0"/>
        <w:ind w:left="0"/>
        <w:jc w:val="both"/>
      </w:pPr>
      <w:r>
        <w:rPr>
          <w:rFonts w:ascii="Times New Roman"/>
          <w:b w:val="false"/>
          <w:i w:val="false"/>
          <w:color w:val="000000"/>
          <w:sz w:val="28"/>
        </w:rPr>
        <w:t>
      Данные меры были продиктованы необходимостью обеспечения надлежащего уровня защиты прав и интересов инвесторов на рынке ценных бумаг, минимизации рисков манипуляций с ценными бумагами, повышением качества обслуживания.</w:t>
      </w:r>
    </w:p>
    <w:p>
      <w:pPr>
        <w:spacing w:after="0"/>
        <w:ind w:left="0"/>
        <w:jc w:val="both"/>
      </w:pPr>
      <w:r>
        <w:rPr>
          <w:rFonts w:ascii="Times New Roman"/>
          <w:b w:val="false"/>
          <w:i w:val="false"/>
          <w:color w:val="000000"/>
          <w:sz w:val="28"/>
        </w:rPr>
        <w:t>
      Снижению операционных рисков инвесторов и повышению уровня защиты прав собственности на ценные бумаги, во многом, послужило создание Единого регистратора ценных бумаг, являющегося единственной на территории республики организацией, осуществляющей ведение системы реестров держателей ценных бумаг, а также наделение фондовой биржи функциями клиринговой организации по сделкам с финансовыми инструментами.</w:t>
      </w:r>
    </w:p>
    <w:p>
      <w:pPr>
        <w:spacing w:after="0"/>
        <w:ind w:left="0"/>
        <w:jc w:val="both"/>
      </w:pPr>
      <w:r>
        <w:rPr>
          <w:rFonts w:ascii="Times New Roman"/>
          <w:b w:val="false"/>
          <w:i w:val="false"/>
          <w:color w:val="000000"/>
          <w:sz w:val="28"/>
        </w:rPr>
        <w:t>
      В настоящее время структура листинга на бирже составлена по принципу определения качественных характеристик в отношении финансовых инструментов, торгуемых на фондовой бирже, и по аналогии с подходами рейтинговых агентств к структуре оценки эмитентов. Так, наиболее надежные финансовые инструменты и их эмитенты включаются в наивысшие категории списков акций и долговых ценных бумаг, тогда как менее качественные финансовые инструменты и их эмитенты включаются в категории, следующие за наивысшими категориями.</w:t>
      </w:r>
    </w:p>
    <w:p>
      <w:pPr>
        <w:spacing w:after="0"/>
        <w:ind w:left="0"/>
        <w:jc w:val="both"/>
      </w:pPr>
      <w:r>
        <w:rPr>
          <w:rFonts w:ascii="Times New Roman"/>
          <w:b w:val="false"/>
          <w:i w:val="false"/>
          <w:color w:val="000000"/>
          <w:sz w:val="28"/>
        </w:rPr>
        <w:t>
      В связи с уходом накопительных пенсионных фондов необходимость в такой структуре листинга на фондовой бирже отпадает, в связи с чем ее следует упростить и сделать более удобной для эмитентов, с целью их привлечения на организованный рынок ценных бумаг. Оптимизация структуры листинга и введение информационного листинга будут стимулировать инвесторов в большей степени самостоятельно оценивать свои потенциальные риски при инвестировании в ценные бумаги эмитентов.</w:t>
      </w:r>
    </w:p>
    <w:p>
      <w:pPr>
        <w:spacing w:after="0"/>
        <w:ind w:left="0"/>
        <w:jc w:val="both"/>
      </w:pPr>
      <w:r>
        <w:rPr>
          <w:rFonts w:ascii="Times New Roman"/>
          <w:b w:val="false"/>
          <w:i w:val="false"/>
          <w:color w:val="000000"/>
          <w:sz w:val="28"/>
        </w:rPr>
        <w:t xml:space="preserve">
      На сегодняшний день действующая система осуществления торгов, клиринга и расчетов с ценными бумагами в совокупности с запретом на осуществление коротких продаж и маржинальных сделок исключает возможность дефолта (неисполнения обязательств) какой-либо из сторон сделок. </w:t>
      </w:r>
    </w:p>
    <w:p>
      <w:pPr>
        <w:spacing w:after="0"/>
        <w:ind w:left="0"/>
        <w:jc w:val="both"/>
      </w:pPr>
      <w:r>
        <w:rPr>
          <w:rFonts w:ascii="Times New Roman"/>
          <w:b w:val="false"/>
          <w:i w:val="false"/>
          <w:color w:val="000000"/>
          <w:sz w:val="28"/>
        </w:rPr>
        <w:t>
      С одной стороны такая система обеспечивает минимизацию рисков дефолта участников торгов в кризисные периоды, с другой стороны она же препятствует повышению ликвидности рынка ценных бумаг и объемов торгов в периоды роста экономики, а также является очень неудобной для иностранных инвесторов, которые ввиду разных часовых поясов не могут обеспечить своевременную поставку ценных бумаг или денег для участия в торгах.</w:t>
      </w:r>
    </w:p>
    <w:p>
      <w:pPr>
        <w:spacing w:after="0"/>
        <w:ind w:left="0"/>
        <w:jc w:val="both"/>
      </w:pPr>
      <w:r>
        <w:rPr>
          <w:rFonts w:ascii="Times New Roman"/>
          <w:b w:val="false"/>
          <w:i w:val="false"/>
          <w:color w:val="000000"/>
          <w:sz w:val="28"/>
        </w:rPr>
        <w:t>
      Региональный финансовый центр города Алматы. В соответствии с Индексом глобальных финансовых центров (The Global Financial Centres Index 15 (далее – GFCI))</w:t>
      </w:r>
      <w:r>
        <w:rPr>
          <w:rFonts w:ascii="Times New Roman"/>
          <w:b w:val="false"/>
          <w:i w:val="false"/>
          <w:color w:val="000000"/>
          <w:vertAlign w:val="superscript"/>
        </w:rPr>
        <w:t>5</w:t>
      </w:r>
      <w:r>
        <w:rPr>
          <w:rFonts w:ascii="Times New Roman"/>
          <w:b w:val="false"/>
          <w:i w:val="false"/>
          <w:color w:val="000000"/>
          <w:sz w:val="28"/>
        </w:rPr>
        <w:t xml:space="preserve"> город Алматы занял 58 позицию в официальном списке 83 международных финансовых центров и 13 место среди азиатских финансовых центров. При этом РФЦА опередил такие финансовые центры как Варшава, Манила, Москва.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5</w:t>
      </w:r>
      <w:r>
        <w:rPr>
          <w:rFonts w:ascii="Times New Roman"/>
          <w:b w:val="false"/>
          <w:i w:val="false"/>
          <w:color w:val="000000"/>
          <w:sz w:val="28"/>
        </w:rPr>
        <w:t xml:space="preserve"> Рейтинг GFCI является специализированной методологией рейтинговой оценки международных финансовых центров, разработанной компанией Z/Yen Group Limited</w:t>
      </w:r>
    </w:p>
    <w:p>
      <w:pPr>
        <w:spacing w:after="0"/>
        <w:ind w:left="0"/>
        <w:jc w:val="both"/>
      </w:pPr>
      <w:r>
        <w:rPr>
          <w:rFonts w:ascii="Times New Roman"/>
          <w:b w:val="false"/>
          <w:i w:val="false"/>
          <w:color w:val="000000"/>
          <w:sz w:val="28"/>
        </w:rPr>
        <w:t>
               Индекс глобальных финансовых центров в 2014 году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Источник: Z/Yen Group Limited</w:t>
      </w:r>
    </w:p>
    <w:p>
      <w:pPr>
        <w:spacing w:after="0"/>
        <w:ind w:left="0"/>
        <w:jc w:val="both"/>
      </w:pPr>
      <w:r>
        <w:rPr>
          <w:rFonts w:ascii="Times New Roman"/>
          <w:b w:val="false"/>
          <w:i w:val="false"/>
          <w:color w:val="000000"/>
          <w:sz w:val="28"/>
        </w:rPr>
        <w:t>
      Вместе с тем, развитие РФЦА протекает недостаточно активно, что связано с:</w:t>
      </w:r>
    </w:p>
    <w:p>
      <w:pPr>
        <w:spacing w:after="0"/>
        <w:ind w:left="0"/>
        <w:jc w:val="both"/>
      </w:pPr>
      <w:r>
        <w:rPr>
          <w:rFonts w:ascii="Times New Roman"/>
          <w:b w:val="false"/>
          <w:i w:val="false"/>
          <w:color w:val="000000"/>
          <w:sz w:val="28"/>
        </w:rPr>
        <w:t>
      1) низким уровнем конкурентоспособности отечественного фондового рынка, характеризующегося низкой ликвидностью (недостаток качественных финансовых инструментов и отсутствие интереса инвесторов в привлечении инвестиций через рынок ценных бумаг);</w:t>
      </w:r>
    </w:p>
    <w:p>
      <w:pPr>
        <w:spacing w:after="0"/>
        <w:ind w:left="0"/>
        <w:jc w:val="both"/>
      </w:pPr>
      <w:r>
        <w:rPr>
          <w:rFonts w:ascii="Times New Roman"/>
          <w:b w:val="false"/>
          <w:i w:val="false"/>
          <w:color w:val="000000"/>
          <w:sz w:val="28"/>
        </w:rPr>
        <w:t>
      2) недостаточно либеральными условиями на рынке (эффективная система регулирования, гибкая система законодательства, эффективная правовая и судебная системы, наличие стимулирующих мер, направленных на привлечение иностранных игроков);</w:t>
      </w:r>
    </w:p>
    <w:p>
      <w:pPr>
        <w:spacing w:after="0"/>
        <w:ind w:left="0"/>
        <w:jc w:val="both"/>
      </w:pPr>
      <w:r>
        <w:rPr>
          <w:rFonts w:ascii="Times New Roman"/>
          <w:b w:val="false"/>
          <w:i w:val="false"/>
          <w:color w:val="000000"/>
          <w:sz w:val="28"/>
        </w:rPr>
        <w:t>
      3) отсутствием комплексной среды институциональных и экономических условий, позволяющих наиболее эффективно использовать экономические ресурсы субъектов-участников финансовой системы.</w:t>
      </w:r>
    </w:p>
    <w:p>
      <w:pPr>
        <w:spacing w:after="0"/>
        <w:ind w:left="0"/>
        <w:jc w:val="both"/>
      </w:pPr>
      <w:r>
        <w:rPr>
          <w:rFonts w:ascii="Times New Roman"/>
          <w:b w:val="false"/>
          <w:i w:val="false"/>
          <w:color w:val="000000"/>
          <w:sz w:val="28"/>
        </w:rPr>
        <w:t xml:space="preserve">
      Как следствие, отсутствие в РФЦА явных конкурентных преимуществ не позволяет ему конкурировать наравне с мировыми финансовыми центрами, предлагающими широкий спектр финансовых услуг с наилучшими благоприятными условиями для работы. </w:t>
      </w:r>
    </w:p>
    <w:p>
      <w:pPr>
        <w:spacing w:after="0"/>
        <w:ind w:left="0"/>
        <w:jc w:val="both"/>
      </w:pPr>
      <w:r>
        <w:rPr>
          <w:rFonts w:ascii="Times New Roman"/>
          <w:b w:val="false"/>
          <w:i w:val="false"/>
          <w:color w:val="000000"/>
          <w:sz w:val="28"/>
        </w:rPr>
        <w:t>
      Исламское финансирование. В настоящее время создана правовая основа для функционирования исламских банков и организаций исламского финансирования (деятельности исламских инвестиционных фондов, выпуска исламских ценных бумаг), в ближайшее время будет принят закон, регламентирующий деятельность исламских страховых и лизинговых финансовых институтов.</w:t>
      </w:r>
    </w:p>
    <w:p>
      <w:pPr>
        <w:spacing w:after="0"/>
        <w:ind w:left="0"/>
        <w:jc w:val="both"/>
      </w:pPr>
      <w:r>
        <w:rPr>
          <w:rFonts w:ascii="Times New Roman"/>
          <w:b w:val="false"/>
          <w:i w:val="false"/>
          <w:color w:val="000000"/>
          <w:sz w:val="28"/>
        </w:rPr>
        <w:t>
      В Республике Казахстан функционирует исламский банк "Al Hilal", объем активов которого составляет 0,09 % от общего объема активов банковского сектора в Республике Казахстан. Кроме того, осуществляют свою деятельность исламская страховая компания – потребительский кооператив "Общество взаимного страхования "Такафул" и исламская лизинговая компания "Kazakhstan Ijara Company". Акционерным обществом "Банк Развития Казахстана" (далее – Банк Развития Казахстана) был осуществлен выпуск исламских облигаций "Сукук "аль-Мурабаха".</w:t>
      </w:r>
    </w:p>
    <w:p>
      <w:pPr>
        <w:spacing w:after="0"/>
        <w:ind w:left="0"/>
        <w:jc w:val="both"/>
      </w:pPr>
      <w:r>
        <w:rPr>
          <w:rFonts w:ascii="Times New Roman"/>
          <w:b w:val="false"/>
          <w:i w:val="false"/>
          <w:color w:val="000000"/>
          <w:sz w:val="28"/>
        </w:rPr>
        <w:t>
      Также по мере внедрения исламских финансовых инструментов на финансовом рынке выявлен ряд проблем, существенно ограничивающих функционирование исламского банкинга в Республике Казахстан и принципов исламского финансирования. Так, существуют проблемы общего и специфического характера. К общим проблемам в сфере исламского финансирования можно отнести: отсутствие квалифицированных кадров, имеющих опыт работы с исламскими продуктами; низкая финансовая грамотность и слабая осведомленность населения и бизнеса в области исламских финансов, несоблюдение принципов исламского финансирования. Среди специфических проблем необходимо выделить сложность адаптации норм исламского финансирования под законодательные принципы Республики Казахстан. Континентальная модель права, реализованная в Республике Казахстан, предполагает подробное описание конкретного продукта на уровне закона, что усложняет и затягивает внедрение инструментов исламского финансирования в стране. Также к специфическим проблемам можно отнести вопросы бухгалтерского учета сделок исламского финансирования, пруденциальные требования к исламским финансовым организациям и неурегулированность исламских финансовых услуг в налоговом законодательстве.</w:t>
      </w:r>
    </w:p>
    <w:bookmarkStart w:name="z10" w:id="7"/>
    <w:p>
      <w:pPr>
        <w:spacing w:after="0"/>
        <w:ind w:left="0"/>
        <w:jc w:val="left"/>
      </w:pPr>
      <w:r>
        <w:rPr>
          <w:rFonts w:ascii="Times New Roman"/>
          <w:b/>
          <w:i w:val="false"/>
          <w:color w:val="000000"/>
        </w:rPr>
        <w:t xml:space="preserve"> 2. Внешняя конкурентоспособность финансового рынка и</w:t>
      </w:r>
      <w:r>
        <w:br/>
      </w:r>
      <w:r>
        <w:rPr>
          <w:rFonts w:ascii="Times New Roman"/>
          <w:b/>
          <w:i w:val="false"/>
          <w:color w:val="000000"/>
        </w:rPr>
        <w:t>финансовых организаций</w:t>
      </w:r>
    </w:p>
    <w:bookmarkEnd w:id="7"/>
    <w:p>
      <w:pPr>
        <w:spacing w:after="0"/>
        <w:ind w:left="0"/>
        <w:jc w:val="both"/>
      </w:pPr>
      <w:r>
        <w:rPr>
          <w:rFonts w:ascii="Times New Roman"/>
          <w:b w:val="false"/>
          <w:i w:val="false"/>
          <w:color w:val="000000"/>
          <w:sz w:val="28"/>
        </w:rPr>
        <w:t>
      Глобальная конкурентоспособность. В соответствии с Отчетом о глобальной конкурентоспособности за 2013 – 2014 годы Всемирного экономического форума по фактору "развитость финансового рынка" Республика Казахстан занимает 103 место из 148 стран. Наихудшие показатели наблюдаются по показателям "устойчивость банков" (100 место), "финансирование через местный фондовый рынок" (100 место), "индекс законных прав" (101 место). Тем не менее, по сравнению с предыдущим отчетом Республика Казахстан поднялась с 115 места, улучшив результаты по большинству показателей.</w:t>
      </w:r>
    </w:p>
    <w:p>
      <w:pPr>
        <w:spacing w:after="0"/>
        <w:ind w:left="0"/>
        <w:jc w:val="both"/>
      </w:pPr>
      <w:r>
        <w:rPr>
          <w:rFonts w:ascii="Times New Roman"/>
          <w:b w:val="false"/>
          <w:i w:val="false"/>
          <w:color w:val="000000"/>
          <w:sz w:val="28"/>
        </w:rPr>
        <w:t>
      По сравнению с другими странами ЕЭП Республика Казахстан демонстрирует практически сопоставимые результаты. Российская Федерация в рейтинге за 2012 – 2013 годы заняла 121 место (Республика Беларусь не оценивается Всемирным экономическим форумом).</w:t>
      </w:r>
    </w:p>
    <w:p>
      <w:pPr>
        <w:spacing w:after="0"/>
        <w:ind w:left="0"/>
        <w:jc w:val="both"/>
      </w:pPr>
      <w:r>
        <w:rPr>
          <w:rFonts w:ascii="Times New Roman"/>
          <w:b w:val="false"/>
          <w:i w:val="false"/>
          <w:color w:val="000000"/>
          <w:sz w:val="28"/>
        </w:rPr>
        <w:t xml:space="preserve">
      Фактор "развитость финансового рынка" </w:t>
      </w:r>
    </w:p>
    <w:p>
      <w:pPr>
        <w:spacing w:after="0"/>
        <w:ind w:left="0"/>
        <w:jc w:val="both"/>
      </w:pPr>
      <w:r>
        <w:rPr>
          <w:rFonts w:ascii="Times New Roman"/>
          <w:b w:val="false"/>
          <w:i w:val="false"/>
          <w:color w:val="000000"/>
          <w:sz w:val="28"/>
        </w:rPr>
        <w:t>
      Индекса глобальной конкурентоспособности Всемирного экономического</w:t>
      </w:r>
    </w:p>
    <w:p>
      <w:pPr>
        <w:spacing w:after="0"/>
        <w:ind w:left="0"/>
        <w:jc w:val="both"/>
      </w:pPr>
      <w:r>
        <w:rPr>
          <w:rFonts w:ascii="Times New Roman"/>
          <w:b w:val="false"/>
          <w:i w:val="false"/>
          <w:color w:val="000000"/>
          <w:sz w:val="28"/>
        </w:rPr>
        <w:t>
      форума за 2013 – 2014 годы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Источник: Всемирный экономический форум, Global Competitiveness Report</w:t>
      </w:r>
    </w:p>
    <w:p>
      <w:pPr>
        <w:spacing w:after="0"/>
        <w:ind w:left="0"/>
        <w:jc w:val="both"/>
      </w:pPr>
      <w:r>
        <w:rPr>
          <w:rFonts w:ascii="Times New Roman"/>
          <w:b w:val="false"/>
          <w:i w:val="false"/>
          <w:color w:val="000000"/>
          <w:sz w:val="28"/>
        </w:rPr>
        <w:t>
      В соответствии с рейтингом глобальной конкурентоспособности Международного института развития менеджмента (Institute of Management Development) из оцениваемых 60 стран Республика Казахстан по субфактору "финансы" занимает 49 место.</w:t>
      </w:r>
    </w:p>
    <w:p>
      <w:pPr>
        <w:spacing w:after="0"/>
        <w:ind w:left="0"/>
        <w:jc w:val="both"/>
      </w:pPr>
      <w:r>
        <w:rPr>
          <w:rFonts w:ascii="Times New Roman"/>
          <w:b w:val="false"/>
          <w:i w:val="false"/>
          <w:color w:val="000000"/>
          <w:sz w:val="28"/>
        </w:rPr>
        <w:t xml:space="preserve">
      Показатель "финансы" </w:t>
      </w:r>
    </w:p>
    <w:p>
      <w:pPr>
        <w:spacing w:after="0"/>
        <w:ind w:left="0"/>
        <w:jc w:val="both"/>
      </w:pPr>
      <w:r>
        <w:rPr>
          <w:rFonts w:ascii="Times New Roman"/>
          <w:b w:val="false"/>
          <w:i w:val="false"/>
          <w:color w:val="000000"/>
          <w:sz w:val="28"/>
        </w:rPr>
        <w:t>
      Индекса глобальной конкурентоспособности Международного института</w:t>
      </w:r>
    </w:p>
    <w:p>
      <w:pPr>
        <w:spacing w:after="0"/>
        <w:ind w:left="0"/>
        <w:jc w:val="both"/>
      </w:pPr>
      <w:r>
        <w:rPr>
          <w:rFonts w:ascii="Times New Roman"/>
          <w:b w:val="false"/>
          <w:i w:val="false"/>
          <w:color w:val="000000"/>
          <w:sz w:val="28"/>
        </w:rPr>
        <w:t>
      развития менеджмента за 2013 – 2014 годы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326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Источник: Международный институт развития менеджмента (IMD), World Competitiveness Yearbook </w:t>
      </w:r>
    </w:p>
    <w:p>
      <w:pPr>
        <w:spacing w:after="0"/>
        <w:ind w:left="0"/>
        <w:jc w:val="both"/>
      </w:pPr>
      <w:r>
        <w:rPr>
          <w:rFonts w:ascii="Times New Roman"/>
          <w:b w:val="false"/>
          <w:i w:val="false"/>
          <w:color w:val="000000"/>
          <w:sz w:val="28"/>
        </w:rPr>
        <w:t>
      Вклад финансового сектора в масштабе ЕЭП. В общем объеме активов банковской системы трех стран Евразийского экономического союза на конец 2013 года доля активов казахстанских банков в абсолютном выражении составляла 5,3 %, тогда как доля российских банков – 92,5 %, а белорусских банков – 2,2 %. Средний размер чистых активов российского банка, входящего в первую 20-ку по данному показателю, составлял в эквиваленте 61,7 млрд. долларов США, в том числе по первой 6-ке крупнейших банков с полным или превалирующим государственным участием – 160,3 млрд. долларов США. Активы крупнейшего российского банка – открытого акционерного общества "Сбербанк России", оценивались в 511 млрд. долларов США, 6-го по величине банка – открытого акционерного общества "Банк Москвы" – 56 млрд. долларов США.</w:t>
      </w:r>
    </w:p>
    <w:p>
      <w:pPr>
        <w:spacing w:after="0"/>
        <w:ind w:left="0"/>
        <w:jc w:val="both"/>
      </w:pPr>
      <w:r>
        <w:rPr>
          <w:rFonts w:ascii="Times New Roman"/>
          <w:b w:val="false"/>
          <w:i w:val="false"/>
          <w:color w:val="000000"/>
          <w:sz w:val="28"/>
        </w:rPr>
        <w:t>
            Средний размер активов первой 5-ки крупнейших казахстанских банков на конец 2013 года составлял 11,2 млрд. долларов США, при этом активы крупнейшего банка – акционерного общества "Казкоммерцбанк" – эквивалентны 16,2 млрд. долларов США.</w:t>
      </w:r>
    </w:p>
    <w:p>
      <w:pPr>
        <w:spacing w:after="0"/>
        <w:ind w:left="0"/>
        <w:jc w:val="both"/>
      </w:pPr>
      <w:r>
        <w:rPr>
          <w:rFonts w:ascii="Times New Roman"/>
          <w:b w:val="false"/>
          <w:i w:val="false"/>
          <w:color w:val="000000"/>
          <w:sz w:val="28"/>
        </w:rPr>
        <w:t>
            Несмотря на то, что средний размер активов крупнейших белорусских банков существенно уступает как российским, так и казахстанским – 6,6 млрд. долларов США в среднем по первой 5-ке банков, активы крупнейшего банка – открытого акционерного общества "АСБ Беларусбанк"</w:t>
      </w:r>
      <w:r>
        <w:rPr>
          <w:rFonts w:ascii="Times New Roman"/>
          <w:b w:val="false"/>
          <w:i w:val="false"/>
          <w:color w:val="000000"/>
          <w:vertAlign w:val="superscript"/>
        </w:rPr>
        <w:t>6</w:t>
      </w:r>
      <w:r>
        <w:rPr>
          <w:rFonts w:ascii="Times New Roman"/>
          <w:b w:val="false"/>
          <w:i w:val="false"/>
          <w:color w:val="000000"/>
          <w:sz w:val="28"/>
        </w:rPr>
        <w:t xml:space="preserve"> – оцениваются в 16,9 млрд. долларов США.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6</w:t>
      </w:r>
      <w:r>
        <w:rPr>
          <w:rFonts w:ascii="Times New Roman"/>
          <w:b w:val="false"/>
          <w:i w:val="false"/>
          <w:color w:val="000000"/>
          <w:sz w:val="28"/>
        </w:rPr>
        <w:t xml:space="preserve"> На 99 % государственная собственность</w:t>
      </w:r>
    </w:p>
    <w:p>
      <w:pPr>
        <w:spacing w:after="0"/>
        <w:ind w:left="0"/>
        <w:jc w:val="both"/>
      </w:pPr>
      <w:r>
        <w:rPr>
          <w:rFonts w:ascii="Times New Roman"/>
          <w:b w:val="false"/>
          <w:i w:val="false"/>
          <w:color w:val="000000"/>
          <w:sz w:val="28"/>
        </w:rPr>
        <w:t>
      Сопоставление размеров банковского сектора стран-участниц ЕЭП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Источники:</w:t>
      </w:r>
    </w:p>
    <w:p>
      <w:pPr>
        <w:spacing w:after="0"/>
        <w:ind w:left="0"/>
        <w:jc w:val="both"/>
      </w:pPr>
      <w:r>
        <w:rPr>
          <w:rFonts w:ascii="Times New Roman"/>
          <w:b w:val="false"/>
          <w:i w:val="false"/>
          <w:color w:val="000000"/>
          <w:sz w:val="28"/>
        </w:rPr>
        <w:t>
      1. Комитет по контролю и надзору финансового рынка и финансовых</w:t>
      </w:r>
    </w:p>
    <w:p>
      <w:pPr>
        <w:spacing w:after="0"/>
        <w:ind w:left="0"/>
        <w:jc w:val="both"/>
      </w:pPr>
      <w:r>
        <w:rPr>
          <w:rFonts w:ascii="Times New Roman"/>
          <w:b w:val="false"/>
          <w:i w:val="false"/>
          <w:color w:val="000000"/>
          <w:sz w:val="28"/>
        </w:rPr>
        <w:t>
      организаций Национального Банка Республики Казахстан</w:t>
      </w:r>
    </w:p>
    <w:p>
      <w:pPr>
        <w:spacing w:after="0"/>
        <w:ind w:left="0"/>
        <w:jc w:val="both"/>
      </w:pPr>
      <w:r>
        <w:rPr>
          <w:rFonts w:ascii="Times New Roman"/>
          <w:b w:val="false"/>
          <w:i w:val="false"/>
          <w:color w:val="000000"/>
          <w:sz w:val="28"/>
        </w:rPr>
        <w:t>
      2. Агентство Республики Казахстан по статистике</w:t>
      </w:r>
    </w:p>
    <w:p>
      <w:pPr>
        <w:spacing w:after="0"/>
        <w:ind w:left="0"/>
        <w:jc w:val="both"/>
      </w:pPr>
      <w:r>
        <w:rPr>
          <w:rFonts w:ascii="Times New Roman"/>
          <w:b w:val="false"/>
          <w:i w:val="false"/>
          <w:color w:val="000000"/>
          <w:sz w:val="28"/>
        </w:rPr>
        <w:t>
      3. Национальный Банк Республики Беларусь</w:t>
      </w:r>
    </w:p>
    <w:p>
      <w:pPr>
        <w:spacing w:after="0"/>
        <w:ind w:left="0"/>
        <w:jc w:val="both"/>
      </w:pPr>
      <w:r>
        <w:rPr>
          <w:rFonts w:ascii="Times New Roman"/>
          <w:b w:val="false"/>
          <w:i w:val="false"/>
          <w:color w:val="000000"/>
          <w:sz w:val="28"/>
        </w:rPr>
        <w:t xml:space="preserve">
      4. Центральный Банк Российской Федерации </w:t>
      </w:r>
    </w:p>
    <w:p>
      <w:pPr>
        <w:spacing w:after="0"/>
        <w:ind w:left="0"/>
        <w:jc w:val="both"/>
      </w:pPr>
      <w:r>
        <w:rPr>
          <w:rFonts w:ascii="Times New Roman"/>
          <w:b w:val="false"/>
          <w:i w:val="false"/>
          <w:color w:val="000000"/>
          <w:sz w:val="28"/>
        </w:rPr>
        <w:t xml:space="preserve">
      5. Федеральная служба государственной статистики </w:t>
      </w:r>
    </w:p>
    <w:p>
      <w:pPr>
        <w:spacing w:after="0"/>
        <w:ind w:left="0"/>
        <w:jc w:val="both"/>
      </w:pPr>
      <w:r>
        <w:rPr>
          <w:rFonts w:ascii="Times New Roman"/>
          <w:b w:val="false"/>
          <w:i w:val="false"/>
          <w:color w:val="000000"/>
          <w:sz w:val="28"/>
        </w:rPr>
        <w:t>
      6. www.banki.ru</w:t>
      </w:r>
    </w:p>
    <w:p>
      <w:pPr>
        <w:spacing w:after="0"/>
        <w:ind w:left="0"/>
        <w:jc w:val="both"/>
      </w:pPr>
      <w:r>
        <w:rPr>
          <w:rFonts w:ascii="Times New Roman"/>
          <w:b w:val="false"/>
          <w:i w:val="false"/>
          <w:color w:val="000000"/>
          <w:sz w:val="28"/>
        </w:rPr>
        <w:t>
      Расчеты: Национальный Банк Республики Казахстан</w:t>
      </w:r>
    </w:p>
    <w:p>
      <w:pPr>
        <w:spacing w:after="0"/>
        <w:ind w:left="0"/>
        <w:jc w:val="both"/>
      </w:pPr>
      <w:r>
        <w:rPr>
          <w:rFonts w:ascii="Times New Roman"/>
          <w:b w:val="false"/>
          <w:i w:val="false"/>
          <w:color w:val="000000"/>
          <w:sz w:val="28"/>
        </w:rPr>
        <w:t>
      В числе 50 крупнейших по активам банков стран ЕЭП Республика Казахстан представлена 8 банками, Республика Беларусь – 2 банками.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Источники:</w:t>
      </w:r>
    </w:p>
    <w:p>
      <w:pPr>
        <w:spacing w:after="0"/>
        <w:ind w:left="0"/>
        <w:jc w:val="both"/>
      </w:pPr>
      <w:r>
        <w:rPr>
          <w:rFonts w:ascii="Times New Roman"/>
          <w:b w:val="false"/>
          <w:i w:val="false"/>
          <w:color w:val="000000"/>
          <w:sz w:val="28"/>
        </w:rPr>
        <w:t xml:space="preserve">
      1. Комитет по контролю и надзору финансового рынка и финансовых организаций Национального Банка Республики Казахстан </w:t>
      </w:r>
    </w:p>
    <w:p>
      <w:pPr>
        <w:spacing w:after="0"/>
        <w:ind w:left="0"/>
        <w:jc w:val="both"/>
      </w:pPr>
      <w:r>
        <w:rPr>
          <w:rFonts w:ascii="Times New Roman"/>
          <w:b w:val="false"/>
          <w:i w:val="false"/>
          <w:color w:val="000000"/>
          <w:sz w:val="28"/>
        </w:rPr>
        <w:t xml:space="preserve">
      2. Национальный Банк Республики Беларусь </w:t>
      </w:r>
    </w:p>
    <w:p>
      <w:pPr>
        <w:spacing w:after="0"/>
        <w:ind w:left="0"/>
        <w:jc w:val="both"/>
      </w:pPr>
      <w:r>
        <w:rPr>
          <w:rFonts w:ascii="Times New Roman"/>
          <w:b w:val="false"/>
          <w:i w:val="false"/>
          <w:color w:val="000000"/>
          <w:sz w:val="28"/>
        </w:rPr>
        <w:t>
      3. www.banki.ru</w:t>
      </w:r>
    </w:p>
    <w:p>
      <w:pPr>
        <w:spacing w:after="0"/>
        <w:ind w:left="0"/>
        <w:jc w:val="both"/>
      </w:pPr>
      <w:r>
        <w:rPr>
          <w:rFonts w:ascii="Times New Roman"/>
          <w:b w:val="false"/>
          <w:i w:val="false"/>
          <w:color w:val="000000"/>
          <w:sz w:val="28"/>
        </w:rPr>
        <w:t>
      Расчеты: Национальный Банк Республики Казахстан</w:t>
      </w:r>
    </w:p>
    <w:p>
      <w:pPr>
        <w:spacing w:after="0"/>
        <w:ind w:left="0"/>
        <w:jc w:val="both"/>
      </w:pPr>
      <w:r>
        <w:rPr>
          <w:rFonts w:ascii="Times New Roman"/>
          <w:b w:val="false"/>
          <w:i w:val="false"/>
          <w:color w:val="000000"/>
          <w:sz w:val="28"/>
        </w:rPr>
        <w:t>
      Интеграционные процессы в рамках ЕЭП требуют оценки количественных и качественных показателей страховых рынков Российской Федерации, Республики Беларусь и Республики Казахстан. Разница в объемах рынков стран ЕЭП не будет являться препятствием для интеграции, в случае если процесс гармонизации законодательства будет направлен на повышение конкурентоспособности национальных страховых рынков.</w:t>
      </w:r>
    </w:p>
    <w:p>
      <w:pPr>
        <w:spacing w:after="0"/>
        <w:ind w:left="0"/>
        <w:jc w:val="both"/>
      </w:pPr>
      <w:r>
        <w:rPr>
          <w:rFonts w:ascii="Times New Roman"/>
          <w:b w:val="false"/>
          <w:i w:val="false"/>
          <w:color w:val="000000"/>
          <w:sz w:val="28"/>
        </w:rPr>
        <w:t>
      Страновая структура страхового рынка стран ЕЭП по полученным страховым премиям практически аналогична соответствующей структуре активов банковского сектора. Доля казахстанского страхового рынка в 2013 году увеличилась до 5,9 % (в 2012 году – 5,6 %). Также увеличилась доля белорусского страхового рынка с 1,6 % до 2,4 %, тогда как доля российского рынка страхования сократилась с 92,5 % до 91,7 %.</w:t>
      </w:r>
    </w:p>
    <w:p>
      <w:pPr>
        <w:spacing w:after="0"/>
        <w:ind w:left="0"/>
        <w:jc w:val="both"/>
      </w:pPr>
      <w:r>
        <w:rPr>
          <w:rFonts w:ascii="Times New Roman"/>
          <w:b w:val="false"/>
          <w:i w:val="false"/>
          <w:color w:val="000000"/>
          <w:sz w:val="28"/>
        </w:rPr>
        <w:t>
      Вместе с тем, страховые компании Российской Федерации остаются крупнейшими на пространстве ЕЭП. Так, размер полученных премий в расчете на одну российскую страховую компанию в 2012 году оценивался в 75 млн. долларов США, а по компаниям, входящим в первую 20-ку по данному показателю, – 1 015 млн. долларов США. При этом в отличие от банковского сектора на российском рынке страхования отсутствует игрок, в несколько раз превышающий своих конкурентов, а крупнейшая страховая компания на 100 % принадлежит частным акционерам.</w:t>
      </w:r>
    </w:p>
    <w:p>
      <w:pPr>
        <w:spacing w:after="0"/>
        <w:ind w:left="0"/>
        <w:jc w:val="both"/>
      </w:pPr>
      <w:r>
        <w:rPr>
          <w:rFonts w:ascii="Times New Roman"/>
          <w:b w:val="false"/>
          <w:i w:val="false"/>
          <w:color w:val="000000"/>
          <w:sz w:val="28"/>
        </w:rPr>
        <w:t>
      Размер полученных премий в расчете на одну казахстанскую страховую организацию в 2012 году оценивался в 54 млн. долларов США. При этом объем страховых премий, полученных крупнейшим страховщиком, – акционерным обществом "Kaspi Страхование" – эквивалентен 286,5 млн. долларов США. Следует отметить, что разрыв между страховыми организациями "первой десятки" Республики Казахстан является несущественным – разница не превышает 4,6 раз.</w:t>
      </w:r>
    </w:p>
    <w:p>
      <w:pPr>
        <w:spacing w:after="0"/>
        <w:ind w:left="0"/>
        <w:jc w:val="both"/>
      </w:pPr>
      <w:r>
        <w:rPr>
          <w:rFonts w:ascii="Times New Roman"/>
          <w:b w:val="false"/>
          <w:i w:val="false"/>
          <w:color w:val="000000"/>
          <w:sz w:val="28"/>
        </w:rPr>
        <w:t>
      Рынок страховых услуг Республики Беларусь представлен одним крупным игроком – Белгосстрах</w:t>
      </w:r>
      <w:r>
        <w:rPr>
          <w:rFonts w:ascii="Times New Roman"/>
          <w:b w:val="false"/>
          <w:i w:val="false"/>
          <w:color w:val="000000"/>
          <w:vertAlign w:val="superscript"/>
        </w:rPr>
        <w:t>3</w:t>
      </w:r>
      <w:r>
        <w:rPr>
          <w:rFonts w:ascii="Times New Roman"/>
          <w:b w:val="false"/>
          <w:i w:val="false"/>
          <w:color w:val="000000"/>
          <w:sz w:val="28"/>
        </w:rPr>
        <w:t xml:space="preserve"> (343 млн. долларов США в виде страховых премий в 2013 году, что составляет почти 47 % от общего объема белорусского рынка), тогда как размеры остальных страховых компаний являются несущественными. Также в Белоруссии действует республиканское унитарное предприятие "Белорусская национальная перестраховочная организация", которая обеспечивает перестраховочную защиту белорусских рисков при недостаточности собственного удержания местных страховых организаций, способствуя уменьшению доли переданных в перестрахование рисков иностранным перестраховочным компаниям.</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3</w:t>
      </w:r>
      <w:r>
        <w:rPr>
          <w:rFonts w:ascii="Times New Roman"/>
          <w:b w:val="false"/>
          <w:i w:val="false"/>
          <w:color w:val="000000"/>
          <w:sz w:val="28"/>
        </w:rPr>
        <w:t xml:space="preserve"> Белорусское республиканское унитарное страховое предприятие</w:t>
      </w:r>
    </w:p>
    <w:p>
      <w:pPr>
        <w:spacing w:after="0"/>
        <w:ind w:left="0"/>
        <w:jc w:val="both"/>
      </w:pPr>
      <w:r>
        <w:rPr>
          <w:rFonts w:ascii="Times New Roman"/>
          <w:b w:val="false"/>
          <w:i w:val="false"/>
          <w:color w:val="000000"/>
          <w:sz w:val="28"/>
        </w:rPr>
        <w:t>
      Сопоставление размеров страхового сектора стран-участниц ЕЭП</w:t>
      </w:r>
    </w:p>
    <w:p>
      <w:pPr>
        <w:spacing w:after="0"/>
        <w:ind w:left="0"/>
        <w:jc w:val="both"/>
      </w:pPr>
      <w:r>
        <w:rPr>
          <w:rFonts w:ascii="Times New Roman"/>
          <w:b w:val="false"/>
          <w:i w:val="false"/>
          <w:color w:val="000000"/>
          <w:sz w:val="28"/>
        </w:rPr>
        <w:t>
      Активы страховых организаций, млн.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ЕЭП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Капитал страховых организаций, млн.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ЕЭП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Страховые выплаты, млн.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ЕЭП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12 887</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Источники:</w:t>
      </w:r>
    </w:p>
    <w:p>
      <w:pPr>
        <w:spacing w:after="0"/>
        <w:ind w:left="0"/>
        <w:jc w:val="both"/>
      </w:pPr>
      <w:r>
        <w:rPr>
          <w:rFonts w:ascii="Times New Roman"/>
          <w:b w:val="false"/>
          <w:i w:val="false"/>
          <w:color w:val="000000"/>
          <w:sz w:val="28"/>
        </w:rPr>
        <w:t>
      1. Комитет по контролю и надзору финансового рынка и финансовых организаций Национального Банка Республики Казахстан</w:t>
      </w:r>
    </w:p>
    <w:p>
      <w:pPr>
        <w:spacing w:after="0"/>
        <w:ind w:left="0"/>
        <w:jc w:val="both"/>
      </w:pPr>
      <w:r>
        <w:rPr>
          <w:rFonts w:ascii="Times New Roman"/>
          <w:b w:val="false"/>
          <w:i w:val="false"/>
          <w:color w:val="000000"/>
          <w:sz w:val="28"/>
        </w:rPr>
        <w:t>
      2. Министерство финансов Республики Беларусь</w:t>
      </w:r>
    </w:p>
    <w:p>
      <w:pPr>
        <w:spacing w:after="0"/>
        <w:ind w:left="0"/>
        <w:jc w:val="both"/>
      </w:pPr>
      <w:r>
        <w:rPr>
          <w:rFonts w:ascii="Times New Roman"/>
          <w:b w:val="false"/>
          <w:i w:val="false"/>
          <w:color w:val="000000"/>
          <w:sz w:val="28"/>
        </w:rPr>
        <w:t>
      3. Федеральная служба по финансовым рынкам Российской Федерации</w:t>
      </w:r>
    </w:p>
    <w:p>
      <w:pPr>
        <w:spacing w:after="0"/>
        <w:ind w:left="0"/>
        <w:jc w:val="both"/>
      </w:pPr>
      <w:r>
        <w:rPr>
          <w:rFonts w:ascii="Times New Roman"/>
          <w:b w:val="false"/>
          <w:i w:val="false"/>
          <w:color w:val="000000"/>
          <w:sz w:val="28"/>
        </w:rPr>
        <w:t>
      Расчеты: Национальный Банк Республики Казахстан</w:t>
      </w:r>
    </w:p>
    <w:p>
      <w:pPr>
        <w:spacing w:after="0"/>
        <w:ind w:left="0"/>
        <w:jc w:val="both"/>
      </w:pPr>
      <w:r>
        <w:rPr>
          <w:rFonts w:ascii="Times New Roman"/>
          <w:b w:val="false"/>
          <w:i w:val="false"/>
          <w:color w:val="000000"/>
          <w:sz w:val="28"/>
        </w:rPr>
        <w:t>
      В числе 50 крупнейших страховых организаций стран ЕЭП по полученным страховым премиям Республика Казахстан представлена 7 организациями, Республика Беларусь – 1 организацией.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089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Источники:</w:t>
      </w:r>
    </w:p>
    <w:p>
      <w:pPr>
        <w:spacing w:after="0"/>
        <w:ind w:left="0"/>
        <w:jc w:val="both"/>
      </w:pPr>
      <w:r>
        <w:rPr>
          <w:rFonts w:ascii="Times New Roman"/>
          <w:b w:val="false"/>
          <w:i w:val="false"/>
          <w:color w:val="000000"/>
          <w:sz w:val="28"/>
        </w:rPr>
        <w:t>
      1. Комитет по контролю и надзору финансового рынка и финансовых организаций Национального Банка Республики Казахстан</w:t>
      </w:r>
    </w:p>
    <w:p>
      <w:pPr>
        <w:spacing w:after="0"/>
        <w:ind w:left="0"/>
        <w:jc w:val="both"/>
      </w:pPr>
      <w:r>
        <w:rPr>
          <w:rFonts w:ascii="Times New Roman"/>
          <w:b w:val="false"/>
          <w:i w:val="false"/>
          <w:color w:val="000000"/>
          <w:sz w:val="28"/>
        </w:rPr>
        <w:t>
      2. Министерство финансов Республики Беларусь</w:t>
      </w:r>
    </w:p>
    <w:p>
      <w:pPr>
        <w:spacing w:after="0"/>
        <w:ind w:left="0"/>
        <w:jc w:val="both"/>
      </w:pPr>
      <w:r>
        <w:rPr>
          <w:rFonts w:ascii="Times New Roman"/>
          <w:b w:val="false"/>
          <w:i w:val="false"/>
          <w:color w:val="000000"/>
          <w:sz w:val="28"/>
        </w:rPr>
        <w:t>
      3. Федеральная служба по финансовым рынкам Российской Федерации</w:t>
      </w:r>
    </w:p>
    <w:p>
      <w:pPr>
        <w:spacing w:after="0"/>
        <w:ind w:left="0"/>
        <w:jc w:val="both"/>
      </w:pPr>
      <w:r>
        <w:rPr>
          <w:rFonts w:ascii="Times New Roman"/>
          <w:b w:val="false"/>
          <w:i w:val="false"/>
          <w:color w:val="000000"/>
          <w:sz w:val="28"/>
        </w:rPr>
        <w:t>
      Расчеты: Национальный Банк Республики Казахстан</w:t>
      </w:r>
    </w:p>
    <w:p>
      <w:pPr>
        <w:spacing w:after="0"/>
        <w:ind w:left="0"/>
        <w:jc w:val="both"/>
      </w:pPr>
      <w:r>
        <w:rPr>
          <w:rFonts w:ascii="Times New Roman"/>
          <w:b w:val="false"/>
          <w:i w:val="false"/>
          <w:color w:val="000000"/>
          <w:sz w:val="28"/>
        </w:rPr>
        <w:t>
      На конец 2013 года капитализация как Казахстанской фондовой биржи, так и российской фондовой биржи – открытого акционерного общества "Московская биржа" (далее – Московская биржа) была сопоставима и составляла приблизительно треть объема ВВП соответствующих стран. При этом в течение трех последних лет прослеживается тенденция к снижению данного показателя в абсолютном и относительном выражении (по отношению к ВВП) по сравнению с максимумом, достигнутым в 2006 – 2007 годах, что в большей степени было вызвано снижением стоимости акций, входящих в представительские индексы данных фондовых бирж.</w:t>
      </w:r>
    </w:p>
    <w:p>
      <w:pPr>
        <w:spacing w:after="0"/>
        <w:ind w:left="0"/>
        <w:jc w:val="both"/>
      </w:pPr>
      <w:r>
        <w:rPr>
          <w:rFonts w:ascii="Times New Roman"/>
          <w:b w:val="false"/>
          <w:i w:val="false"/>
          <w:color w:val="000000"/>
          <w:sz w:val="28"/>
        </w:rPr>
        <w:t>
      Так, в 2013 году общее число акционерных обществ с действующими выпусками акций на Казахстанской фондовой бирже выросло на 9 % по сравнению с 2009 годом. В то же время, на российском рынке акций была отложена существенная часть запланированных размещений акций. Как на российском, так и на казахстанском рынке ценных бумаг наблюдается уменьшение оборота биржевых торгов.</w:t>
      </w:r>
    </w:p>
    <w:p>
      <w:pPr>
        <w:spacing w:after="0"/>
        <w:ind w:left="0"/>
        <w:jc w:val="both"/>
      </w:pPr>
      <w:r>
        <w:rPr>
          <w:rFonts w:ascii="Times New Roman"/>
          <w:b w:val="false"/>
          <w:i w:val="false"/>
          <w:color w:val="000000"/>
          <w:sz w:val="28"/>
        </w:rPr>
        <w:t>
      Сопоставление размеров фондового рынка стран-участниц ЕЭП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707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707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Источники:</w:t>
      </w:r>
    </w:p>
    <w:p>
      <w:pPr>
        <w:spacing w:after="0"/>
        <w:ind w:left="0"/>
        <w:jc w:val="both"/>
      </w:pPr>
      <w:r>
        <w:rPr>
          <w:rFonts w:ascii="Times New Roman"/>
          <w:b w:val="false"/>
          <w:i w:val="false"/>
          <w:color w:val="000000"/>
          <w:sz w:val="28"/>
        </w:rPr>
        <w:t xml:space="preserve">
      1. Комитет по контролю и надзору финансового рынка и финансовых организаций Национального Банка Республики Казахстан </w:t>
      </w:r>
    </w:p>
    <w:p>
      <w:pPr>
        <w:spacing w:after="0"/>
        <w:ind w:left="0"/>
        <w:jc w:val="both"/>
      </w:pPr>
      <w:r>
        <w:rPr>
          <w:rFonts w:ascii="Times New Roman"/>
          <w:b w:val="false"/>
          <w:i w:val="false"/>
          <w:color w:val="000000"/>
          <w:sz w:val="28"/>
        </w:rPr>
        <w:t>
      2. Агентство Республики Казахстан по статистике</w:t>
      </w:r>
    </w:p>
    <w:p>
      <w:pPr>
        <w:spacing w:after="0"/>
        <w:ind w:left="0"/>
        <w:jc w:val="both"/>
      </w:pPr>
      <w:r>
        <w:rPr>
          <w:rFonts w:ascii="Times New Roman"/>
          <w:b w:val="false"/>
          <w:i w:val="false"/>
          <w:color w:val="000000"/>
          <w:sz w:val="28"/>
        </w:rPr>
        <w:t>
      3. Центральный Банк Российской Федерации</w:t>
      </w:r>
    </w:p>
    <w:p>
      <w:pPr>
        <w:spacing w:after="0"/>
        <w:ind w:left="0"/>
        <w:jc w:val="both"/>
      </w:pPr>
      <w:r>
        <w:rPr>
          <w:rFonts w:ascii="Times New Roman"/>
          <w:b w:val="false"/>
          <w:i w:val="false"/>
          <w:color w:val="000000"/>
          <w:sz w:val="28"/>
        </w:rPr>
        <w:t>
      4. Федеральная служба государственной статистики</w:t>
      </w:r>
    </w:p>
    <w:p>
      <w:pPr>
        <w:spacing w:after="0"/>
        <w:ind w:left="0"/>
        <w:jc w:val="both"/>
      </w:pPr>
      <w:r>
        <w:rPr>
          <w:rFonts w:ascii="Times New Roman"/>
          <w:b w:val="false"/>
          <w:i w:val="false"/>
          <w:color w:val="000000"/>
          <w:sz w:val="28"/>
        </w:rPr>
        <w:t>
      Расчеты: Национальный Банк Республики Казахстан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Источники:</w:t>
      </w:r>
    </w:p>
    <w:p>
      <w:pPr>
        <w:spacing w:after="0"/>
        <w:ind w:left="0"/>
        <w:jc w:val="both"/>
      </w:pPr>
      <w:r>
        <w:rPr>
          <w:rFonts w:ascii="Times New Roman"/>
          <w:b w:val="false"/>
          <w:i w:val="false"/>
          <w:color w:val="000000"/>
          <w:sz w:val="28"/>
        </w:rPr>
        <w:t xml:space="preserve">
      1. Казахстанская фондовая биржа </w:t>
      </w:r>
    </w:p>
    <w:p>
      <w:pPr>
        <w:spacing w:after="0"/>
        <w:ind w:left="0"/>
        <w:jc w:val="both"/>
      </w:pPr>
      <w:r>
        <w:rPr>
          <w:rFonts w:ascii="Times New Roman"/>
          <w:b w:val="false"/>
          <w:i w:val="false"/>
          <w:color w:val="000000"/>
          <w:sz w:val="28"/>
        </w:rPr>
        <w:t xml:space="preserve">
      2. Московская биржа </w:t>
      </w:r>
    </w:p>
    <w:p>
      <w:pPr>
        <w:spacing w:after="0"/>
        <w:ind w:left="0"/>
        <w:jc w:val="both"/>
      </w:pPr>
      <w:r>
        <w:rPr>
          <w:rFonts w:ascii="Times New Roman"/>
          <w:b w:val="false"/>
          <w:i w:val="false"/>
          <w:color w:val="000000"/>
          <w:sz w:val="28"/>
        </w:rPr>
        <w:t>
      Учитывая то, что российский и казахстанский фондовые рынки относятся к категории развивающихся, в том числе из-за сырьевой направленности развития экономики (нефть, газ, металлургия и атомная промышленность), динамика индекса Казахстанской фондовой биржи практически полностью повторяет динамику индекса Московской биржи.</w:t>
      </w:r>
    </w:p>
    <w:p>
      <w:pPr>
        <w:spacing w:after="0"/>
        <w:ind w:left="0"/>
        <w:jc w:val="both"/>
      </w:pPr>
      <w:r>
        <w:rPr>
          <w:rFonts w:ascii="Times New Roman"/>
          <w:b w:val="false"/>
          <w:i w:val="false"/>
          <w:color w:val="000000"/>
          <w:sz w:val="28"/>
        </w:rPr>
        <w:t>
      Вместе с тем, показатели количества членов, торгуемых инструментов и эмитентов казахстанской и российской фондовых биржи, ввиду масштабности экономики Российской Федерации, не сопоставимы.</w:t>
      </w:r>
    </w:p>
    <w:p>
      <w:pPr>
        <w:spacing w:after="0"/>
        <w:ind w:left="0"/>
        <w:jc w:val="both"/>
      </w:pPr>
      <w:r>
        <w:rPr>
          <w:rFonts w:ascii="Times New Roman"/>
          <w:b w:val="false"/>
          <w:i w:val="false"/>
          <w:color w:val="000000"/>
          <w:sz w:val="28"/>
        </w:rPr>
        <w:t>
      Так, количество участников торгов на Московской бирже превышает количество участников на Казахстанской фондовой бирже в 13 раз, количество инструментов – в 3 раза, количество эмитентов – в 5 раз.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94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94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Источники:</w:t>
      </w:r>
    </w:p>
    <w:p>
      <w:pPr>
        <w:spacing w:after="0"/>
        <w:ind w:left="0"/>
        <w:jc w:val="both"/>
      </w:pPr>
      <w:r>
        <w:rPr>
          <w:rFonts w:ascii="Times New Roman"/>
          <w:b w:val="false"/>
          <w:i w:val="false"/>
          <w:color w:val="000000"/>
          <w:sz w:val="28"/>
        </w:rPr>
        <w:t>
      1. Казахстанская фондовая биржа</w:t>
      </w:r>
    </w:p>
    <w:p>
      <w:pPr>
        <w:spacing w:after="0"/>
        <w:ind w:left="0"/>
        <w:jc w:val="both"/>
      </w:pPr>
      <w:r>
        <w:rPr>
          <w:rFonts w:ascii="Times New Roman"/>
          <w:b w:val="false"/>
          <w:i w:val="false"/>
          <w:color w:val="000000"/>
          <w:sz w:val="28"/>
        </w:rPr>
        <w:t xml:space="preserve">
      2. Московская биржа </w:t>
      </w:r>
    </w:p>
    <w:p>
      <w:pPr>
        <w:spacing w:after="0"/>
        <w:ind w:left="0"/>
        <w:jc w:val="both"/>
      </w:pPr>
      <w:r>
        <w:rPr>
          <w:rFonts w:ascii="Times New Roman"/>
          <w:b w:val="false"/>
          <w:i w:val="false"/>
          <w:color w:val="000000"/>
          <w:sz w:val="28"/>
        </w:rPr>
        <w:t xml:space="preserve">
             Количество торгуемых ценных бумаг на фондовых биржах </w:t>
      </w:r>
    </w:p>
    <w:p>
      <w:pPr>
        <w:spacing w:after="0"/>
        <w:ind w:left="0"/>
        <w:jc w:val="both"/>
      </w:pPr>
      <w:r>
        <w:rPr>
          <w:rFonts w:ascii="Times New Roman"/>
          <w:b w:val="false"/>
          <w:i w:val="false"/>
          <w:color w:val="000000"/>
          <w:sz w:val="28"/>
        </w:rPr>
        <w:t>
                         (ценные бумаги/эмитенты)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фондовая 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биржа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облигации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Источники:</w:t>
      </w:r>
    </w:p>
    <w:p>
      <w:pPr>
        <w:spacing w:after="0"/>
        <w:ind w:left="0"/>
        <w:jc w:val="both"/>
      </w:pPr>
      <w:r>
        <w:rPr>
          <w:rFonts w:ascii="Times New Roman"/>
          <w:b w:val="false"/>
          <w:i w:val="false"/>
          <w:color w:val="000000"/>
          <w:sz w:val="28"/>
        </w:rPr>
        <w:t>
      1. Казахстанская фондовая биржа</w:t>
      </w:r>
    </w:p>
    <w:p>
      <w:pPr>
        <w:spacing w:after="0"/>
        <w:ind w:left="0"/>
        <w:jc w:val="both"/>
      </w:pPr>
      <w:r>
        <w:rPr>
          <w:rFonts w:ascii="Times New Roman"/>
          <w:b w:val="false"/>
          <w:i w:val="false"/>
          <w:color w:val="000000"/>
          <w:sz w:val="28"/>
        </w:rPr>
        <w:t>
      2. Московская биржа</w:t>
      </w:r>
    </w:p>
    <w:p>
      <w:pPr>
        <w:spacing w:after="0"/>
        <w:ind w:left="0"/>
        <w:jc w:val="both"/>
      </w:pPr>
      <w:r>
        <w:rPr>
          <w:rFonts w:ascii="Times New Roman"/>
          <w:b w:val="false"/>
          <w:i w:val="false"/>
          <w:color w:val="000000"/>
          <w:sz w:val="28"/>
        </w:rPr>
        <w:t>
      Превосходство на сегодняшний день Московской биржи в количестве финансовых инструментов и эмитентов обусловлено, в первую очередь, масштабом Российской Федерации, объемом ее экономики, количеством населения и размером территории, во вторую очередь, историческими предпосылками, в частности тем, что приватизация государственных предприятий осуществлялась в Российской Федерации через фондовую биржу. Как следствие российский рынок ценных бумаг обладает более широкими возможностями для инвестирования.</w:t>
      </w:r>
    </w:p>
    <w:p>
      <w:pPr>
        <w:spacing w:after="0"/>
        <w:ind w:left="0"/>
        <w:jc w:val="both"/>
      </w:pPr>
      <w:r>
        <w:rPr>
          <w:rFonts w:ascii="Times New Roman"/>
          <w:b w:val="false"/>
          <w:i w:val="false"/>
          <w:color w:val="000000"/>
          <w:sz w:val="28"/>
        </w:rPr>
        <w:t>
      В свою очередь, оценка Всемирного Банка и Международной финансовой корпорации в рамках ежегодного доклада "Ведение бизнеса" позиций Республики Казахстан и Российской Федерации по индикатору "защита инвесторов" позволяет предположить, что в Казахстане созданы благоприятные условия для инвесторов, включая более высокий уровень защиты их прав и интересов.</w:t>
      </w:r>
    </w:p>
    <w:p>
      <w:pPr>
        <w:spacing w:after="0"/>
        <w:ind w:left="0"/>
        <w:jc w:val="both"/>
      </w:pPr>
      <w:r>
        <w:rPr>
          <w:rFonts w:ascii="Times New Roman"/>
          <w:b w:val="false"/>
          <w:i w:val="false"/>
          <w:color w:val="000000"/>
          <w:sz w:val="28"/>
        </w:rPr>
        <w:t xml:space="preserve">
      Ежегодный рейтинг "Doing Business" Всемирного Банка и Международной финансовой корпорации на 2014 год показал, что Республика Казахстан по показателю "защита инвесторов" занимает 22 место, в то время как Российская Федерация – 115 место. </w:t>
      </w:r>
    </w:p>
    <w:p>
      <w:pPr>
        <w:spacing w:after="0"/>
        <w:ind w:left="0"/>
        <w:jc w:val="left"/>
      </w:pPr>
      <w:r>
        <w:rPr>
          <w:rFonts w:ascii="Times New Roman"/>
          <w:b/>
          <w:i w:val="false"/>
          <w:color w:val="000000"/>
        </w:rPr>
        <w:t xml:space="preserve"> Сопоставление основных параметров индикатора</w:t>
      </w:r>
      <w:r>
        <w:br/>
      </w:r>
      <w:r>
        <w:rPr>
          <w:rFonts w:ascii="Times New Roman"/>
          <w:b/>
          <w:i w:val="false"/>
          <w:color w:val="000000"/>
        </w:rPr>
        <w:t>"защита инвесторов"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открытости (прозрачность деятельности акционерных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ответственности директора (ответственность членов совета директоров акционерной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возможности подачи иска акционерами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защиты интересов инвесторов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11" w:id="8"/>
    <w:p>
      <w:pPr>
        <w:spacing w:after="0"/>
        <w:ind w:left="0"/>
        <w:jc w:val="left"/>
      </w:pPr>
      <w:r>
        <w:rPr>
          <w:rFonts w:ascii="Times New Roman"/>
          <w:b/>
          <w:i w:val="false"/>
          <w:color w:val="000000"/>
        </w:rPr>
        <w:t xml:space="preserve"> 3. Вызовы для функционирования финансового рынка</w:t>
      </w:r>
      <w:r>
        <w:br/>
      </w:r>
      <w:r>
        <w:rPr>
          <w:rFonts w:ascii="Times New Roman"/>
          <w:b/>
          <w:i w:val="false"/>
          <w:color w:val="000000"/>
        </w:rPr>
        <w:t>Республики Казахстан</w:t>
      </w:r>
    </w:p>
    <w:bookmarkEnd w:id="8"/>
    <w:bookmarkStart w:name="z12" w:id="9"/>
    <w:p>
      <w:pPr>
        <w:spacing w:after="0"/>
        <w:ind w:left="0"/>
        <w:jc w:val="both"/>
      </w:pPr>
      <w:r>
        <w:rPr>
          <w:rFonts w:ascii="Times New Roman"/>
          <w:b w:val="false"/>
          <w:i w:val="false"/>
          <w:color w:val="000000"/>
          <w:sz w:val="28"/>
        </w:rPr>
        <w:t>
      1. Затягивание решения текущих проблем финансового сектора. Динамика развития финансовой системы является заложником проблемы низкого качества кредитного портфеля, определяется неразвитостью сектора страховых услуг, а также противоречием между дефицитом долгосрочных ресурсов для обеспечения кредитной активности банков и ограниченными возможностями на внутреннем рынке для институциональных инвесторов. Консервация проблем или затягивание вопроса их решения повышают риск вытеснения казахстанских участников с отечественного финансового рынка иностранными финансовыми институтами в силу их конкурентных финансовых и организационно-технических преимуществ, а также ограничивают возможности казахстанских банков по поддержанию и расширению бизнеса и на рынках сопредельных стран.</w:t>
      </w:r>
    </w:p>
    <w:bookmarkEnd w:id="9"/>
    <w:bookmarkStart w:name="z13" w:id="10"/>
    <w:p>
      <w:pPr>
        <w:spacing w:after="0"/>
        <w:ind w:left="0"/>
        <w:jc w:val="both"/>
      </w:pPr>
      <w:r>
        <w:rPr>
          <w:rFonts w:ascii="Times New Roman"/>
          <w:b w:val="false"/>
          <w:i w:val="false"/>
          <w:color w:val="000000"/>
          <w:sz w:val="28"/>
        </w:rPr>
        <w:t>
      2. Повышенные требования к устойчивости финансовых институтов в рамках международных инициатив. К 2020 году Национальным Банком Республики Казахстан будут предъявляться требования к структуре и достаточности капитала, ликвидности, левереджу, адекватные уровню риска с учетом специфики казахстанского рынка и внутренней и внешней конкурентоспособности. Повышение устойчивости отечественных финансовых институтов необходимо для снижения уязвимости к высоким индивидуальным рискам, а также к структурным рискам, связанным с цикличным характером развития экономики Казахстана. Для соответствия новым требованиям финансовым институтам потребуется повысить эффективность затрат, консолидировать получаемые доходы на формирование дополнительных резервов, повышение кредитных возможностей и обеспечение конкурентоспособности.</w:t>
      </w:r>
    </w:p>
    <w:bookmarkEnd w:id="10"/>
    <w:bookmarkStart w:name="z14" w:id="11"/>
    <w:p>
      <w:pPr>
        <w:spacing w:after="0"/>
        <w:ind w:left="0"/>
        <w:jc w:val="both"/>
      </w:pPr>
      <w:r>
        <w:rPr>
          <w:rFonts w:ascii="Times New Roman"/>
          <w:b w:val="false"/>
          <w:i w:val="false"/>
          <w:color w:val="000000"/>
          <w:sz w:val="28"/>
        </w:rPr>
        <w:t>
      3. Интернационализация оказываемых финансовых услуг. По окончании переходного периода после вступления Республики Казахстан в ВТО, который завершится ориентировочно в 2020 году, и открытия финансовых рынков в рамках ЕЭП иностранные банки и страховые (перестраховочные) организации при условии соответствия минимальным требованиям смогут беспрепятственно открывать свои филиалы на территории Республики Казахстан.</w:t>
      </w:r>
    </w:p>
    <w:bookmarkEnd w:id="11"/>
    <w:p>
      <w:pPr>
        <w:spacing w:after="0"/>
        <w:ind w:left="0"/>
        <w:jc w:val="both"/>
      </w:pPr>
      <w:r>
        <w:rPr>
          <w:rFonts w:ascii="Times New Roman"/>
          <w:b w:val="false"/>
          <w:i w:val="false"/>
          <w:color w:val="000000"/>
          <w:sz w:val="28"/>
        </w:rPr>
        <w:t>
      В рамках данного процесса можно ожидать роста объемов оказываемых на казахстанском рынке финансовых услуг филиалов банков, страховых компаний и участников рынка ценных бумаг Российской Федерации, а также Китайской Народной Республики, Соединенных Штатов Америки, стран Европейского Союза. Особый риск представляется для тех сегментов, которые за годы независимости так и не получили свое широкое развитие, в частности, рынок ценных бумаг, страховой рынок (особенно страхование жизни, а также страхование крупных рисков). Более того, данный риск может быть усилен тем, что появится возможность предоставлять финансовые услуги напрямую из-за рубежа, что может повлечь отток "длинных" денег, как по банковским продуктам, так и через механизмы долгосрочного страхования.</w:t>
      </w:r>
    </w:p>
    <w:bookmarkStart w:name="z15" w:id="12"/>
    <w:p>
      <w:pPr>
        <w:spacing w:after="0"/>
        <w:ind w:left="0"/>
        <w:jc w:val="both"/>
      </w:pPr>
      <w:r>
        <w:rPr>
          <w:rFonts w:ascii="Times New Roman"/>
          <w:b w:val="false"/>
          <w:i w:val="false"/>
          <w:color w:val="000000"/>
          <w:sz w:val="28"/>
        </w:rPr>
        <w:t>
      4. Потеря инфраструктуры финансового рынка или ее части. Существует высокая вероятность сохранения проблемы низкой ликвидности, фрагментированности рынка ценных бумаг. Негативный сценарий развития событий предполагает отток отечественных эмитентов на торговые площадки стран-участниц ЕЭП, на Лондонскую или азиатские фондовые биржи ввиду более либеральных листинговых требований и широкой инвесторской базы. В свою очередь, отсутствие эмитентов негативно скажется на функционировании инфраструктуры отечественного рынка ценных бумаг.</w:t>
      </w:r>
    </w:p>
    <w:bookmarkEnd w:id="12"/>
    <w:p>
      <w:pPr>
        <w:spacing w:after="0"/>
        <w:ind w:left="0"/>
        <w:jc w:val="both"/>
      </w:pPr>
      <w:r>
        <w:rPr>
          <w:rFonts w:ascii="Times New Roman"/>
          <w:b w:val="false"/>
          <w:i w:val="false"/>
          <w:color w:val="000000"/>
          <w:sz w:val="28"/>
        </w:rPr>
        <w:t>
      Вместе с тем, при активной поддержке государства в области развития отечественного рынка ценных бумаг путем продолжения реализации программ "Народное IPO" и создания стимулов для эмитентов и инвесторов к выходу на рынок ценных бумаг негативного сценария можно избежать. Организованный рынок ценных бумаг Республики Казахстан может быть сохранен в качестве центра торговли финансовыми инструментами в среднеазиатском регионе. Для этого необходимо сохранить отечественную фондовую биржу, обеспечив модернизацию и совершенствование ее торговой системы, клиринга и расчетов, что, в свою очередь, позволит иностранным инвесторам участвовать в торгах с финансовыми инструментами, а также осуществлять регулярное привлечение новых эмитентов, как казахстанских, так и региональных, на фондовую биржу для первичного размещения их акций.</w:t>
      </w:r>
    </w:p>
    <w:p>
      <w:pPr>
        <w:spacing w:after="0"/>
        <w:ind w:left="0"/>
        <w:jc w:val="both"/>
      </w:pPr>
      <w:r>
        <w:rPr>
          <w:rFonts w:ascii="Times New Roman"/>
          <w:b w:val="false"/>
          <w:i w:val="false"/>
          <w:color w:val="000000"/>
          <w:sz w:val="28"/>
        </w:rPr>
        <w:t>
      Сохранение автономной торговой площадки на территории республики позволит сохранить инфраструктуру отечественного рынка ценных бумаг, включая класс профессиональных участников рынка ценных бумаг (брокеров и управляющих инвестиционным портфелем).</w:t>
      </w:r>
    </w:p>
    <w:p>
      <w:pPr>
        <w:spacing w:after="0"/>
        <w:ind w:left="0"/>
        <w:jc w:val="both"/>
      </w:pPr>
      <w:r>
        <w:rPr>
          <w:rFonts w:ascii="Times New Roman"/>
          <w:b w:val="false"/>
          <w:i w:val="false"/>
          <w:color w:val="000000"/>
          <w:sz w:val="28"/>
        </w:rPr>
        <w:t>
      Построение финансового центра будет означать реформу всей финансовой системы. Особенно важно, чтобы эта реформа охватила все секторы финансового рынка, а не только рынок ценных бумаг.</w:t>
      </w:r>
    </w:p>
    <w:bookmarkStart w:name="z16" w:id="13"/>
    <w:p>
      <w:pPr>
        <w:spacing w:after="0"/>
        <w:ind w:left="0"/>
        <w:jc w:val="both"/>
      </w:pPr>
      <w:r>
        <w:rPr>
          <w:rFonts w:ascii="Times New Roman"/>
          <w:b w:val="false"/>
          <w:i w:val="false"/>
          <w:color w:val="000000"/>
          <w:sz w:val="28"/>
        </w:rPr>
        <w:t>
      5. Защита прав потребителей финансовых услуг и регуляторная асимметрия. Расширение объемов предоставляемых иностранными финансовыми организациями услуг на казахстанском финансовом рынке повлечет за собой снижение возможностей со стороны Национального Банка Республики Казахстан по защите интересов их потребителей. С одной стороны, деятельность филиалов иностранных финансовых организаций не попадает напрямую в сферу контроля Национального Банка Республики Казахстан. С другой стороны, иностранные финансовые организации могут принести с собой и внедрять сложные финансовые продукты, по которым отсутствуют соответствующий опыт регулирования, а также готовность и культура потребления отечественными юридическими лицами и населением новых услуг.</w:t>
      </w:r>
    </w:p>
    <w:bookmarkEnd w:id="13"/>
    <w:p>
      <w:pPr>
        <w:spacing w:after="0"/>
        <w:ind w:left="0"/>
        <w:jc w:val="both"/>
      </w:pPr>
      <w:r>
        <w:rPr>
          <w:rFonts w:ascii="Times New Roman"/>
          <w:b w:val="false"/>
          <w:i w:val="false"/>
          <w:color w:val="000000"/>
          <w:sz w:val="28"/>
        </w:rPr>
        <w:t>
      В этих условиях требует решения вопрос осуществления равномерного регулирования субъектов финансового рынка, а именно распространения на филиалы иностранных финансовых организаций максимально симметричных и не менее жестких требований, что и в отношении казахстанских. Это актуально как для целей контроля и надзора со стороны Национального Банка Республики Казахстан как регулятора деятельности финансовых организаций, так и для целей соблюдения норм действующего законодательства в части платежей и переводов денег, валютного регулирования, по противодействию отмыванию денег, полученных незаконным путем, а также гарантированию вкладов.</w:t>
      </w:r>
    </w:p>
    <w:bookmarkStart w:name="z17" w:id="14"/>
    <w:p>
      <w:pPr>
        <w:spacing w:after="0"/>
        <w:ind w:left="0"/>
        <w:jc w:val="both"/>
      </w:pPr>
      <w:r>
        <w:rPr>
          <w:rFonts w:ascii="Times New Roman"/>
          <w:b w:val="false"/>
          <w:i w:val="false"/>
          <w:color w:val="000000"/>
          <w:sz w:val="28"/>
        </w:rPr>
        <w:t>
      6. Макроэкономические дисбалансы. Усиление процессов глобализации повышает степень уязвимости не только мирового рынка, но каждой отдельной страны. Более того, неравномерность развития стран – основных торговых партнеров Республики Казахстан, подверженность влиянию на их экономическое развитие различных шоков повышают вероятность частоты потрясений и сокращения продолжительности экономических циклов для нашей страны.</w:t>
      </w:r>
    </w:p>
    <w:bookmarkEnd w:id="14"/>
    <w:bookmarkStart w:name="z18" w:id="15"/>
    <w:p>
      <w:pPr>
        <w:spacing w:after="0"/>
        <w:ind w:left="0"/>
        <w:jc w:val="both"/>
      </w:pPr>
      <w:r>
        <w:rPr>
          <w:rFonts w:ascii="Times New Roman"/>
          <w:b w:val="false"/>
          <w:i w:val="false"/>
          <w:color w:val="000000"/>
          <w:sz w:val="28"/>
        </w:rPr>
        <w:t>
      7. В долгосрочном плане возникают новые вызовы в сфере предоставления финансовых услуг, связанные с развитием информационных технологий. Высокими темпами развиваются интегрированные межиндустриальные и мобильно-ориентированные экосистемы, а также модели прямого взаимодействия, что позволяет исключать из цепочки предоставления услуг банковские организации. Особо необходимо отметить наличие больших массивов поведенческих и социальных данных у технологических компаний, аккумулированных в ходе предоставления услуг, что позволяет им выходить на рынок финансовых услуг с более мобильными, гибкими и персонализированными предложениями. Кроме того, эффективное использование информации из государственных баз данных также даст толчок развитию новых продуктов и подходов в предоставлении финансовых услуг.</w:t>
      </w:r>
    </w:p>
    <w:bookmarkEnd w:id="15"/>
    <w:p>
      <w:pPr>
        <w:spacing w:after="0"/>
        <w:ind w:left="0"/>
        <w:jc w:val="both"/>
      </w:pPr>
      <w:r>
        <w:rPr>
          <w:rFonts w:ascii="Times New Roman"/>
          <w:b w:val="false"/>
          <w:i w:val="false"/>
          <w:color w:val="000000"/>
          <w:sz w:val="28"/>
        </w:rPr>
        <w:t>
      Соответственно, для повышения уровня доступности услуг и продуктов, повышения эффективности их предоставления необходимы совместные усилия государственных органов в части построения и совершенствования необходимой технической архитектуры.</w:t>
      </w:r>
    </w:p>
    <w:bookmarkStart w:name="z19" w:id="16"/>
    <w:p>
      <w:pPr>
        <w:spacing w:after="0"/>
        <w:ind w:left="0"/>
        <w:jc w:val="left"/>
      </w:pPr>
      <w:r>
        <w:rPr>
          <w:rFonts w:ascii="Times New Roman"/>
          <w:b/>
          <w:i w:val="false"/>
          <w:color w:val="000000"/>
        </w:rPr>
        <w:t xml:space="preserve"> 4. Основные принципы и общие подходы развития финансового</w:t>
      </w:r>
      <w:r>
        <w:br/>
      </w:r>
      <w:r>
        <w:rPr>
          <w:rFonts w:ascii="Times New Roman"/>
          <w:b/>
          <w:i w:val="false"/>
          <w:color w:val="000000"/>
        </w:rPr>
        <w:t>сектора Республики Казахстан до 2030 года</w:t>
      </w:r>
      <w:r>
        <w:br/>
      </w:r>
      <w:r>
        <w:rPr>
          <w:rFonts w:ascii="Times New Roman"/>
          <w:b/>
          <w:i w:val="false"/>
          <w:color w:val="000000"/>
        </w:rPr>
        <w:t>1. Приоритеты развития финансового сектора</w:t>
      </w:r>
    </w:p>
    <w:bookmarkEnd w:id="16"/>
    <w:p>
      <w:pPr>
        <w:spacing w:after="0"/>
        <w:ind w:left="0"/>
        <w:jc w:val="both"/>
      </w:pPr>
      <w:r>
        <w:rPr>
          <w:rFonts w:ascii="Times New Roman"/>
          <w:b w:val="false"/>
          <w:i w:val="false"/>
          <w:color w:val="000000"/>
          <w:sz w:val="28"/>
        </w:rPr>
        <w:t>
      Основными приоритетами развития финансового сектора являются:</w:t>
      </w:r>
    </w:p>
    <w:p>
      <w:pPr>
        <w:spacing w:after="0"/>
        <w:ind w:left="0"/>
        <w:jc w:val="both"/>
      </w:pPr>
      <w:r>
        <w:rPr>
          <w:rFonts w:ascii="Times New Roman"/>
          <w:b w:val="false"/>
          <w:i w:val="false"/>
          <w:color w:val="000000"/>
          <w:sz w:val="28"/>
        </w:rPr>
        <w:t>
      1) дальнейшее развитие и международная интеграция на принципах соответствия лучшим международным стандартам (в частности, стран ОЭСР);</w:t>
      </w:r>
    </w:p>
    <w:p>
      <w:pPr>
        <w:spacing w:after="0"/>
        <w:ind w:left="0"/>
        <w:jc w:val="both"/>
      </w:pPr>
      <w:r>
        <w:rPr>
          <w:rFonts w:ascii="Times New Roman"/>
          <w:b w:val="false"/>
          <w:i w:val="false"/>
          <w:color w:val="000000"/>
          <w:sz w:val="28"/>
        </w:rPr>
        <w:t>
      2) консолидация банковского сектора, увеличение капитализации и рост его финансовых возможностей;</w:t>
      </w:r>
    </w:p>
    <w:p>
      <w:pPr>
        <w:spacing w:after="0"/>
        <w:ind w:left="0"/>
        <w:jc w:val="both"/>
      </w:pPr>
      <w:r>
        <w:rPr>
          <w:rFonts w:ascii="Times New Roman"/>
          <w:b w:val="false"/>
          <w:i w:val="false"/>
          <w:color w:val="000000"/>
          <w:sz w:val="28"/>
        </w:rPr>
        <w:t>
      3) обусловленность государственной финансовой поддержки и интенсивности надзорного процесса масштабом рисков;</w:t>
      </w:r>
    </w:p>
    <w:p>
      <w:pPr>
        <w:spacing w:after="0"/>
        <w:ind w:left="0"/>
        <w:jc w:val="both"/>
      </w:pPr>
      <w:r>
        <w:rPr>
          <w:rFonts w:ascii="Times New Roman"/>
          <w:b w:val="false"/>
          <w:i w:val="false"/>
          <w:color w:val="000000"/>
          <w:sz w:val="28"/>
        </w:rPr>
        <w:t>
      4) повышение устойчивости базы фондирования и эффективности управления системной ликвидностью за счет диверсификации фондирования по валютам, срокам, источникам (розничное, оптовое, капитал), постоянного участия Национального Банка Республики Казахстан на денежном рынке, стимулирования развития межбанковского рынка;</w:t>
      </w:r>
    </w:p>
    <w:p>
      <w:pPr>
        <w:spacing w:after="0"/>
        <w:ind w:left="0"/>
        <w:jc w:val="both"/>
      </w:pPr>
      <w:r>
        <w:rPr>
          <w:rFonts w:ascii="Times New Roman"/>
          <w:b w:val="false"/>
          <w:i w:val="false"/>
          <w:color w:val="000000"/>
          <w:sz w:val="28"/>
        </w:rPr>
        <w:t>
      5) риск-ориентированность в регулировании и надзоре за субъектами финансового рынка;</w:t>
      </w:r>
    </w:p>
    <w:p>
      <w:pPr>
        <w:spacing w:after="0"/>
        <w:ind w:left="0"/>
        <w:jc w:val="both"/>
      </w:pPr>
      <w:r>
        <w:rPr>
          <w:rFonts w:ascii="Times New Roman"/>
          <w:b w:val="false"/>
          <w:i w:val="false"/>
          <w:color w:val="000000"/>
          <w:sz w:val="28"/>
        </w:rPr>
        <w:t>
      6) формирование системы стимулов, нацеленной на гибкое внедрение новых продуктов, развитие технологий с достаточным уровнем безопасности и эффективное управление капиталом финансовых организаций, и регуляторной среды, которая позволяет не только решать текущие проблемы, но и обеспечивает условия для недопущения повторения негативных ситуаций;</w:t>
      </w:r>
    </w:p>
    <w:p>
      <w:pPr>
        <w:spacing w:after="0"/>
        <w:ind w:left="0"/>
        <w:jc w:val="both"/>
      </w:pPr>
      <w:r>
        <w:rPr>
          <w:rFonts w:ascii="Times New Roman"/>
          <w:b w:val="false"/>
          <w:i w:val="false"/>
          <w:color w:val="000000"/>
          <w:sz w:val="28"/>
        </w:rPr>
        <w:t>
      7) активная роль государства в увеличении предложения финансовых инструментов на фондовом рынке в рамках "Народное IPO" и приватизации государственных активов;</w:t>
      </w:r>
    </w:p>
    <w:p>
      <w:pPr>
        <w:spacing w:after="0"/>
        <w:ind w:left="0"/>
        <w:jc w:val="both"/>
      </w:pPr>
      <w:r>
        <w:rPr>
          <w:rFonts w:ascii="Times New Roman"/>
          <w:b w:val="false"/>
          <w:i w:val="false"/>
          <w:color w:val="000000"/>
          <w:sz w:val="28"/>
        </w:rPr>
        <w:t>
      8) расширение охвата населения и субъектов экономики финансовыми услугами и повышение финансовой грамотности потребителей финансовых услуг;</w:t>
      </w:r>
    </w:p>
    <w:p>
      <w:pPr>
        <w:spacing w:after="0"/>
        <w:ind w:left="0"/>
        <w:jc w:val="both"/>
      </w:pPr>
      <w:r>
        <w:rPr>
          <w:rFonts w:ascii="Times New Roman"/>
          <w:b w:val="false"/>
          <w:i w:val="false"/>
          <w:color w:val="000000"/>
          <w:sz w:val="28"/>
        </w:rPr>
        <w:t>
      9) сочетание прагматичного регуляторного протекционизма на рынке ценных бумаг с либерализацией листинговых требований и процедур доступа;</w:t>
      </w:r>
    </w:p>
    <w:p>
      <w:pPr>
        <w:spacing w:after="0"/>
        <w:ind w:left="0"/>
        <w:jc w:val="both"/>
      </w:pPr>
      <w:r>
        <w:rPr>
          <w:rFonts w:ascii="Times New Roman"/>
          <w:b w:val="false"/>
          <w:i w:val="false"/>
          <w:color w:val="000000"/>
          <w:sz w:val="28"/>
        </w:rPr>
        <w:t>
      10) расширение регуляторных возможностей для квалифицированных инвесторов по инвестиционным операциям и принятию рисков с повышением требований к их управлению и достаточности капитала;</w:t>
      </w:r>
    </w:p>
    <w:p>
      <w:pPr>
        <w:spacing w:after="0"/>
        <w:ind w:left="0"/>
        <w:jc w:val="both"/>
      </w:pPr>
      <w:r>
        <w:rPr>
          <w:rFonts w:ascii="Times New Roman"/>
          <w:b w:val="false"/>
          <w:i w:val="false"/>
          <w:color w:val="000000"/>
          <w:sz w:val="28"/>
        </w:rPr>
        <w:t>
      11) ограниченность прямого участия государства в финансовой системе через институты развития, не конкурирующие с частными финансовыми организациями;</w:t>
      </w:r>
    </w:p>
    <w:p>
      <w:pPr>
        <w:spacing w:after="0"/>
        <w:ind w:left="0"/>
        <w:jc w:val="both"/>
      </w:pPr>
      <w:r>
        <w:rPr>
          <w:rFonts w:ascii="Times New Roman"/>
          <w:b w:val="false"/>
          <w:i w:val="false"/>
          <w:color w:val="000000"/>
          <w:sz w:val="28"/>
        </w:rPr>
        <w:t xml:space="preserve">
      12) повышение автономности и независимости институциональной структуры Национального Банка Республики Казахстан в части принятия решений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13) повышение рыночной дисциплины;</w:t>
      </w:r>
    </w:p>
    <w:p>
      <w:pPr>
        <w:spacing w:after="0"/>
        <w:ind w:left="0"/>
        <w:jc w:val="both"/>
      </w:pPr>
      <w:r>
        <w:rPr>
          <w:rFonts w:ascii="Times New Roman"/>
          <w:b w:val="false"/>
          <w:i w:val="false"/>
          <w:color w:val="000000"/>
          <w:sz w:val="28"/>
        </w:rPr>
        <w:t>
      14) повышение инвестиционной привлекательности финансового рынка для вложений внутренних и внешних инвесторов в капитал;</w:t>
      </w:r>
    </w:p>
    <w:p>
      <w:pPr>
        <w:spacing w:after="0"/>
        <w:ind w:left="0"/>
        <w:jc w:val="both"/>
      </w:pPr>
      <w:r>
        <w:rPr>
          <w:rFonts w:ascii="Times New Roman"/>
          <w:b w:val="false"/>
          <w:i w:val="false"/>
          <w:color w:val="000000"/>
          <w:sz w:val="28"/>
        </w:rPr>
        <w:t>
      15) сохранение финансовой системы с преимущественно отечественным капиталом.</w:t>
      </w:r>
    </w:p>
    <w:bookmarkStart w:name="z21" w:id="17"/>
    <w:p>
      <w:pPr>
        <w:spacing w:after="0"/>
        <w:ind w:left="0"/>
        <w:jc w:val="left"/>
      </w:pPr>
      <w:r>
        <w:rPr>
          <w:rFonts w:ascii="Times New Roman"/>
          <w:b/>
          <w:i w:val="false"/>
          <w:color w:val="000000"/>
        </w:rPr>
        <w:t xml:space="preserve"> 2. Задача 1: снижение издержек общества и государства на</w:t>
      </w:r>
      <w:r>
        <w:br/>
      </w:r>
      <w:r>
        <w:rPr>
          <w:rFonts w:ascii="Times New Roman"/>
          <w:b/>
          <w:i w:val="false"/>
          <w:color w:val="000000"/>
        </w:rPr>
        <w:t>поддержание устойчивости финансовой системы в случае</w:t>
      </w:r>
      <w:r>
        <w:br/>
      </w:r>
      <w:r>
        <w:rPr>
          <w:rFonts w:ascii="Times New Roman"/>
          <w:b/>
          <w:i w:val="false"/>
          <w:color w:val="000000"/>
        </w:rPr>
        <w:t>возникновения потенциальных шоков</w:t>
      </w:r>
    </w:p>
    <w:bookmarkEnd w:id="17"/>
    <w:p>
      <w:pPr>
        <w:spacing w:after="0"/>
        <w:ind w:left="0"/>
        <w:jc w:val="both"/>
      </w:pPr>
      <w:r>
        <w:rPr>
          <w:rFonts w:ascii="Times New Roman"/>
          <w:b w:val="false"/>
          <w:i w:val="false"/>
          <w:color w:val="000000"/>
          <w:sz w:val="28"/>
        </w:rPr>
        <w:t>
      Повышение устойчивости банковской системы.</w:t>
      </w:r>
    </w:p>
    <w:bookmarkStart w:name="z22" w:id="18"/>
    <w:p>
      <w:pPr>
        <w:spacing w:after="0"/>
        <w:ind w:left="0"/>
        <w:jc w:val="both"/>
      </w:pPr>
      <w:r>
        <w:rPr>
          <w:rFonts w:ascii="Times New Roman"/>
          <w:b w:val="false"/>
          <w:i w:val="false"/>
          <w:color w:val="000000"/>
          <w:sz w:val="28"/>
        </w:rPr>
        <w:t>
      1. Формирование системы эффективного поглощения шоков посредством внедрения международных стандартов Базель II и III.</w:t>
      </w:r>
    </w:p>
    <w:bookmarkEnd w:id="18"/>
    <w:p>
      <w:pPr>
        <w:spacing w:after="0"/>
        <w:ind w:left="0"/>
        <w:jc w:val="both"/>
      </w:pPr>
      <w:r>
        <w:rPr>
          <w:rFonts w:ascii="Times New Roman"/>
          <w:b w:val="false"/>
          <w:i w:val="false"/>
          <w:color w:val="000000"/>
          <w:sz w:val="28"/>
        </w:rPr>
        <w:t>
      Реализация данной задачи будет осуществлена посредством поэтапного внедрения рекомендаций Базельского комитета по банковскому надзору (далее – БКБН) в части достаточности капитала, показателей ликвидности и финансового левереджа, а также управления рисками. При этом внедрение международных стандартов регулирования банковской деятельности будет осуществляться сквозь призму национальных интересов и особенностей, а также в соответствии со следующими принципами:</w:t>
      </w:r>
    </w:p>
    <w:p>
      <w:pPr>
        <w:spacing w:after="0"/>
        <w:ind w:left="0"/>
        <w:jc w:val="both"/>
      </w:pPr>
      <w:r>
        <w:rPr>
          <w:rFonts w:ascii="Times New Roman"/>
          <w:b w:val="false"/>
          <w:i w:val="false"/>
          <w:color w:val="000000"/>
          <w:sz w:val="28"/>
        </w:rPr>
        <w:t>
      1) адекватность достаточности капитала банковской системы и каждого банка уровню риска;</w:t>
      </w:r>
    </w:p>
    <w:p>
      <w:pPr>
        <w:spacing w:after="0"/>
        <w:ind w:left="0"/>
        <w:jc w:val="both"/>
      </w:pPr>
      <w:r>
        <w:rPr>
          <w:rFonts w:ascii="Times New Roman"/>
          <w:b w:val="false"/>
          <w:i w:val="false"/>
          <w:color w:val="000000"/>
          <w:sz w:val="28"/>
        </w:rPr>
        <w:t>
      2) оптимальное распределение во времени нагрузки по созданию дополнительного капитала до требуемого уровня с учетом возможностей банков выполнять новые требования;</w:t>
      </w:r>
    </w:p>
    <w:p>
      <w:pPr>
        <w:spacing w:after="0"/>
        <w:ind w:left="0"/>
        <w:jc w:val="both"/>
      </w:pPr>
      <w:r>
        <w:rPr>
          <w:rFonts w:ascii="Times New Roman"/>
          <w:b w:val="false"/>
          <w:i w:val="false"/>
          <w:color w:val="000000"/>
          <w:sz w:val="28"/>
        </w:rPr>
        <w:t>
      3) установление целевых минимальных нормативов по достаточности капитала на уровнях, обеспечивающих конкурентоспособность банков Республики Казахстан относительно других систем и регуляторных режимов;</w:t>
      </w:r>
    </w:p>
    <w:p>
      <w:pPr>
        <w:spacing w:after="0"/>
        <w:ind w:left="0"/>
        <w:jc w:val="both"/>
      </w:pPr>
      <w:r>
        <w:rPr>
          <w:rFonts w:ascii="Times New Roman"/>
          <w:b w:val="false"/>
          <w:i w:val="false"/>
          <w:color w:val="000000"/>
          <w:sz w:val="28"/>
        </w:rPr>
        <w:t>
      4) согласованный подход при внедрении требований по капитализации с внедрением систем внутренней оценки достаточности капитала в банках и внутренних моделей оценки рисков.</w:t>
      </w:r>
    </w:p>
    <w:p>
      <w:pPr>
        <w:spacing w:after="0"/>
        <w:ind w:left="0"/>
        <w:jc w:val="both"/>
      </w:pPr>
      <w:r>
        <w:rPr>
          <w:rFonts w:ascii="Times New Roman"/>
          <w:b w:val="false"/>
          <w:i w:val="false"/>
          <w:color w:val="000000"/>
          <w:sz w:val="28"/>
        </w:rPr>
        <w:t>
      Основное внимание будет уделено усилению степени контрцикличности регулирования, предполагающего накопления дополнительных резервов в периоды циклического подъема экономики и финансового сектора и их использование в периоды замедления и спада в целях поддержания экономической активности. Будет изучаться и внедрятся с учетом особенностей развития отечественной банковской системы разрабатываемый в новой редакции международный стандарт финансовой отчетности № 9.</w:t>
      </w:r>
    </w:p>
    <w:p>
      <w:pPr>
        <w:spacing w:after="0"/>
        <w:ind w:left="0"/>
        <w:jc w:val="both"/>
      </w:pPr>
      <w:r>
        <w:rPr>
          <w:rFonts w:ascii="Times New Roman"/>
          <w:b w:val="false"/>
          <w:i w:val="false"/>
          <w:color w:val="000000"/>
          <w:sz w:val="28"/>
        </w:rPr>
        <w:t>
      Национальным Банком Республики Казахстан в рамках внедрения новых стандартов Базель III будут определены оптимальные минимальные значения достаточности капитала и его буферов (консервационный, контрциклический, отдельный для системообразующих банков). При этом минимальные значения, соответствующие специфике рисков казахстанских банков, ожидаются на уровне несколько выше существующих минимальных нормативов. Постепенное внедрение новых требований по достаточности капитала и буферов капитала (за исключением контрциклического буфера) начнется в 2015 году и его планируется завершить до конца 2018 года одновременно со многими странами и в срок, рекомендуемый БКБН. Решение о введении контрциклического буфера, который предназначен для недопущения перегрева экономики в период фазы активного роста и содействия укреплению финансового состояния банков в предкризисный период, будет зависеть от стадии цикла. По оценкам Национального Банка Республики Казахстан необходимость введения контрциклического буфера ранее 2016 года отсутствует.</w:t>
      </w:r>
    </w:p>
    <w:p>
      <w:pPr>
        <w:spacing w:after="0"/>
        <w:ind w:left="0"/>
        <w:jc w:val="both"/>
      </w:pPr>
      <w:r>
        <w:rPr>
          <w:rFonts w:ascii="Times New Roman"/>
          <w:b w:val="false"/>
          <w:i w:val="false"/>
          <w:color w:val="000000"/>
          <w:sz w:val="28"/>
        </w:rPr>
        <w:t>
      Повышенная капитализация казахстанских банков к периоду завершения процесса перехода на стандарты Базель III будет вызывать большее доверие депозиторов, послужит положительным фактором при оценке инвесторов и рейтинговых агентств и, соответственно, будет влиять на стоимость привлечения фондирования. Кроме того, в условиях вступления Казахстана в международные экономические организации разных уровней в будущем конкурентоспособность банков будет определяться достаточным уровнем капитализации.</w:t>
      </w:r>
    </w:p>
    <w:p>
      <w:pPr>
        <w:spacing w:after="0"/>
        <w:ind w:left="0"/>
        <w:jc w:val="both"/>
      </w:pPr>
      <w:r>
        <w:rPr>
          <w:rFonts w:ascii="Times New Roman"/>
          <w:b w:val="false"/>
          <w:i w:val="false"/>
          <w:color w:val="000000"/>
          <w:sz w:val="28"/>
        </w:rPr>
        <w:t>
      В рамках совершенствования надзорной деятельности продолжится работа по внедрению второго компонента стандарта Базель II, предполагающего установление дополнительных требований к достаточности капитала с учетом индивидуального риск-профиля банка, систем управления рисками и внутреннего контроля ("надзорная надбавка"). Национальным Банком Республики Казахстан "надзорная надбавка" к капиталу будет устанавливаться по результатам количественной оценки риск-факторов банка, качественной оценки эффективности процесса управления капиталом с учетом стратегии развития банка и степени влияния операционной среды, эффективности систем управления рисками и внутреннего контроля. В этих целях будут усовершествованы меры раннего реагирования, а также требования к системам управления рисками и внутреннего контроля в банках. При этом внедрение "надзорной надбавки" и сопутствующий данному направлению комплекс мер будет осуществляться согласовано с переходом на стандарты Базель III.</w:t>
      </w:r>
    </w:p>
    <w:p>
      <w:pPr>
        <w:spacing w:after="0"/>
        <w:ind w:left="0"/>
        <w:jc w:val="both"/>
      </w:pPr>
      <w:r>
        <w:rPr>
          <w:rFonts w:ascii="Times New Roman"/>
          <w:b w:val="false"/>
          <w:i w:val="false"/>
          <w:color w:val="000000"/>
          <w:sz w:val="28"/>
        </w:rPr>
        <w:t>
      Внедрение надзорного подхода, предполагающего оценку кредитных рисков через внутренние модели управления кредитными рисками банка (Internal Ratings-Based Approach), будет происходить по мере готовности регулятора и исходя из возможностей самих банков.</w:t>
      </w:r>
    </w:p>
    <w:p>
      <w:pPr>
        <w:spacing w:after="0"/>
        <w:ind w:left="0"/>
        <w:jc w:val="both"/>
      </w:pPr>
      <w:r>
        <w:rPr>
          <w:rFonts w:ascii="Times New Roman"/>
          <w:b w:val="false"/>
          <w:i w:val="false"/>
          <w:color w:val="000000"/>
          <w:sz w:val="28"/>
        </w:rPr>
        <w:t>
      В среднесрочной перспективе (не ранее 2015 года) будут внедрены новые коэффициенты ликвидности банков (Liquidity Coverage Ratio, Net Stable Funding Ratio) для достижения:</w:t>
      </w:r>
    </w:p>
    <w:p>
      <w:pPr>
        <w:spacing w:after="0"/>
        <w:ind w:left="0"/>
        <w:jc w:val="both"/>
      </w:pPr>
      <w:r>
        <w:rPr>
          <w:rFonts w:ascii="Times New Roman"/>
          <w:b w:val="false"/>
          <w:i w:val="false"/>
          <w:color w:val="000000"/>
          <w:sz w:val="28"/>
        </w:rPr>
        <w:t>
      надежного уровня ликвидности банков в краткосрочном периоде посредством создания запаса высоколиквидных ресурсов, позволяющего продолжать деятельность в условиях стресса;</w:t>
      </w:r>
    </w:p>
    <w:p>
      <w:pPr>
        <w:spacing w:after="0"/>
        <w:ind w:left="0"/>
        <w:jc w:val="both"/>
      </w:pPr>
      <w:r>
        <w:rPr>
          <w:rFonts w:ascii="Times New Roman"/>
          <w:b w:val="false"/>
          <w:i w:val="false"/>
          <w:color w:val="000000"/>
          <w:sz w:val="28"/>
        </w:rPr>
        <w:t>
      устойчивости в долгосрочном периоде посредством создания дополнительных стимулов для банков по привлечению финансирования из более надежных источников на постоянной основе.</w:t>
      </w:r>
    </w:p>
    <w:p>
      <w:pPr>
        <w:spacing w:after="0"/>
        <w:ind w:left="0"/>
        <w:jc w:val="both"/>
      </w:pPr>
      <w:r>
        <w:rPr>
          <w:rFonts w:ascii="Times New Roman"/>
          <w:b w:val="false"/>
          <w:i w:val="false"/>
          <w:color w:val="000000"/>
          <w:sz w:val="28"/>
        </w:rPr>
        <w:t>
      С 2018 года предполагается внедрить требование по показателю левереджа банка, направленное на ограничение в банковском секторе избыточного плеча, с которым банки инвестируют привлеченные средства, и на обеспечение дополнительного уровня защиты.</w:t>
      </w:r>
    </w:p>
    <w:p>
      <w:pPr>
        <w:spacing w:after="0"/>
        <w:ind w:left="0"/>
        <w:jc w:val="both"/>
      </w:pPr>
      <w:r>
        <w:rPr>
          <w:rFonts w:ascii="Times New Roman"/>
          <w:b w:val="false"/>
          <w:i w:val="false"/>
          <w:color w:val="000000"/>
          <w:sz w:val="28"/>
        </w:rPr>
        <w:t>
      В целях минимизации возникновения системных рисков для группы системообразующих банков будет сформирована система регулирования, предусматривающая предъявление дополнительных требований к наличию у банка сильной капитальной базы не только в кратко-, но и среднесрочной перспективе.</w:t>
      </w:r>
    </w:p>
    <w:p>
      <w:pPr>
        <w:spacing w:after="0"/>
        <w:ind w:left="0"/>
        <w:jc w:val="both"/>
      </w:pPr>
      <w:r>
        <w:rPr>
          <w:rFonts w:ascii="Times New Roman"/>
          <w:b w:val="false"/>
          <w:i w:val="false"/>
          <w:color w:val="000000"/>
          <w:sz w:val="28"/>
        </w:rPr>
        <w:t>
      Более того, будет разработан инструментарий внутренней поддержки в случаях возникновения проблем за счет средств кредиторов (bail-in tool), а также его обязательного применения. Принимаемые меры предполагают предоставление банкам периода времени, необходимого для адаптации к новым требованиям. Национальным Банком Республики Казахстан предполагается внедрение в надзорный процесс практики совместной оценки готовности каждого банка новым требованиям и, при необходимости, подготовки необходимых планов перехода, мониторинга их выполнения. Такая практика позволит превентивно оказывать влияние на банки, а не оценивать постфактум степень достижения требований, несоответствие которым повлечет принятие жестких мер и возможно санкций по отношению к банкам.</w:t>
      </w:r>
    </w:p>
    <w:p>
      <w:pPr>
        <w:spacing w:after="0"/>
        <w:ind w:left="0"/>
        <w:jc w:val="both"/>
      </w:pPr>
      <w:r>
        <w:rPr>
          <w:rFonts w:ascii="Times New Roman"/>
          <w:b w:val="false"/>
          <w:i w:val="false"/>
          <w:color w:val="000000"/>
          <w:sz w:val="28"/>
        </w:rPr>
        <w:t>
      Реализация указанных мероприятий потребует дальнейшего совершенствования банковского законодательства предположительно в 2017 – 2018 годах.</w:t>
      </w:r>
    </w:p>
    <w:bookmarkStart w:name="z23" w:id="19"/>
    <w:p>
      <w:pPr>
        <w:spacing w:after="0"/>
        <w:ind w:left="0"/>
        <w:jc w:val="both"/>
      </w:pPr>
      <w:r>
        <w:rPr>
          <w:rFonts w:ascii="Times New Roman"/>
          <w:b w:val="false"/>
          <w:i w:val="false"/>
          <w:color w:val="000000"/>
          <w:sz w:val="28"/>
        </w:rPr>
        <w:t>
      2. Комплексный подход к улучшению структуры активов банков и снижение доли неработающих займов до приемлемого уровня, не ограничивающего возможности банков по кредитованию экономики.</w:t>
      </w:r>
    </w:p>
    <w:bookmarkEnd w:id="19"/>
    <w:p>
      <w:pPr>
        <w:spacing w:after="0"/>
        <w:ind w:left="0"/>
        <w:jc w:val="both"/>
      </w:pPr>
      <w:r>
        <w:rPr>
          <w:rFonts w:ascii="Times New Roman"/>
          <w:b w:val="false"/>
          <w:i w:val="false"/>
          <w:color w:val="000000"/>
          <w:sz w:val="28"/>
        </w:rPr>
        <w:t>
      Высокий уровень неработающих займов является основным препятствием повышения устойчивости банковского сектора и внедрения рекомендаций БКБН, поскольку снижает рентабельность банков и способность банков формировать капитал за счет нераспределенной прибыли, а также ограничивает кредитную активность банков. При этом реализация задачи по обеспечению очистки балансов банков от неработающих активов требует многостороннего подхода с участием банков, а также частных и государственных компаний по управлению активами. В частности, реализация данной задачи будет осуществляться путем установления пруденциальных лимитов по неработающим займам, дальнейшего совершенствования законодательства в части упрощения списания неработающих займов, передачи неработающих займов компаниям по управлению активами и созданию эффективного механизма управления активами и рисками в данных компаниях.</w:t>
      </w:r>
    </w:p>
    <w:p>
      <w:pPr>
        <w:spacing w:after="0"/>
        <w:ind w:left="0"/>
        <w:jc w:val="both"/>
      </w:pPr>
      <w:r>
        <w:rPr>
          <w:rFonts w:ascii="Times New Roman"/>
          <w:b w:val="false"/>
          <w:i w:val="false"/>
          <w:color w:val="000000"/>
          <w:sz w:val="28"/>
        </w:rPr>
        <w:t>
      Выполнение банками требований по соответствию устанавливаемым лимитам по доле неработающих займов в структуре ссудного портфеля (не более 10 % с 1 января 2016 года) будет осуществляться в рамках планов мероприятий по поэтапному достижению установленного параметра с применением соответствующих надзорных мер в случае их неисполнения.</w:t>
      </w:r>
    </w:p>
    <w:p>
      <w:pPr>
        <w:spacing w:after="0"/>
        <w:ind w:left="0"/>
        <w:jc w:val="both"/>
      </w:pPr>
      <w:r>
        <w:rPr>
          <w:rFonts w:ascii="Times New Roman"/>
          <w:b w:val="false"/>
          <w:i w:val="false"/>
          <w:color w:val="000000"/>
          <w:sz w:val="28"/>
        </w:rPr>
        <w:t>
      Для достижения данных показателей требуется совершенствование нормативной правовой базы, которая позволит банкам эффективно списывать безнадежные займы. В связи с чем, будет рассмотрен механизм отнесения на вычеты специфических провизий и признания налоговых убытков при прощении безнадежной ссудной задолженности с учетом международных стандартов финансовой отчетности. Также в части налогообложения будет рассмотрен вопрос возможности передачи активов в ОУСА с дисконтом и усилением прав залоговых кредиторов. Усилению деятельности организаций, специализирующихся на управлении неработающими активами, будет способствовать решение вопросов раскрытия банковской тайны по проблемным заемщикам, оценки стоимости передаваемого имущества.</w:t>
      </w:r>
    </w:p>
    <w:p>
      <w:pPr>
        <w:spacing w:after="0"/>
        <w:ind w:left="0"/>
        <w:jc w:val="both"/>
      </w:pPr>
      <w:r>
        <w:rPr>
          <w:rFonts w:ascii="Times New Roman"/>
          <w:b w:val="false"/>
          <w:i w:val="false"/>
          <w:color w:val="000000"/>
          <w:sz w:val="28"/>
        </w:rPr>
        <w:t>
      Требуется также создание рынка неработающих активов для формирования справедливой стоимости на данные активы, что создаст возможности для управления ими. Любая методика оценки, признаваемая рынком, предполагает значительную степень раскрытия информации о кредитном портфеле. При этом необходимо отметить, что адекватная оценка активов, находящихся под управлением компаний по управлению активами, и высокая прозрачность корпоративного управления позволят привлекать к работе с неработающими активами средства внешних инвесторов, в том числе международных финансовых организаций на международных рынках стрессовых активов.</w:t>
      </w:r>
    </w:p>
    <w:p>
      <w:pPr>
        <w:spacing w:after="0"/>
        <w:ind w:left="0"/>
        <w:jc w:val="both"/>
      </w:pPr>
      <w:r>
        <w:rPr>
          <w:rFonts w:ascii="Times New Roman"/>
          <w:b w:val="false"/>
          <w:i w:val="false"/>
          <w:color w:val="000000"/>
          <w:sz w:val="28"/>
        </w:rPr>
        <w:t>
      Активную роль будет играть Фонд проблемных кредитов. В соответствии с лучшей международной практикой централизованные государственные компании по управлению неработающими активами должны быть независимыми и обладать достаточными финансовыми и кадровыми ресурсами, в том числе кадрами в области инвестиционного банкинга, реструктуризации и оценки недвижимого имущества. В этой связи, адекватная капитализация и финансирование Фонда проблемных кредитов являются одним из ключевых факторов. При этом будут рассматриваться различные механизмы выкупа проблемных активов у банков, совместного управления, реализации инвестору или ликвидации данных активов с учетом необходимости разделения возникающих убытков с банками.</w:t>
      </w:r>
    </w:p>
    <w:p>
      <w:pPr>
        <w:spacing w:after="0"/>
        <w:ind w:left="0"/>
        <w:jc w:val="both"/>
      </w:pPr>
      <w:r>
        <w:rPr>
          <w:rFonts w:ascii="Times New Roman"/>
          <w:b w:val="false"/>
          <w:i w:val="false"/>
          <w:color w:val="000000"/>
          <w:sz w:val="28"/>
        </w:rPr>
        <w:t>
      При этом организации, специализирующиеся на управлении неработающими активами, могут осуществлять управление проблемными активами банков как самостоятельно, так и привлекая юридические, коллекторские и иные компании на условиях аутсорсинга. В этой связи, потребуется принятие мер по законодательному обеспечению коллекторской деятельности.</w:t>
      </w:r>
    </w:p>
    <w:bookmarkStart w:name="z24" w:id="20"/>
    <w:p>
      <w:pPr>
        <w:spacing w:after="0"/>
        <w:ind w:left="0"/>
        <w:jc w:val="both"/>
      </w:pPr>
      <w:r>
        <w:rPr>
          <w:rFonts w:ascii="Times New Roman"/>
          <w:b w:val="false"/>
          <w:i w:val="false"/>
          <w:color w:val="000000"/>
          <w:sz w:val="28"/>
        </w:rPr>
        <w:t>
      3. Совершенствование систем раннего реагирования, оздоровления и ликвидации банков.</w:t>
      </w:r>
    </w:p>
    <w:bookmarkEnd w:id="20"/>
    <w:p>
      <w:pPr>
        <w:spacing w:after="0"/>
        <w:ind w:left="0"/>
        <w:jc w:val="both"/>
      </w:pPr>
      <w:r>
        <w:rPr>
          <w:rFonts w:ascii="Times New Roman"/>
          <w:b w:val="false"/>
          <w:i w:val="false"/>
          <w:color w:val="000000"/>
          <w:sz w:val="28"/>
        </w:rPr>
        <w:t>
      Реализация данного направления требует пересмотра оснований применения ограниченных мер воздействия и санкций, институциональной системы оздоровления и урегулирования несостоятельных банков, а также порога ответственности Национального Банка Республики Казахстан при реализации мер по оздоровлению.</w:t>
      </w:r>
    </w:p>
    <w:p>
      <w:pPr>
        <w:spacing w:after="0"/>
        <w:ind w:left="0"/>
        <w:jc w:val="both"/>
      </w:pPr>
      <w:r>
        <w:rPr>
          <w:rFonts w:ascii="Times New Roman"/>
          <w:b w:val="false"/>
          <w:i w:val="false"/>
          <w:color w:val="000000"/>
          <w:sz w:val="28"/>
        </w:rPr>
        <w:t>
      В рамках мер раннего и надзорного реагирования будут разграничены надзорные меры от инструментов по оздоровлению, обеспечив их соответствие серьезности проблем в банке.</w:t>
      </w:r>
    </w:p>
    <w:p>
      <w:pPr>
        <w:spacing w:after="0"/>
        <w:ind w:left="0"/>
        <w:jc w:val="both"/>
      </w:pPr>
      <w:r>
        <w:rPr>
          <w:rFonts w:ascii="Times New Roman"/>
          <w:b w:val="false"/>
          <w:i w:val="false"/>
          <w:color w:val="000000"/>
          <w:sz w:val="28"/>
        </w:rPr>
        <w:t>
      Будет разработан действенный, "безболезненный" для участников финансового рынка и понятный для депозиторов – физических лиц механизм оздоровления финансового состояния банка в виде его консервации и передачи активов и обязательств (в основном, депозитов физических лиц) частично либо в полном размере другому банку. В рамках данных мер, а также мер по совершенствованию системы гарантирования предусматриваются:</w:t>
      </w:r>
    </w:p>
    <w:p>
      <w:pPr>
        <w:spacing w:after="0"/>
        <w:ind w:left="0"/>
        <w:jc w:val="both"/>
      </w:pPr>
      <w:r>
        <w:rPr>
          <w:rFonts w:ascii="Times New Roman"/>
          <w:b w:val="false"/>
          <w:i w:val="false"/>
          <w:color w:val="000000"/>
          <w:sz w:val="28"/>
        </w:rPr>
        <w:t xml:space="preserve">
      передача функций по осуществлению процедур урегулирования несостоятельных банков (то есть после лишения банка лицензии) в акционерное общество "Казахстанский фонд гарантирования депозитов" </w:t>
      </w:r>
    </w:p>
    <w:p>
      <w:pPr>
        <w:spacing w:after="0"/>
        <w:ind w:left="0"/>
        <w:jc w:val="both"/>
      </w:pPr>
      <w:r>
        <w:rPr>
          <w:rFonts w:ascii="Times New Roman"/>
          <w:b w:val="false"/>
          <w:i w:val="false"/>
          <w:color w:val="000000"/>
          <w:sz w:val="28"/>
        </w:rPr>
        <w:t>
      (далее – Казахстанский фонд гарантирования депозитов);</w:t>
      </w:r>
    </w:p>
    <w:p>
      <w:pPr>
        <w:spacing w:after="0"/>
        <w:ind w:left="0"/>
        <w:jc w:val="both"/>
      </w:pPr>
      <w:r>
        <w:rPr>
          <w:rFonts w:ascii="Times New Roman"/>
          <w:b w:val="false"/>
          <w:i w:val="false"/>
          <w:color w:val="000000"/>
          <w:sz w:val="28"/>
        </w:rPr>
        <w:t>
      обеспечение возможности использования средств системы гарантирования депозитов только в случае прямого участия Казахстанского фонда гарантирования депозитов в процессе оздоровления при наличии документального подтверждения того, что стоимость мероприятий по оздоровлению ниже стоимости ликвидации банка (least cost method);</w:t>
      </w:r>
    </w:p>
    <w:p>
      <w:pPr>
        <w:spacing w:after="0"/>
        <w:ind w:left="0"/>
        <w:jc w:val="both"/>
      </w:pPr>
      <w:r>
        <w:rPr>
          <w:rFonts w:ascii="Times New Roman"/>
          <w:b w:val="false"/>
          <w:i w:val="false"/>
          <w:color w:val="000000"/>
          <w:sz w:val="28"/>
        </w:rPr>
        <w:t xml:space="preserve">
      рассмотрение вопроса по дальнейшему увеличению суммы гарантирования вкладов физических лиц с учетом рекомендаций основополагающих принципов для эффективных систем гарантирования депозитов Международной ассоциации систем страхования депозитов (сумма гарантийного возмещения должна быть установлена таким образом, чтобы покрытие по количеству счетов составляло не менее 90 %, а по совокупной сумме депозитов не более 50 %); </w:t>
      </w:r>
    </w:p>
    <w:p>
      <w:pPr>
        <w:spacing w:after="0"/>
        <w:ind w:left="0"/>
        <w:jc w:val="both"/>
      </w:pPr>
      <w:r>
        <w:rPr>
          <w:rFonts w:ascii="Times New Roman"/>
          <w:b w:val="false"/>
          <w:i w:val="false"/>
          <w:color w:val="000000"/>
          <w:sz w:val="28"/>
        </w:rPr>
        <w:t>
      рассмотрение вопроса о распространении системы гарантирования вкладов на текущие счета юридических лиц.</w:t>
      </w:r>
    </w:p>
    <w:p>
      <w:pPr>
        <w:spacing w:after="0"/>
        <w:ind w:left="0"/>
        <w:jc w:val="both"/>
      </w:pPr>
      <w:r>
        <w:rPr>
          <w:rFonts w:ascii="Times New Roman"/>
          <w:b w:val="false"/>
          <w:i w:val="false"/>
          <w:color w:val="000000"/>
          <w:sz w:val="28"/>
        </w:rPr>
        <w:t>
      При этом будет рассмотрен вопрос совершенствования банковского законодательства в части, предусматривающей определение процедурных оснований и критериев проведения мер по оздоровлению/урегулированию банков (P&amp;A</w:t>
      </w:r>
      <w:r>
        <w:rPr>
          <w:rFonts w:ascii="Times New Roman"/>
          <w:b w:val="false"/>
          <w:i w:val="false"/>
          <w:color w:val="000000"/>
          <w:vertAlign w:val="superscript"/>
        </w:rPr>
        <w:t>4</w:t>
      </w:r>
      <w:r>
        <w:rPr>
          <w:rFonts w:ascii="Times New Roman"/>
          <w:b w:val="false"/>
          <w:i w:val="false"/>
          <w:color w:val="000000"/>
          <w:sz w:val="28"/>
        </w:rPr>
        <w:t>, стабилизационный банк, механизм по принудительной конвертации задолженности банка в акционерный капитал и так далее) ориентировочно в 2016 – 2018 годах.</w:t>
      </w:r>
    </w:p>
    <w:p>
      <w:pPr>
        <w:spacing w:after="0"/>
        <w:ind w:left="0"/>
        <w:jc w:val="both"/>
      </w:pPr>
      <w:r>
        <w:rPr>
          <w:rFonts w:ascii="Times New Roman"/>
          <w:b w:val="false"/>
          <w:i w:val="false"/>
          <w:color w:val="000000"/>
          <w:sz w:val="28"/>
        </w:rPr>
        <w:t>
      Совершенствование системы ликвидации банков предполагает создание нового институционального подхода, а также упрощение процедуры списания ликвидатором с балансов проблемного банка невозможной к взысканию задолженности.</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мировой практике широко применяется процедура P&amp;A (от англ. Purchase and Assumption, один из методов защиты депозиторов, используемых Federal Deposit Insurance (FDIC) с начала 1980 годов в отношении проблемных банков), когда активы и обязательства проблемного банка в течение короткого промежутка времени переходят к другому банку, не причиняя, таким образом, существенных неудобств для клиентов проблемного банка и не вызывая социальное напряжение в обществе и "бегство" депозиторов из банков.</w:t>
      </w:r>
    </w:p>
    <w:p>
      <w:pPr>
        <w:spacing w:after="0"/>
        <w:ind w:left="0"/>
        <w:jc w:val="both"/>
      </w:pPr>
      <w:r>
        <w:rPr>
          <w:rFonts w:ascii="Times New Roman"/>
          <w:b w:val="false"/>
          <w:i w:val="false"/>
          <w:color w:val="000000"/>
          <w:sz w:val="28"/>
        </w:rPr>
        <w:t>
      Повышение устойчивости страхового сектора.</w:t>
      </w:r>
    </w:p>
    <w:bookmarkStart w:name="z25" w:id="21"/>
    <w:p>
      <w:pPr>
        <w:spacing w:after="0"/>
        <w:ind w:left="0"/>
        <w:jc w:val="both"/>
      </w:pPr>
      <w:r>
        <w:rPr>
          <w:rFonts w:ascii="Times New Roman"/>
          <w:b w:val="false"/>
          <w:i w:val="false"/>
          <w:color w:val="000000"/>
          <w:sz w:val="28"/>
        </w:rPr>
        <w:t>
      1. Меры по повышению капитализации страховых организаций.</w:t>
      </w:r>
    </w:p>
    <w:bookmarkEnd w:id="21"/>
    <w:p>
      <w:pPr>
        <w:spacing w:after="0"/>
        <w:ind w:left="0"/>
        <w:jc w:val="both"/>
      </w:pPr>
      <w:r>
        <w:rPr>
          <w:rFonts w:ascii="Times New Roman"/>
          <w:b w:val="false"/>
          <w:i w:val="false"/>
          <w:color w:val="000000"/>
          <w:sz w:val="28"/>
        </w:rPr>
        <w:t>
      Страхование может стать одним из стратегических секторов экономики. Развитие страхового сектора будет способствовать надежному и устойчивому развитию экономики страны и созданию дополнительной основы для повышения социальной защиты населения, страхования имущества граждан и субъектов предпринимательства. Учитывая потенциал страхового сектора в экономике страны, охватывающего все стороны человеческой жизни, производственной и социально-экономической деятельности, государство должно оказать содействие развитию рынка страхования. В данном случае роль государства важна как в части повышения страховой культуры населения, так и в части повышения надежности страховых организаций.</w:t>
      </w:r>
    </w:p>
    <w:p>
      <w:pPr>
        <w:spacing w:after="0"/>
        <w:ind w:left="0"/>
        <w:jc w:val="both"/>
      </w:pPr>
      <w:r>
        <w:rPr>
          <w:rFonts w:ascii="Times New Roman"/>
          <w:b w:val="false"/>
          <w:i w:val="false"/>
          <w:color w:val="000000"/>
          <w:sz w:val="28"/>
        </w:rPr>
        <w:t>
      Наиболее важным направлением развития страхового рынка является принятие комплекса мер по дальнейшему росту капитализации страховых организаций. Накопление капитала позволит локальным страховщикам удержать большую часть страховых рисков, в настоящее время неэффективно передающихся на перестрахование.</w:t>
      </w:r>
    </w:p>
    <w:p>
      <w:pPr>
        <w:spacing w:after="0"/>
        <w:ind w:left="0"/>
        <w:jc w:val="both"/>
      </w:pPr>
      <w:r>
        <w:rPr>
          <w:rFonts w:ascii="Times New Roman"/>
          <w:b w:val="false"/>
          <w:i w:val="false"/>
          <w:color w:val="000000"/>
          <w:sz w:val="28"/>
        </w:rPr>
        <w:t>
      В целях обеспечения устойчивости и конкурентоспособности страховых организаций будут поэтапно вводиться требования Solvency II. Данная система предполагает расчет капитала для покрытия каждого вида риска с учетом качественных параметров деятельности страховщиков и надзорной оценки. Количественные требования к размеру собственного капитала будут состоять из двух уровней: минимальные требования к капиталу, при несоблюдении которых немедленно отзывается лицензия на осуществление страховой деятельности, и требования к капиталу для обеспечения платежеспособности. При их несоблюдении будут применяться меры по финансовому оздоровлению и санкции.</w:t>
      </w:r>
    </w:p>
    <w:p>
      <w:pPr>
        <w:spacing w:after="0"/>
        <w:ind w:left="0"/>
        <w:jc w:val="both"/>
      </w:pPr>
      <w:r>
        <w:rPr>
          <w:rFonts w:ascii="Times New Roman"/>
          <w:b w:val="false"/>
          <w:i w:val="false"/>
          <w:color w:val="000000"/>
          <w:sz w:val="28"/>
        </w:rPr>
        <w:t>
      На начальном этапе будет адаптирована стандартная формула расчета минимальных требований к капиталу и требований к капиталу для обеспечения платежеспособности, которая предполагает расчет капитала по каждой категории риска с учетом параметров, заданных уполномоченным органом. Будут введены следующие категории рисков, по которым будет осуществляться расчет капитала: операционный риск, рыночные риски, риски, возникающие из страхования жизни; риски, возникающие из иных видов страхования, чем страхование жизни; риск несостоятельности контрагента; риски, связанные с нематериальными активами.</w:t>
      </w:r>
    </w:p>
    <w:p>
      <w:pPr>
        <w:spacing w:after="0"/>
        <w:ind w:left="0"/>
        <w:jc w:val="both"/>
      </w:pPr>
      <w:r>
        <w:rPr>
          <w:rFonts w:ascii="Times New Roman"/>
          <w:b w:val="false"/>
          <w:i w:val="false"/>
          <w:color w:val="000000"/>
          <w:sz w:val="28"/>
        </w:rPr>
        <w:t>
      Одновременно будут предложены изменения по реализации второго компонента стандарта Solvency II, который предполагает оценку эффективности внутренних систем управления рисками, андеррайтинга и внутреннего контроля, оценку стратегии и основных бизнес-процессов.</w:t>
      </w:r>
    </w:p>
    <w:p>
      <w:pPr>
        <w:spacing w:after="0"/>
        <w:ind w:left="0"/>
        <w:jc w:val="both"/>
      </w:pPr>
      <w:r>
        <w:rPr>
          <w:rFonts w:ascii="Times New Roman"/>
          <w:b w:val="false"/>
          <w:i w:val="false"/>
          <w:color w:val="000000"/>
          <w:sz w:val="28"/>
        </w:rPr>
        <w:t>
      Будут приниматься меры по развитию и улучшению внутренних систем андеррайтинга, управления рисками, внутреннего контроля и оценки убытков. Указанные меры будут способствовать минимизации риска банкротства страховых организаций и диверсифицировать риски с целью недопущения излишней кумуляции страховых рисков в рамках одной организации. Также предполагаются унификация и внедрение надзора за методикой оценки рисков, что позволит вести контроль за "правильностью" оценки уровня рисков, принимаемых страховыми организациями.</w:t>
      </w:r>
    </w:p>
    <w:p>
      <w:pPr>
        <w:spacing w:after="0"/>
        <w:ind w:left="0"/>
        <w:jc w:val="both"/>
      </w:pPr>
      <w:r>
        <w:rPr>
          <w:rFonts w:ascii="Times New Roman"/>
          <w:b w:val="false"/>
          <w:i w:val="false"/>
          <w:color w:val="000000"/>
          <w:sz w:val="28"/>
        </w:rPr>
        <w:t>
      В повышении надежности страховых организаций немаловажную роль занимает роль государства, которая выражается в осуществлении контроля и надзора за деятельностью субъектов страхового рынка на риск-ориентированной основе. В настоящее время система надзора за страховой деятельностью основана на анализе областей риска: капитал, активы, перестрахование, страховые резервы, менеджмент, доходность, ликвидность и определение соответствующей оценки устойчивости страховой организации.</w:t>
      </w:r>
    </w:p>
    <w:bookmarkStart w:name="z26" w:id="22"/>
    <w:p>
      <w:pPr>
        <w:spacing w:after="0"/>
        <w:ind w:left="0"/>
        <w:jc w:val="both"/>
      </w:pPr>
      <w:r>
        <w:rPr>
          <w:rFonts w:ascii="Times New Roman"/>
          <w:b w:val="false"/>
          <w:i w:val="false"/>
          <w:color w:val="000000"/>
          <w:sz w:val="28"/>
        </w:rPr>
        <w:t>
      2. Меры по снижению риска недостаточности страховых резервов.</w:t>
      </w:r>
    </w:p>
    <w:bookmarkEnd w:id="22"/>
    <w:p>
      <w:pPr>
        <w:spacing w:after="0"/>
        <w:ind w:left="0"/>
        <w:jc w:val="both"/>
      </w:pPr>
      <w:r>
        <w:rPr>
          <w:rFonts w:ascii="Times New Roman"/>
          <w:b w:val="false"/>
          <w:i w:val="false"/>
          <w:color w:val="000000"/>
          <w:sz w:val="28"/>
        </w:rPr>
        <w:t>
      Одной из важных действенных мер, позволяющих повысить платежеспособность страховых организаций, является достаточность страховых резервов.</w:t>
      </w:r>
    </w:p>
    <w:p>
      <w:pPr>
        <w:spacing w:after="0"/>
        <w:ind w:left="0"/>
        <w:jc w:val="both"/>
      </w:pPr>
      <w:r>
        <w:rPr>
          <w:rFonts w:ascii="Times New Roman"/>
          <w:b w:val="false"/>
          <w:i w:val="false"/>
          <w:color w:val="000000"/>
          <w:sz w:val="28"/>
        </w:rPr>
        <w:t>
      В настоящее время отмечаются некоторые негативные факторы, связанные с неадекватным формированием страховых резервов ввиду отсутствия объективной страховой статистики, их недооценки, а также с манипулированием их размерами.</w:t>
      </w:r>
    </w:p>
    <w:p>
      <w:pPr>
        <w:spacing w:after="0"/>
        <w:ind w:left="0"/>
        <w:jc w:val="both"/>
      </w:pPr>
      <w:r>
        <w:rPr>
          <w:rFonts w:ascii="Times New Roman"/>
          <w:b w:val="false"/>
          <w:i w:val="false"/>
          <w:color w:val="000000"/>
          <w:sz w:val="28"/>
        </w:rPr>
        <w:t>
      Необходимо принятие мер, направленных на участие государства в работе по сбору статистики, созданию таблиц смертности, усиление требований по автоматизации процессов страховой и иной деятельности.</w:t>
      </w:r>
    </w:p>
    <w:p>
      <w:pPr>
        <w:spacing w:after="0"/>
        <w:ind w:left="0"/>
        <w:jc w:val="both"/>
      </w:pPr>
      <w:r>
        <w:rPr>
          <w:rFonts w:ascii="Times New Roman"/>
          <w:b w:val="false"/>
          <w:i w:val="false"/>
          <w:color w:val="000000"/>
          <w:sz w:val="28"/>
        </w:rPr>
        <w:t>
      Важным становится повышение роли независимых актуариев как лиц, ответственных за адекватный расчет страховых резервов и обеспечение законодательной защиты актуариев от действий менеджмента страховых организаций. Планируется рассмотреть вопрос о принятии мер по законодательному обеспечению соответствующих вопросов страховой деятельности в 2016 – 2020 годах. Также необходимо принять меры для усиления профессиональной подготовки актуариев.</w:t>
      </w:r>
    </w:p>
    <w:bookmarkStart w:name="z27" w:id="23"/>
    <w:p>
      <w:pPr>
        <w:spacing w:after="0"/>
        <w:ind w:left="0"/>
        <w:jc w:val="both"/>
      </w:pPr>
      <w:r>
        <w:rPr>
          <w:rFonts w:ascii="Times New Roman"/>
          <w:b w:val="false"/>
          <w:i w:val="false"/>
          <w:color w:val="000000"/>
          <w:sz w:val="28"/>
        </w:rPr>
        <w:t>
      3. Повышение эффективности перестрахования.</w:t>
      </w:r>
    </w:p>
    <w:bookmarkEnd w:id="23"/>
    <w:p>
      <w:pPr>
        <w:spacing w:after="0"/>
        <w:ind w:left="0"/>
        <w:jc w:val="both"/>
      </w:pPr>
      <w:r>
        <w:rPr>
          <w:rFonts w:ascii="Times New Roman"/>
          <w:b w:val="false"/>
          <w:i w:val="false"/>
          <w:color w:val="000000"/>
          <w:sz w:val="28"/>
        </w:rPr>
        <w:t>
      Учитывая небольшую по сравнению с зарубежными компаниями капитализацию казахстанских страховых компаний, система перестрахования приобретает для отечественного страхового рынка большее значение, предоставляя отечественным страховщикам возможность заключать договоры страхования рисков, стоимость которых превосходит их собственные средства, что позволяет развиваться страховому рынку.</w:t>
      </w:r>
    </w:p>
    <w:p>
      <w:pPr>
        <w:spacing w:after="0"/>
        <w:ind w:left="0"/>
        <w:jc w:val="both"/>
      </w:pPr>
      <w:r>
        <w:rPr>
          <w:rFonts w:ascii="Times New Roman"/>
          <w:b w:val="false"/>
          <w:i w:val="false"/>
          <w:color w:val="000000"/>
          <w:sz w:val="28"/>
        </w:rPr>
        <w:t>
      Оценка рисков перестрахования будет проводиться с учетом качества перестрахования и платежеспособности перестраховочной организации, особенностей пропорционального и непропорционального перестрахования.</w:t>
      </w:r>
    </w:p>
    <w:p>
      <w:pPr>
        <w:spacing w:after="0"/>
        <w:ind w:left="0"/>
        <w:jc w:val="both"/>
      </w:pPr>
      <w:r>
        <w:rPr>
          <w:rFonts w:ascii="Times New Roman"/>
          <w:b w:val="false"/>
          <w:i w:val="false"/>
          <w:color w:val="000000"/>
          <w:sz w:val="28"/>
        </w:rPr>
        <w:t>
      Кроме того, будет определена методика расчета максимального размера собственного удержания с учетом финансовой устойчивости страховой организации, особенностей договоров страхования и покрываемых рисков, вероятности наступления страхового события и ожидаемых убытков.</w:t>
      </w:r>
    </w:p>
    <w:p>
      <w:pPr>
        <w:spacing w:after="0"/>
        <w:ind w:left="0"/>
        <w:jc w:val="both"/>
      </w:pPr>
      <w:r>
        <w:rPr>
          <w:rFonts w:ascii="Times New Roman"/>
          <w:b w:val="false"/>
          <w:i w:val="false"/>
          <w:color w:val="000000"/>
          <w:sz w:val="28"/>
        </w:rPr>
        <w:t xml:space="preserve">
      Необходимо определить разумное соотношение собственного удержания цедента с лимитом ответственности перестраховщика, так как в противном случае страховая организация не будет заинтересована в андеррайтинге страховых рисков, получая лишь комиссию за заключение договора страхования и выступая в роли страхового посредника. </w:t>
      </w:r>
    </w:p>
    <w:p>
      <w:pPr>
        <w:spacing w:after="0"/>
        <w:ind w:left="0"/>
        <w:jc w:val="both"/>
      </w:pPr>
      <w:r>
        <w:rPr>
          <w:rFonts w:ascii="Times New Roman"/>
          <w:b w:val="false"/>
          <w:i w:val="false"/>
          <w:color w:val="000000"/>
          <w:sz w:val="28"/>
        </w:rPr>
        <w:t>
      Данные меры обеспечат значительный рост капитализации и емкости страхового рынка, повысят конкурентоспособность страховых организаций.</w:t>
      </w:r>
    </w:p>
    <w:p>
      <w:pPr>
        <w:spacing w:after="0"/>
        <w:ind w:left="0"/>
        <w:jc w:val="both"/>
      </w:pPr>
      <w:r>
        <w:rPr>
          <w:rFonts w:ascii="Times New Roman"/>
          <w:b w:val="false"/>
          <w:i w:val="false"/>
          <w:color w:val="000000"/>
          <w:sz w:val="28"/>
        </w:rPr>
        <w:t>
      Будут приняты меры по пресечению "безрискового" перестрахования, осуществляемого в целях вывода активов и налоговой оптимизации. В этих целях будут законодательно установлены критерии признания договоров перестрахования недействительными.</w:t>
      </w:r>
    </w:p>
    <w:p>
      <w:pPr>
        <w:spacing w:after="0"/>
        <w:ind w:left="0"/>
        <w:jc w:val="both"/>
      </w:pPr>
      <w:r>
        <w:rPr>
          <w:rFonts w:ascii="Times New Roman"/>
          <w:b w:val="false"/>
          <w:i w:val="false"/>
          <w:color w:val="000000"/>
          <w:sz w:val="28"/>
        </w:rPr>
        <w:t>
      Несмотря на предпринимаемые законодательные меры по повышению эффективности использования инструмента перестрахования как в мировой практике, так и в практике регулирования в Казахстане, перестрахование является весьма непрозрачным направлением деятельности страховых организаций особенно в части осуществления перестрахования внутри страны между страховыми (перестраховочными) организациями-резидентами с использованием страховых брокеров. Поэтому развитие перестрахования в условиях рыночных отношений требует эффективного правового механизма, обеспечивающего четкость и полноту его регулирования.</w:t>
      </w:r>
    </w:p>
    <w:bookmarkStart w:name="z28" w:id="24"/>
    <w:p>
      <w:pPr>
        <w:spacing w:after="0"/>
        <w:ind w:left="0"/>
        <w:jc w:val="both"/>
      </w:pPr>
      <w:r>
        <w:rPr>
          <w:rFonts w:ascii="Times New Roman"/>
          <w:b w:val="false"/>
          <w:i w:val="false"/>
          <w:color w:val="000000"/>
          <w:sz w:val="28"/>
        </w:rPr>
        <w:t>
      4. Ликвидация и реорганизация страховых организаций.</w:t>
      </w:r>
    </w:p>
    <w:bookmarkEnd w:id="24"/>
    <w:p>
      <w:pPr>
        <w:spacing w:after="0"/>
        <w:ind w:left="0"/>
        <w:jc w:val="both"/>
      </w:pPr>
      <w:r>
        <w:rPr>
          <w:rFonts w:ascii="Times New Roman"/>
          <w:b w:val="false"/>
          <w:i w:val="false"/>
          <w:color w:val="000000"/>
          <w:sz w:val="28"/>
        </w:rPr>
        <w:t>
      В связи с ужесточением требований по платежеспособности и возрастающим уровнем конкуренции среди участников страхового рынка, требуется взвешенно подойти к вопросу законодательного процесса ликвидации страховых организаций вне зависимости от того, возбуждается ли такая процедура в связи с неплатежеспособностью, а также является ли она добровольной или принудительной. Оптимизация и регламентация передачи страхового портфеля, обозначение законодательных механизмов в целях сохранения или восстановления финансовой стабильности страховой организации и по возможности максимального предотвращения прекращения деятельности такой организации позволят предоставить страховому рынку гарантии для продолжительной деятельности и минимизировать имиджевые риски для страхового рынка в целом.</w:t>
      </w:r>
    </w:p>
    <w:p>
      <w:pPr>
        <w:spacing w:after="0"/>
        <w:ind w:left="0"/>
        <w:jc w:val="both"/>
      </w:pPr>
      <w:r>
        <w:rPr>
          <w:rFonts w:ascii="Times New Roman"/>
          <w:b w:val="false"/>
          <w:i w:val="false"/>
          <w:color w:val="000000"/>
          <w:sz w:val="28"/>
        </w:rPr>
        <w:t>
      Повышение устойчивости рынка ценных бумаг.</w:t>
      </w:r>
    </w:p>
    <w:bookmarkStart w:name="z29" w:id="25"/>
    <w:p>
      <w:pPr>
        <w:spacing w:after="0"/>
        <w:ind w:left="0"/>
        <w:jc w:val="both"/>
      </w:pPr>
      <w:r>
        <w:rPr>
          <w:rFonts w:ascii="Times New Roman"/>
          <w:b w:val="false"/>
          <w:i w:val="false"/>
          <w:color w:val="000000"/>
          <w:sz w:val="28"/>
        </w:rPr>
        <w:t>
      1. Формирование системы эффективного поглощения шоков и меры по сокращению и предотвращению рисков на рынке ценных бумаг.</w:t>
      </w:r>
    </w:p>
    <w:bookmarkEnd w:id="25"/>
    <w:p>
      <w:pPr>
        <w:spacing w:after="0"/>
        <w:ind w:left="0"/>
        <w:jc w:val="both"/>
      </w:pPr>
      <w:r>
        <w:rPr>
          <w:rFonts w:ascii="Times New Roman"/>
          <w:b w:val="false"/>
          <w:i w:val="false"/>
          <w:color w:val="000000"/>
          <w:sz w:val="28"/>
        </w:rPr>
        <w:t>
      Дальнейшее развитие организованного рынка ценных бумаг невозможно без создания эффективной системы управления рисками.</w:t>
      </w:r>
    </w:p>
    <w:p>
      <w:pPr>
        <w:spacing w:after="0"/>
        <w:ind w:left="0"/>
        <w:jc w:val="both"/>
      </w:pPr>
      <w:r>
        <w:rPr>
          <w:rFonts w:ascii="Times New Roman"/>
          <w:b w:val="false"/>
          <w:i w:val="false"/>
          <w:color w:val="000000"/>
          <w:sz w:val="28"/>
        </w:rPr>
        <w:t>
      Система торговли с ценными бумагами с отстроченной датой расчетов (далее – система расчетов "T+n"), система прямого доступа к торгам и удаленное членство (для иностранных брокерских и (или) дилерских организаций) помимо возможностей создают новые вызовы для рынка ценных бумаг.</w:t>
      </w:r>
    </w:p>
    <w:p>
      <w:pPr>
        <w:spacing w:after="0"/>
        <w:ind w:left="0"/>
        <w:jc w:val="both"/>
      </w:pPr>
      <w:r>
        <w:rPr>
          <w:rFonts w:ascii="Times New Roman"/>
          <w:b w:val="false"/>
          <w:i w:val="false"/>
          <w:color w:val="000000"/>
          <w:sz w:val="28"/>
        </w:rPr>
        <w:t>
      При системе расчетов "T+n" с частичным обеспечением возникают риски неосуществления одним или несколькими участниками расчетов по сделкам. В случае неспособности клиринговой организации к завершению расчетов, различные эффекты "цепной реакции" могут оказать существенное неблагоприятное воздействие на рынок ценных бумаг и экономику в целом.</w:t>
      </w:r>
    </w:p>
    <w:p>
      <w:pPr>
        <w:spacing w:after="0"/>
        <w:ind w:left="0"/>
        <w:jc w:val="both"/>
      </w:pPr>
      <w:r>
        <w:rPr>
          <w:rFonts w:ascii="Times New Roman"/>
          <w:b w:val="false"/>
          <w:i w:val="false"/>
          <w:color w:val="000000"/>
          <w:sz w:val="28"/>
        </w:rPr>
        <w:t>
      В этой связи для формирования системы эффективного поглощения шоков при наличии системного риска будет рассмотрено введение различных уровней защиты:</w:t>
      </w:r>
    </w:p>
    <w:p>
      <w:pPr>
        <w:spacing w:after="0"/>
        <w:ind w:left="0"/>
        <w:jc w:val="both"/>
      </w:pPr>
      <w:r>
        <w:rPr>
          <w:rFonts w:ascii="Times New Roman"/>
          <w:b w:val="false"/>
          <w:i w:val="false"/>
          <w:color w:val="000000"/>
          <w:sz w:val="28"/>
        </w:rPr>
        <w:t>
      1) маржевые взносы, которые депонируются участниками торгов в целях покрытия кредитного риска и риска ликвидности, где размеры маржевых взносов зависят от волатильности ценных бумаг, являющихся предметами сделок;</w:t>
      </w:r>
    </w:p>
    <w:p>
      <w:pPr>
        <w:spacing w:after="0"/>
        <w:ind w:left="0"/>
        <w:jc w:val="both"/>
      </w:pPr>
      <w:r>
        <w:rPr>
          <w:rFonts w:ascii="Times New Roman"/>
          <w:b w:val="false"/>
          <w:i w:val="false"/>
          <w:color w:val="000000"/>
          <w:sz w:val="28"/>
        </w:rPr>
        <w:t>
      2) системы лимитов, которые включают в себя лимит изменения цены и лимит на открытую позицию;</w:t>
      </w:r>
    </w:p>
    <w:p>
      <w:pPr>
        <w:spacing w:after="0"/>
        <w:ind w:left="0"/>
        <w:jc w:val="both"/>
      </w:pPr>
      <w:r>
        <w:rPr>
          <w:rFonts w:ascii="Times New Roman"/>
          <w:b w:val="false"/>
          <w:i w:val="false"/>
          <w:color w:val="000000"/>
          <w:sz w:val="28"/>
        </w:rPr>
        <w:t>
      3) гарантийные фонды, которые формируются за счет взносов участников торгов и используются в качестве источника финансирования при наступлении дефолта;</w:t>
      </w:r>
    </w:p>
    <w:p>
      <w:pPr>
        <w:spacing w:after="0"/>
        <w:ind w:left="0"/>
        <w:jc w:val="both"/>
      </w:pPr>
      <w:r>
        <w:rPr>
          <w:rFonts w:ascii="Times New Roman"/>
          <w:b w:val="false"/>
          <w:i w:val="false"/>
          <w:color w:val="000000"/>
          <w:sz w:val="28"/>
        </w:rPr>
        <w:t>
      4) резервный фонд, который формируется за счет собственных средств фондовой биржи (клиринговой организации).</w:t>
      </w:r>
    </w:p>
    <w:p>
      <w:pPr>
        <w:spacing w:after="0"/>
        <w:ind w:left="0"/>
        <w:jc w:val="both"/>
      </w:pPr>
      <w:r>
        <w:rPr>
          <w:rFonts w:ascii="Times New Roman"/>
          <w:b w:val="false"/>
          <w:i w:val="false"/>
          <w:color w:val="000000"/>
          <w:sz w:val="28"/>
        </w:rPr>
        <w:t>
      Это потребует пересмотра системы пруденциального регулирования брокерских организаций, которая должна учитывать рекомендации БКБН и Международной организации комиссий по ценным бумагам в части смягчения других требований к управлению рисками.</w:t>
      </w:r>
    </w:p>
    <w:p>
      <w:pPr>
        <w:spacing w:after="0"/>
        <w:ind w:left="0"/>
        <w:jc w:val="both"/>
      </w:pPr>
      <w:r>
        <w:rPr>
          <w:rFonts w:ascii="Times New Roman"/>
          <w:b w:val="false"/>
          <w:i w:val="false"/>
          <w:color w:val="000000"/>
          <w:sz w:val="28"/>
        </w:rPr>
        <w:t>
      Внедрение системы расчетов "Т+n" потребует рассмотрения вопроса о необходимости внесения соответствующих поправок в законодательство о деятельности рынка ценных бумаг, а также гражданское законодательство, которое планируется на 2014 – 2015 годы.</w:t>
      </w:r>
    </w:p>
    <w:p>
      <w:pPr>
        <w:spacing w:after="0"/>
        <w:ind w:left="0"/>
        <w:jc w:val="both"/>
      </w:pPr>
      <w:r>
        <w:rPr>
          <w:rFonts w:ascii="Times New Roman"/>
          <w:b w:val="false"/>
          <w:i w:val="false"/>
          <w:color w:val="000000"/>
          <w:sz w:val="28"/>
        </w:rPr>
        <w:t>
      Помимо этого, потребует пересмотра система пруденциального регулирования брокерских организаций, которая должна учитывать рекомендации БКБН и Международной организации комиссий по ценным бумагам в части адекватности капитала, показателей ликвидности, финансового левереджа и управления рисками.</w:t>
      </w:r>
    </w:p>
    <w:p>
      <w:pPr>
        <w:spacing w:after="0"/>
        <w:ind w:left="0"/>
        <w:jc w:val="both"/>
      </w:pPr>
      <w:r>
        <w:rPr>
          <w:rFonts w:ascii="Times New Roman"/>
          <w:b w:val="false"/>
          <w:i w:val="false"/>
          <w:color w:val="000000"/>
          <w:sz w:val="28"/>
        </w:rPr>
        <w:t>
      Вместе с тем, гарантирование завершенности расчетов по сделкам, заключенным на рынке ценных бумаг, и их необратимость, а также обеспечения равенства прав участников торгов являются немаловажным условием (предпосылкой) для эффективного функционирования рынка ценных бумаг и обеспечения доверия со стороны инвесторов, в том числе иностранных, к рынку ценных бумаг.</w:t>
      </w:r>
    </w:p>
    <w:p>
      <w:pPr>
        <w:spacing w:after="0"/>
        <w:ind w:left="0"/>
        <w:jc w:val="both"/>
      </w:pPr>
      <w:r>
        <w:rPr>
          <w:rFonts w:ascii="Times New Roman"/>
          <w:b w:val="false"/>
          <w:i w:val="false"/>
          <w:color w:val="000000"/>
          <w:sz w:val="28"/>
        </w:rPr>
        <w:t>
      В настоящее время нормы законодательства Республики Казахстан не гарантируют завершенность расчетов по сделкам с ценными бумагами, заключенным на организованном рынке ценных бумаг. В этой связи права и интересы участников торгов на фондовой бирже на сегодняшний день защищены в недостаточной степени.</w:t>
      </w:r>
    </w:p>
    <w:p>
      <w:pPr>
        <w:spacing w:after="0"/>
        <w:ind w:left="0"/>
        <w:jc w:val="both"/>
      </w:pPr>
      <w:r>
        <w:rPr>
          <w:rFonts w:ascii="Times New Roman"/>
          <w:b w:val="false"/>
          <w:i w:val="false"/>
          <w:color w:val="000000"/>
          <w:sz w:val="28"/>
        </w:rPr>
        <w:t>
      Учитывая изложенное, будет рассмотрена целесообразность определения порядка осуществления расчетов с финансовыми инструментами в законодательстве Республики Казахстан о рынке ценных бумаг, что позволит гарантировать участникам торгов завершенность и необратимость расчетов по сделкам с ценными бумагами на организованном рынке ценных бумаг, и установления ответственности за неосуществление расчетов по сделкам. Одновременно в качестве компенсирующих мер для третьих лиц будет рассмотрена целесообразность предъявления требования к сторонам сделки либо иным лицам требования по возмещению ущерба или компенсации, если сделка была заключена в нарушение условий законодательства Республики Казахстан, и в результате ее заключения данным лицам был нанесен ущерб.</w:t>
      </w:r>
    </w:p>
    <w:p>
      <w:pPr>
        <w:spacing w:after="0"/>
        <w:ind w:left="0"/>
        <w:jc w:val="both"/>
      </w:pPr>
      <w:r>
        <w:rPr>
          <w:rFonts w:ascii="Times New Roman"/>
          <w:b w:val="false"/>
          <w:i w:val="false"/>
          <w:color w:val="000000"/>
          <w:sz w:val="28"/>
        </w:rPr>
        <w:t>
      Немаловажную роль в процессе управления рисками играют инфраструктурные организации рынка ценных бумаг, такие как фондовая биржа, клиринговая организация, центральный депозитарий и регистратор.</w:t>
      </w:r>
    </w:p>
    <w:p>
      <w:pPr>
        <w:spacing w:after="0"/>
        <w:ind w:left="0"/>
        <w:jc w:val="both"/>
      </w:pPr>
      <w:r>
        <w:rPr>
          <w:rFonts w:ascii="Times New Roman"/>
          <w:b w:val="false"/>
          <w:i w:val="false"/>
          <w:color w:val="000000"/>
          <w:sz w:val="28"/>
        </w:rPr>
        <w:t>
      Политика Национального Банка Республики Казахстан в отношении таких инфраструктурных организаций финансового рынка, как Государственное кредитное бюро, Единый регистратор ценных бумаг, Казахстанская фондовая биржа, будет направлена на:</w:t>
      </w:r>
    </w:p>
    <w:p>
      <w:pPr>
        <w:spacing w:after="0"/>
        <w:ind w:left="0"/>
        <w:jc w:val="both"/>
      </w:pPr>
      <w:r>
        <w:rPr>
          <w:rFonts w:ascii="Times New Roman"/>
          <w:b w:val="false"/>
          <w:i w:val="false"/>
          <w:color w:val="000000"/>
          <w:sz w:val="28"/>
        </w:rPr>
        <w:t xml:space="preserve">
      1) обеспечение объективной, бесперебойной, качественной деятельности инфраструктурных организаций; </w:t>
      </w:r>
    </w:p>
    <w:p>
      <w:pPr>
        <w:spacing w:after="0"/>
        <w:ind w:left="0"/>
        <w:jc w:val="both"/>
      </w:pPr>
      <w:r>
        <w:rPr>
          <w:rFonts w:ascii="Times New Roman"/>
          <w:b w:val="false"/>
          <w:i w:val="false"/>
          <w:color w:val="000000"/>
          <w:sz w:val="28"/>
        </w:rPr>
        <w:t>
      2) предотвращение мошеннических действий с пенсионными активами, исключение злоупотребления (манипулирования) на фондовом рынке, рейдерства в вопросах регистрации прав держателей ценных бумаг;</w:t>
      </w:r>
    </w:p>
    <w:p>
      <w:pPr>
        <w:spacing w:after="0"/>
        <w:ind w:left="0"/>
        <w:jc w:val="both"/>
      </w:pPr>
      <w:r>
        <w:rPr>
          <w:rFonts w:ascii="Times New Roman"/>
          <w:b w:val="false"/>
          <w:i w:val="false"/>
          <w:color w:val="000000"/>
          <w:sz w:val="28"/>
        </w:rPr>
        <w:t xml:space="preserve">
      3) контроль ситуации на валютном рынке и ограничение спекуляции ставками денежного рынка; </w:t>
      </w:r>
    </w:p>
    <w:p>
      <w:pPr>
        <w:spacing w:after="0"/>
        <w:ind w:left="0"/>
        <w:jc w:val="both"/>
      </w:pPr>
      <w:r>
        <w:rPr>
          <w:rFonts w:ascii="Times New Roman"/>
          <w:b w:val="false"/>
          <w:i w:val="false"/>
          <w:color w:val="000000"/>
          <w:sz w:val="28"/>
        </w:rPr>
        <w:t xml:space="preserve">
      4) обеспечение достоверности кредитных историй, сохранности персональных данных о заемщиках. </w:t>
      </w:r>
    </w:p>
    <w:p>
      <w:pPr>
        <w:spacing w:after="0"/>
        <w:ind w:left="0"/>
        <w:jc w:val="both"/>
      </w:pPr>
      <w:r>
        <w:rPr>
          <w:rFonts w:ascii="Times New Roman"/>
          <w:b w:val="false"/>
          <w:i w:val="false"/>
          <w:color w:val="000000"/>
          <w:sz w:val="28"/>
        </w:rPr>
        <w:t>
      Для большей прозрачности политики Национального Банка Республики Казахстан в отношении рынка финансовых услуг Национальным Банком Республики Казахстан предлагается создание консультативных советов при инфраструктурных дочерних организациях, задачами которых будут рассмотрение вопросов стратегии развития и эффективности деятельности дочерних организаций, а также разработка рекомендаций и предложений по вопросам совершенствования законодательства для создания условий, стимулирующих их развитие. Дополнительно Национальным Банком Республики Казахстан предлагается включить в состав Совета директоров указанных организаций представителя Национальной палаты предпринимателей.</w:t>
      </w:r>
    </w:p>
    <w:p>
      <w:pPr>
        <w:spacing w:after="0"/>
        <w:ind w:left="0"/>
        <w:jc w:val="both"/>
      </w:pPr>
      <w:r>
        <w:rPr>
          <w:rFonts w:ascii="Times New Roman"/>
          <w:b w:val="false"/>
          <w:i w:val="false"/>
          <w:color w:val="000000"/>
          <w:sz w:val="28"/>
        </w:rPr>
        <w:t>
      Инфраструктурные организации, такие как фондовая биржа, центральный депозитарий, платежная система и регистратор являются системообразующими организациями на рынке ценных бумаг. Будет усовершенствована система регулирования, контроля и надзора за деятельностью системообразующих организаций в части осуществления клиринга и расчетов по итогам сделок с финансовыми инструментами.</w:t>
      </w:r>
    </w:p>
    <w:p>
      <w:pPr>
        <w:spacing w:after="0"/>
        <w:ind w:left="0"/>
        <w:jc w:val="both"/>
      </w:pPr>
      <w:r>
        <w:rPr>
          <w:rFonts w:ascii="Times New Roman"/>
          <w:b w:val="false"/>
          <w:i w:val="false"/>
          <w:color w:val="000000"/>
          <w:sz w:val="28"/>
        </w:rPr>
        <w:t>
      В этой связи необходимо усовершенствовать требования к системе управления рисками у указанных субъектов и определить:</w:t>
      </w:r>
    </w:p>
    <w:p>
      <w:pPr>
        <w:spacing w:after="0"/>
        <w:ind w:left="0"/>
        <w:jc w:val="both"/>
      </w:pPr>
      <w:r>
        <w:rPr>
          <w:rFonts w:ascii="Times New Roman"/>
          <w:b w:val="false"/>
          <w:i w:val="false"/>
          <w:color w:val="000000"/>
          <w:sz w:val="28"/>
        </w:rPr>
        <w:t>
      необходимость ежедневного стресс-тестирования и тестирования на исторических данных (бэк-тестирование), а также периодической проверки системы управления рисками;</w:t>
      </w:r>
    </w:p>
    <w:p>
      <w:pPr>
        <w:spacing w:after="0"/>
        <w:ind w:left="0"/>
        <w:jc w:val="both"/>
      </w:pPr>
      <w:r>
        <w:rPr>
          <w:rFonts w:ascii="Times New Roman"/>
          <w:b w:val="false"/>
          <w:i w:val="false"/>
          <w:color w:val="000000"/>
          <w:sz w:val="28"/>
        </w:rPr>
        <w:t>
      процедуры на случай дефолта со стороны участников торгов и, в частности, установление порядка тестирования процедур по урегулированию ситуаций дефолта;</w:t>
      </w:r>
    </w:p>
    <w:p>
      <w:pPr>
        <w:spacing w:after="0"/>
        <w:ind w:left="0"/>
        <w:jc w:val="both"/>
      </w:pPr>
      <w:r>
        <w:rPr>
          <w:rFonts w:ascii="Times New Roman"/>
          <w:b w:val="false"/>
          <w:i w:val="false"/>
          <w:color w:val="000000"/>
          <w:sz w:val="28"/>
        </w:rPr>
        <w:t>
      систему управления операционным риском, учитывающую все риски, возникающие со стороны участников торгов и инфраструктурных организаций, а также те риски, которые они представляют для других инфраструктурных организаций на рынке ценных бумаг.</w:t>
      </w:r>
    </w:p>
    <w:p>
      <w:pPr>
        <w:spacing w:after="0"/>
        <w:ind w:left="0"/>
        <w:jc w:val="both"/>
      </w:pPr>
      <w:r>
        <w:rPr>
          <w:rFonts w:ascii="Times New Roman"/>
          <w:b w:val="false"/>
          <w:i w:val="false"/>
          <w:color w:val="000000"/>
          <w:sz w:val="28"/>
        </w:rPr>
        <w:t>
      С целью внедрения ведущей международной практики будут применены с учетом особенностей национального рынка ценных бумаг рекомендации для инфраструктур финансового рынка.</w:t>
      </w:r>
    </w:p>
    <w:p>
      <w:pPr>
        <w:spacing w:after="0"/>
        <w:ind w:left="0"/>
        <w:jc w:val="both"/>
      </w:pPr>
      <w:r>
        <w:rPr>
          <w:rFonts w:ascii="Times New Roman"/>
          <w:b w:val="false"/>
          <w:i w:val="false"/>
          <w:color w:val="000000"/>
          <w:sz w:val="28"/>
        </w:rPr>
        <w:t>
      Учитывая тенденцию снижения объемов операций с ценными бумагами и производными финансовыми инструментами, осуществляемых на организованном рынке, что может быть обусловлено перетоком данных видов операций с организованного рынка на неорганизованный рынок, повышается актуальность реализации рекомендаций лидеров стран группы "G-20", данных в рамках мер по укреплению международной системы финансового регулирования.</w:t>
      </w:r>
    </w:p>
    <w:p>
      <w:pPr>
        <w:spacing w:after="0"/>
        <w:ind w:left="0"/>
        <w:jc w:val="both"/>
      </w:pPr>
      <w:r>
        <w:rPr>
          <w:rFonts w:ascii="Times New Roman"/>
          <w:b w:val="false"/>
          <w:i w:val="false"/>
          <w:color w:val="000000"/>
          <w:sz w:val="28"/>
        </w:rPr>
        <w:t>
      В соответствии с рекомендациями расчетное обслуживание всех стандартизированных внебиржевых производных финансовых инструментов должно проводиться через центрального контрагента. При этом к внебиржевым финансовым инструментам, расчетное обслуживание которых осуществляется не через центрального контрагента, должны применяться повышенные требования по капиталу.</w:t>
      </w:r>
    </w:p>
    <w:p>
      <w:pPr>
        <w:spacing w:after="0"/>
        <w:ind w:left="0"/>
        <w:jc w:val="both"/>
      </w:pPr>
      <w:r>
        <w:rPr>
          <w:rFonts w:ascii="Times New Roman"/>
          <w:b w:val="false"/>
          <w:i w:val="false"/>
          <w:color w:val="000000"/>
          <w:sz w:val="28"/>
        </w:rPr>
        <w:t>
      При этом внедрение института центрального контрагента требует наличия развитого программно-технического комплекса, поскольку отличительной особенностью центрального контрагента являются наличие механизмов по завершению расчетов по сделкам в случае нарушения обязательств перед ним, в частности, использование гарантийных фондов, приобретение или продажа ценных бумаг на финансовом рынке и (или) иных механизмов.</w:t>
      </w:r>
    </w:p>
    <w:bookmarkStart w:name="z30" w:id="26"/>
    <w:p>
      <w:pPr>
        <w:spacing w:after="0"/>
        <w:ind w:left="0"/>
        <w:jc w:val="both"/>
      </w:pPr>
      <w:r>
        <w:rPr>
          <w:rFonts w:ascii="Times New Roman"/>
          <w:b w:val="false"/>
          <w:i w:val="false"/>
          <w:color w:val="000000"/>
          <w:sz w:val="28"/>
        </w:rPr>
        <w:t>
      2. Обеспечение защиты прав и интересов инвесторов на рынке ценных бумаг, включая противодействие недобросовестному поведению на рынке ценных бумаг.</w:t>
      </w:r>
    </w:p>
    <w:bookmarkEnd w:id="26"/>
    <w:p>
      <w:pPr>
        <w:spacing w:after="0"/>
        <w:ind w:left="0"/>
        <w:jc w:val="both"/>
      </w:pPr>
      <w:r>
        <w:rPr>
          <w:rFonts w:ascii="Times New Roman"/>
          <w:b w:val="false"/>
          <w:i w:val="false"/>
          <w:color w:val="000000"/>
          <w:sz w:val="28"/>
        </w:rPr>
        <w:t>
      В целях защиты интересов инвесторов, использующих услуги брокерских организаций, будет принят комплекс мер, направленных на обеспечение инвесторам полного и постоянного доступа к информации об остатках и движении принадлежащих им финансовых инструментов и денег, находящихся на лицевых счетах, открытых в брокерских организациях. Данные меры позволят инвесторам осуществлять контроль за операциями, совершаемыми брокером по их лицевым счетам, в режиме online.</w:t>
      </w:r>
    </w:p>
    <w:p>
      <w:pPr>
        <w:spacing w:after="0"/>
        <w:ind w:left="0"/>
        <w:jc w:val="both"/>
      </w:pPr>
      <w:r>
        <w:rPr>
          <w:rFonts w:ascii="Times New Roman"/>
          <w:b w:val="false"/>
          <w:i w:val="false"/>
          <w:color w:val="000000"/>
          <w:sz w:val="28"/>
        </w:rPr>
        <w:t>
      Для урегулирования ситуации, связанной с использованием услуг нерегулируемых субъектов для допуска на рынок FOREX, будут установлен запрет на предоставление казахстанским инвесторам такого рода услуг для всех субъектов, не обладающих лицензией на брокерскую деятельность, а также усилены мониторинг и надзор за выполнением данных требований.</w:t>
      </w:r>
    </w:p>
    <w:p>
      <w:pPr>
        <w:spacing w:after="0"/>
        <w:ind w:left="0"/>
        <w:jc w:val="both"/>
      </w:pPr>
      <w:r>
        <w:rPr>
          <w:rFonts w:ascii="Times New Roman"/>
          <w:b w:val="false"/>
          <w:i w:val="false"/>
          <w:color w:val="000000"/>
          <w:sz w:val="28"/>
        </w:rPr>
        <w:t>
      В целях усиления мер, направленных на обеспечение добросовестного поведения на рынке ценных бумаг, включая меры по наказанию за манипулирование ценами и другие виды злоупотреблений на рынке ценных бумаг и повышение их своевременности, требуется предусмотреть сопоставимую систему (шкалу) наказаний за злоупотребления на рынке ценных бумаг. Для реализации данной задачи будет рассмотрена целесообразность пересмотра размеров административных (уголовных) штрафов и перехода с фиксированных размеров штрафов на индексированные размеры. Это подразумевает, что индексация размеров штрафов по манипулированию будет осуществляться к таким показателям как объем заключенных сделок, размер извлеченной прибыли либо причиненного ущерба в результате заключения сделок.</w:t>
      </w:r>
    </w:p>
    <w:p>
      <w:pPr>
        <w:spacing w:after="0"/>
        <w:ind w:left="0"/>
        <w:jc w:val="both"/>
      </w:pPr>
      <w:r>
        <w:rPr>
          <w:rFonts w:ascii="Times New Roman"/>
          <w:b w:val="false"/>
          <w:i w:val="false"/>
          <w:color w:val="000000"/>
          <w:sz w:val="28"/>
        </w:rPr>
        <w:t>
      Кроме того, в целях повышения доверия инвесторов к фондовому рынку будет рассмотрена возможность введения системы компенсации убытков "неквалифицированным" инвесторам в особенности физическим лицам, понесенных в результате незаконного использования брокерами средств данных клиентов и иных противоправных действий, по аналогии с международной практикой.</w:t>
      </w:r>
    </w:p>
    <w:p>
      <w:pPr>
        <w:spacing w:after="0"/>
        <w:ind w:left="0"/>
        <w:jc w:val="both"/>
      </w:pPr>
      <w:r>
        <w:rPr>
          <w:rFonts w:ascii="Times New Roman"/>
          <w:b w:val="false"/>
          <w:i w:val="false"/>
          <w:color w:val="000000"/>
          <w:sz w:val="28"/>
        </w:rPr>
        <w:t>
      Будет рассмотрен вопрос о необходимости совершенствования законодательства о рынке ценных бумаг ориентировочно в 2016 – 2020 годах.</w:t>
      </w:r>
    </w:p>
    <w:p>
      <w:pPr>
        <w:spacing w:after="0"/>
        <w:ind w:left="0"/>
        <w:jc w:val="both"/>
      </w:pPr>
      <w:r>
        <w:rPr>
          <w:rFonts w:ascii="Times New Roman"/>
          <w:b w:val="false"/>
          <w:i w:val="false"/>
          <w:color w:val="000000"/>
          <w:sz w:val="28"/>
        </w:rPr>
        <w:t>
      В отношении лиц со статусом квалифицированного клиента и правомочного делового партнера считается, что такие лица с финансовой точки зрения способны взять на себя риск любого убытка, который может возникнуть в результате инвестиции, и обладают необходимым опытом и знаниями в отношении инвестиционных услуг всех видов и различных сделок с финансовыми инструментами.</w:t>
      </w:r>
    </w:p>
    <w:p>
      <w:pPr>
        <w:spacing w:after="0"/>
        <w:ind w:left="0"/>
        <w:jc w:val="both"/>
      </w:pPr>
      <w:r>
        <w:rPr>
          <w:rFonts w:ascii="Times New Roman"/>
          <w:b w:val="false"/>
          <w:i w:val="false"/>
          <w:color w:val="000000"/>
          <w:sz w:val="28"/>
        </w:rPr>
        <w:t>
      Таким образом, функционирование института квалифицированных инвесторов неразрывно связано с наличием механизмов защиты прав инвесторов и является экономически целесообразным в случае разделения их степеней защиты в зависимости от присвоенного статуса (классификации). В этой связи будут рассмотрен вопрос по созданию схем гарантирования на рынке ценных бумаг и усовершенствованы подходы к определению квалифицированных инвесторов, что позволит расширить возможности инвестирования отечественных инвесторов, не ущемляя при этом права остальных потребителей финансовых услуг.</w:t>
      </w:r>
    </w:p>
    <w:p>
      <w:pPr>
        <w:spacing w:after="0"/>
        <w:ind w:left="0"/>
        <w:jc w:val="both"/>
      </w:pPr>
      <w:r>
        <w:rPr>
          <w:rFonts w:ascii="Times New Roman"/>
          <w:b w:val="false"/>
          <w:i w:val="false"/>
          <w:color w:val="000000"/>
          <w:sz w:val="28"/>
        </w:rPr>
        <w:t>
      Немаловажным фактором, способствующим повышению заинтересованности инвесторов в инвестициях на фондовом рынке, является эффективное функционирование комплекса мер, направленных на своевременное выявление негативных тенденций в деятельности эмитентов ценных бумаг, обеспечение инвесторов доступом к информации об эмитентах ценных бумаг и выпущенных ими ценных бумагах, позволяющей своевременно проводить мониторинг финансового состояния эмитентов и их платежеспособности.</w:t>
      </w:r>
    </w:p>
    <w:p>
      <w:pPr>
        <w:spacing w:after="0"/>
        <w:ind w:left="0"/>
        <w:jc w:val="both"/>
      </w:pPr>
      <w:r>
        <w:rPr>
          <w:rFonts w:ascii="Times New Roman"/>
          <w:b w:val="false"/>
          <w:i w:val="false"/>
          <w:color w:val="000000"/>
          <w:sz w:val="28"/>
        </w:rPr>
        <w:t>
      Реализация данного направления требует пересмотра основных подходов к мониторингу эмитентов ценных бумаг, внедрения системы раннего реагирования уполномоченного органа на ухудшение показателей деятельности эмитентов, влияющих на его способность исполнять свои обязательства по облигационным займам, ужесточения ответственности руководителей эмитентов, допустивших дефолт по ранее выпущенным ценным бумагам или нарушивших условия выпуска ценных бумаг.</w:t>
      </w:r>
    </w:p>
    <w:p>
      <w:pPr>
        <w:spacing w:after="0"/>
        <w:ind w:left="0"/>
        <w:jc w:val="both"/>
      </w:pPr>
      <w:r>
        <w:rPr>
          <w:rFonts w:ascii="Times New Roman"/>
          <w:b w:val="false"/>
          <w:i w:val="false"/>
          <w:color w:val="000000"/>
          <w:sz w:val="28"/>
        </w:rPr>
        <w:t>
      Кроме того, необходимо осуществлять дальнейшее совершенствование системы корпоративного управления и раскрытия информации эмитентами, а также направить усилия на повышение прозрачности эмитентов и их системы управления рисками.</w:t>
      </w:r>
    </w:p>
    <w:bookmarkStart w:name="z31" w:id="27"/>
    <w:p>
      <w:pPr>
        <w:spacing w:after="0"/>
        <w:ind w:left="0"/>
        <w:jc w:val="left"/>
      </w:pPr>
      <w:r>
        <w:rPr>
          <w:rFonts w:ascii="Times New Roman"/>
          <w:b/>
          <w:i w:val="false"/>
          <w:color w:val="000000"/>
        </w:rPr>
        <w:t xml:space="preserve"> 3. Задача 2: повышение эффективности финансового сектора</w:t>
      </w:r>
      <w:r>
        <w:br/>
      </w:r>
      <w:r>
        <w:rPr>
          <w:rFonts w:ascii="Times New Roman"/>
          <w:b/>
          <w:i w:val="false"/>
          <w:color w:val="000000"/>
        </w:rPr>
        <w:t>в условиях экономической интеграции и глобализации</w:t>
      </w:r>
    </w:p>
    <w:bookmarkEnd w:id="27"/>
    <w:p>
      <w:pPr>
        <w:spacing w:after="0"/>
        <w:ind w:left="0"/>
        <w:jc w:val="both"/>
      </w:pPr>
      <w:r>
        <w:rPr>
          <w:rFonts w:ascii="Times New Roman"/>
          <w:b w:val="false"/>
          <w:i w:val="false"/>
          <w:color w:val="000000"/>
          <w:sz w:val="28"/>
        </w:rPr>
        <w:t>
      Общие направления развития.</w:t>
      </w:r>
    </w:p>
    <w:bookmarkStart w:name="z32" w:id="28"/>
    <w:p>
      <w:pPr>
        <w:spacing w:after="0"/>
        <w:ind w:left="0"/>
        <w:jc w:val="both"/>
      </w:pPr>
      <w:r>
        <w:rPr>
          <w:rFonts w:ascii="Times New Roman"/>
          <w:b w:val="false"/>
          <w:i w:val="false"/>
          <w:color w:val="000000"/>
          <w:sz w:val="28"/>
        </w:rPr>
        <w:t>
      1. Создание симметричной и адекватной рискам регуляторной среды в рамках либерализации доступа на финансовый рынок.</w:t>
      </w:r>
    </w:p>
    <w:bookmarkEnd w:id="28"/>
    <w:p>
      <w:pPr>
        <w:spacing w:after="0"/>
        <w:ind w:left="0"/>
        <w:jc w:val="both"/>
      </w:pPr>
      <w:r>
        <w:rPr>
          <w:rFonts w:ascii="Times New Roman"/>
          <w:b w:val="false"/>
          <w:i w:val="false"/>
          <w:color w:val="000000"/>
          <w:sz w:val="28"/>
        </w:rPr>
        <w:t>
      В условиях открытия доступа на рынок финансовых услуг страны с возможностью осуществления деятельности филиалов иностранных финансовых организаций требуется решение вопросов, связанных с обеспечением финансовой устойчивости филиала и создания симметричной регуляторной среды.</w:t>
      </w:r>
    </w:p>
    <w:p>
      <w:pPr>
        <w:spacing w:after="0"/>
        <w:ind w:left="0"/>
        <w:jc w:val="both"/>
      </w:pPr>
      <w:r>
        <w:rPr>
          <w:rFonts w:ascii="Times New Roman"/>
          <w:b w:val="false"/>
          <w:i w:val="false"/>
          <w:color w:val="000000"/>
          <w:sz w:val="28"/>
        </w:rPr>
        <w:t>
      Перечнем специфических обязательств по сектору финансовых услуг, принимаемых Республикой Казахстан в рамках вступления в ВТО (далее – перечень специфических обязательств), уже предусмотрены некоторые требования, обязательные для соблюдения при открытии филиала иностранной финансовой организации. Установлены требования к размеру активов родительской финансовой организации, определен минимальный размер депозита, принимаемый филиалом иностранного банка. Вместе с этим, перечнем специфических обязательств предусмотрено право Казахстана на установление дополнительных пруденциальных требований к деятельности филиала иностранной финансовой организации. Среди таких требований, но не ограничиваясь ими, предусмотрены требования по отдельной (от родительской организации) капитализации, отдельные требования по гарантийным фондам и депозитам в Национальном Банке Республики Казахстан, другие требования по платежеспособности, требования по отчетности и ее публикации, а также требования по локализации технических резервов и соблюдению маржи платежеспособности в отношении страховых организаций. В рамках выработки соответствующих пруденциальных требований, применяемых к филиалам иностранных финансовых организаций при их непосредственной деятельности, дополнительно требуется рассмотрение вопросов, регламентирующих обеспечение гарантии финансовой устойчивости такой организации на этапе вхождения на рынок.</w:t>
      </w:r>
    </w:p>
    <w:p>
      <w:pPr>
        <w:spacing w:after="0"/>
        <w:ind w:left="0"/>
        <w:jc w:val="both"/>
      </w:pPr>
      <w:r>
        <w:rPr>
          <w:rFonts w:ascii="Times New Roman"/>
          <w:b w:val="false"/>
          <w:i w:val="false"/>
          <w:color w:val="000000"/>
          <w:sz w:val="28"/>
        </w:rPr>
        <w:t>
      В частности, предпосылкой для открытия филиала в Республике Казахстан должно быть соглашение о сотрудничестве и обмене информацией с органами надзора страны родительской организации филиала. Должна быть возможность обмена информацией, и страна родительской организации должна иметь возможность инспектирования деятельности филиала в Республике Казахстан. Дополнительным инструментом регулирования доступа на рынок является установление ограничения по открытию филиалов для иностранных банков в зависимости от их рейтинга. Например, по аналогии к требованиям по открытию дочерних банков рейтинг может быть установлен на уровне не ниже присвоенного Республике Казахстан суверенного рейтинга одним из международных рейтинговых агентств.</w:t>
      </w:r>
    </w:p>
    <w:p>
      <w:pPr>
        <w:spacing w:after="0"/>
        <w:ind w:left="0"/>
        <w:jc w:val="both"/>
      </w:pPr>
      <w:r>
        <w:rPr>
          <w:rFonts w:ascii="Times New Roman"/>
          <w:b w:val="false"/>
          <w:i w:val="false"/>
          <w:color w:val="000000"/>
          <w:sz w:val="28"/>
        </w:rPr>
        <w:t xml:space="preserve">
      Также критерием доступа на рынок филиала иностранной финансовой организации и филиала иностранного банка в частности может быть требование о получении самооценки надзорного органа страны родительской организации о его соответствии Базельским ключевым принципам. При этом, оценка не должна ограничиваться соответствием Базельскому соглашению о капитале, а должна полностью соответствовать всем требованиям БКБН. Необходимо предусмотреть механизм отказа в лицензии, если оценка показывает значительные недостатки в надзоре. </w:t>
      </w:r>
    </w:p>
    <w:p>
      <w:pPr>
        <w:spacing w:after="0"/>
        <w:ind w:left="0"/>
        <w:jc w:val="both"/>
      </w:pPr>
      <w:r>
        <w:rPr>
          <w:rFonts w:ascii="Times New Roman"/>
          <w:b w:val="false"/>
          <w:i w:val="false"/>
          <w:color w:val="000000"/>
          <w:sz w:val="28"/>
        </w:rPr>
        <w:t>
      При этом будет рассмотрен вопрос о необходимости совершенствования банковского законодательства и законодательства о страховой деятельности ориентировочно в 2015 – 2016 годах в зависимости от подписания договора о вступлении Казахстана в ВТО.</w:t>
      </w:r>
    </w:p>
    <w:p>
      <w:pPr>
        <w:spacing w:after="0"/>
        <w:ind w:left="0"/>
        <w:jc w:val="both"/>
      </w:pPr>
      <w:r>
        <w:rPr>
          <w:rFonts w:ascii="Times New Roman"/>
          <w:b w:val="false"/>
          <w:i w:val="false"/>
          <w:color w:val="000000"/>
          <w:sz w:val="28"/>
        </w:rPr>
        <w:t>
      В части интеграционных процессов в рамках ЕЭП основными задачами являются гармонизация (унификация) финансовых законодательств стран-участниц ЕЭП, а также создание в 2025 году наднационального органа по регулированию финансового рынка с определением его функций и полномочий. Данный орган позволит центральным/национальным банкам стран-участниц ЕЭП в оперативном порядке обмениваться информацией и вырабатывать согласованные меры по защите общего рынка ЕЭП от негативного влияния внешних шоков и кризисных явлений.</w:t>
      </w:r>
    </w:p>
    <w:bookmarkStart w:name="z33" w:id="29"/>
    <w:p>
      <w:pPr>
        <w:spacing w:after="0"/>
        <w:ind w:left="0"/>
        <w:jc w:val="both"/>
      </w:pPr>
      <w:r>
        <w:rPr>
          <w:rFonts w:ascii="Times New Roman"/>
          <w:b w:val="false"/>
          <w:i w:val="false"/>
          <w:color w:val="000000"/>
          <w:sz w:val="28"/>
        </w:rPr>
        <w:t>
      2. Повышение финансовой грамотности и уровня защиты прав населения в сфере финансовых услуг и услуг микрофинансовых организаций.</w:t>
      </w:r>
    </w:p>
    <w:bookmarkEnd w:id="29"/>
    <w:p>
      <w:pPr>
        <w:spacing w:after="0"/>
        <w:ind w:left="0"/>
        <w:jc w:val="both"/>
      </w:pPr>
      <w:r>
        <w:rPr>
          <w:rFonts w:ascii="Times New Roman"/>
          <w:b w:val="false"/>
          <w:i w:val="false"/>
          <w:color w:val="000000"/>
          <w:sz w:val="28"/>
        </w:rPr>
        <w:t xml:space="preserve">
      Во многих развитых и развивающихся странах мира все большее внимание уделяется вопросу повышения финансовой грамотности населения, поскольку надлежащий уровень финансовой грамотности способствует повышению уровня жизни граждан, развитию экономики и повышению общественного благосостояния. </w:t>
      </w:r>
    </w:p>
    <w:p>
      <w:pPr>
        <w:spacing w:after="0"/>
        <w:ind w:left="0"/>
        <w:jc w:val="both"/>
      </w:pPr>
      <w:r>
        <w:rPr>
          <w:rFonts w:ascii="Times New Roman"/>
          <w:b w:val="false"/>
          <w:i w:val="false"/>
          <w:color w:val="000000"/>
          <w:sz w:val="28"/>
        </w:rPr>
        <w:t xml:space="preserve">
      Существенно усложнившаяся финансовая система, ускорение процесса глобализации и появление широкого спектра новых сложных финансовых продуктов и услуг ставят перед населением весьма сложные задачи, к решению которых они оказываются неподготовленными. </w:t>
      </w:r>
    </w:p>
    <w:p>
      <w:pPr>
        <w:spacing w:after="0"/>
        <w:ind w:left="0"/>
        <w:jc w:val="both"/>
      </w:pPr>
      <w:r>
        <w:rPr>
          <w:rFonts w:ascii="Times New Roman"/>
          <w:b w:val="false"/>
          <w:i w:val="false"/>
          <w:color w:val="000000"/>
          <w:sz w:val="28"/>
        </w:rPr>
        <w:t xml:space="preserve">
      Отсутствие у граждан финансовых знаний, навыков планирования бюджета и принятия взвешенных решений по использованию финансовых продуктов на фоне агрессивной рекламы таких продуктов со стороны финансовых организаций ведет к накоплению значительных диспропорций и рисков, способных перерасти в проблемы национального масштаба. </w:t>
      </w:r>
    </w:p>
    <w:p>
      <w:pPr>
        <w:spacing w:after="0"/>
        <w:ind w:left="0"/>
        <w:jc w:val="both"/>
      </w:pPr>
      <w:r>
        <w:rPr>
          <w:rFonts w:ascii="Times New Roman"/>
          <w:b w:val="false"/>
          <w:i w:val="false"/>
          <w:color w:val="000000"/>
          <w:sz w:val="28"/>
        </w:rPr>
        <w:t xml:space="preserve">
      Высокий уровень финансовой грамотности каждого гражданина усиливает прозрачность финансовых взаимоотношений между потребителями и финансовыми институтами. Вместе с тем отставание уровня финансовой грамотности населения от требуемого для потребления отдельных финансовых инструментов является причиной высокого уровня информационной асимметрии между потребителями финансовых услуг и их поставщиками. </w:t>
      </w:r>
    </w:p>
    <w:p>
      <w:pPr>
        <w:spacing w:after="0"/>
        <w:ind w:left="0"/>
        <w:jc w:val="both"/>
      </w:pPr>
      <w:r>
        <w:rPr>
          <w:rFonts w:ascii="Times New Roman"/>
          <w:b w:val="false"/>
          <w:i w:val="false"/>
          <w:color w:val="000000"/>
          <w:sz w:val="28"/>
        </w:rPr>
        <w:t>
      В этой связи необходимым условием справедливого, открытого и эффективно функционирующего финансового рынка являются обеспечение действенной защиты прав и повышение финансовой грамотности потребителей на рынке финансовых услуг и услуг микрофинансовых организаций на регулярной основе.</w:t>
      </w:r>
    </w:p>
    <w:p>
      <w:pPr>
        <w:spacing w:after="0"/>
        <w:ind w:left="0"/>
        <w:jc w:val="both"/>
      </w:pPr>
      <w:r>
        <w:rPr>
          <w:rFonts w:ascii="Times New Roman"/>
          <w:b w:val="false"/>
          <w:i w:val="false"/>
          <w:color w:val="000000"/>
          <w:sz w:val="28"/>
        </w:rPr>
        <w:t xml:space="preserve">
      Национальный Банк Республики Казахстан продолжит работу в данном направлении. </w:t>
      </w:r>
    </w:p>
    <w:p>
      <w:pPr>
        <w:spacing w:after="0"/>
        <w:ind w:left="0"/>
        <w:jc w:val="both"/>
      </w:pPr>
      <w:r>
        <w:rPr>
          <w:rFonts w:ascii="Times New Roman"/>
          <w:b w:val="false"/>
          <w:i w:val="false"/>
          <w:color w:val="000000"/>
          <w:sz w:val="28"/>
        </w:rPr>
        <w:t xml:space="preserve">
      Благодаря своему широкому распространению степень осведомленности населения о банковских услугах является более высокой, чем по другим услугам финансового рынка. </w:t>
      </w:r>
    </w:p>
    <w:p>
      <w:pPr>
        <w:spacing w:after="0"/>
        <w:ind w:left="0"/>
        <w:jc w:val="both"/>
      </w:pPr>
      <w:r>
        <w:rPr>
          <w:rFonts w:ascii="Times New Roman"/>
          <w:b w:val="false"/>
          <w:i w:val="false"/>
          <w:color w:val="000000"/>
          <w:sz w:val="28"/>
        </w:rPr>
        <w:t>
      В части страхового сектора необходима смена акцента от негативного отношения населения к страхованию в целом и исторически сложившейся ориентированности населения на социальную и иную помощь со стороны государства. В этих целях на постоянной основе будет проводиться работа по повышению страховой культуры населения.</w:t>
      </w:r>
    </w:p>
    <w:p>
      <w:pPr>
        <w:spacing w:after="0"/>
        <w:ind w:left="0"/>
        <w:jc w:val="both"/>
      </w:pPr>
      <w:r>
        <w:rPr>
          <w:rFonts w:ascii="Times New Roman"/>
          <w:b w:val="false"/>
          <w:i w:val="false"/>
          <w:color w:val="000000"/>
          <w:sz w:val="28"/>
        </w:rPr>
        <w:t>
      Отдельной работы требует повышение финансовой грамотности инвесторов, их информированности о процессах, происходящих на рынке ценных бумаг, и деятельности функционирующих на нем субъектов (профессиональных участников рынка ценных бумаг, эмитентов).</w:t>
      </w:r>
    </w:p>
    <w:p>
      <w:pPr>
        <w:spacing w:after="0"/>
        <w:ind w:left="0"/>
        <w:jc w:val="both"/>
      </w:pPr>
      <w:r>
        <w:rPr>
          <w:rFonts w:ascii="Times New Roman"/>
          <w:b w:val="false"/>
          <w:i w:val="false"/>
          <w:color w:val="000000"/>
          <w:sz w:val="28"/>
        </w:rPr>
        <w:t>
      Для повышения грамотности потребителей финансовых услуг и услуг микрофинансовых организаций нужны не разовые мероприятия, а постоянная и комплексная работа. Многие развитые и большинство развивающихся стран имеют постоянно действующие государственные программы повышения финансовой грамотности населения, которые успешно реализуются. Низкий уровень финансовой грамотности населения негативно отражается на потреблении финансовых услуг и значительно замедляет темпы роста финансового рынка.</w:t>
      </w:r>
    </w:p>
    <w:p>
      <w:pPr>
        <w:spacing w:after="0"/>
        <w:ind w:left="0"/>
        <w:jc w:val="both"/>
      </w:pPr>
      <w:r>
        <w:rPr>
          <w:rFonts w:ascii="Times New Roman"/>
          <w:b w:val="false"/>
          <w:i w:val="false"/>
          <w:color w:val="000000"/>
          <w:sz w:val="28"/>
        </w:rPr>
        <w:t>
      В рамках реализации вышеуказанных задач Национальному Банку Республики Казахстан необходимо обеспечить координацию усилий центральных и местных государственных органов и средств массовой информации по повышению уровня финансовой грамотности населения Республики Казахстан, включающих:</w:t>
      </w:r>
    </w:p>
    <w:p>
      <w:pPr>
        <w:spacing w:after="0"/>
        <w:ind w:left="0"/>
        <w:jc w:val="both"/>
      </w:pPr>
      <w:r>
        <w:rPr>
          <w:rFonts w:ascii="Times New Roman"/>
          <w:b w:val="false"/>
          <w:i w:val="false"/>
          <w:color w:val="000000"/>
          <w:sz w:val="28"/>
        </w:rPr>
        <w:t>
      1) исследование уровня финансовой грамотности населения;</w:t>
      </w:r>
    </w:p>
    <w:p>
      <w:pPr>
        <w:spacing w:after="0"/>
        <w:ind w:left="0"/>
        <w:jc w:val="both"/>
      </w:pPr>
      <w:r>
        <w:rPr>
          <w:rFonts w:ascii="Times New Roman"/>
          <w:b w:val="false"/>
          <w:i w:val="false"/>
          <w:color w:val="000000"/>
          <w:sz w:val="28"/>
        </w:rPr>
        <w:t>
      2) введение программ начального финансового образования в общеобразовательных школах (обновление содержания книг для учащихся 5-9 классов и методических пособий для учителей, разработка и издание книг для учащихся 10-11 классов и методических пособий для учителей);</w:t>
      </w:r>
    </w:p>
    <w:p>
      <w:pPr>
        <w:spacing w:after="0"/>
        <w:ind w:left="0"/>
        <w:jc w:val="both"/>
      </w:pPr>
      <w:r>
        <w:rPr>
          <w:rFonts w:ascii="Times New Roman"/>
          <w:b w:val="false"/>
          <w:i w:val="false"/>
          <w:color w:val="000000"/>
          <w:sz w:val="28"/>
        </w:rPr>
        <w:t>
      3) введение курса об основах финансовой грамотности для студентов высших учебных заведений неэкономических специальностей (разработка и издание книг и методических пособий);</w:t>
      </w:r>
    </w:p>
    <w:p>
      <w:pPr>
        <w:spacing w:after="0"/>
        <w:ind w:left="0"/>
        <w:jc w:val="both"/>
      </w:pPr>
      <w:r>
        <w:rPr>
          <w:rFonts w:ascii="Times New Roman"/>
          <w:b w:val="false"/>
          <w:i w:val="false"/>
          <w:color w:val="000000"/>
          <w:sz w:val="28"/>
        </w:rPr>
        <w:t>
      4) организацию системы информирования населения о финансовых организациях, их продуктах, услугах и обучения населения для инвестирования личных сбережений в финансовые рынки с использованием средств массовой информации (телевидение, Интернет, пресса, издание специальной литературы);</w:t>
      </w:r>
    </w:p>
    <w:p>
      <w:pPr>
        <w:spacing w:after="0"/>
        <w:ind w:left="0"/>
        <w:jc w:val="both"/>
      </w:pPr>
      <w:r>
        <w:rPr>
          <w:rFonts w:ascii="Times New Roman"/>
          <w:b w:val="false"/>
          <w:i w:val="false"/>
          <w:color w:val="000000"/>
          <w:sz w:val="28"/>
        </w:rPr>
        <w:t>
      5) проведение программ повышения финансовой грамотности для целевых групп;</w:t>
      </w:r>
    </w:p>
    <w:p>
      <w:pPr>
        <w:spacing w:after="0"/>
        <w:ind w:left="0"/>
        <w:jc w:val="both"/>
      </w:pPr>
      <w:r>
        <w:rPr>
          <w:rFonts w:ascii="Times New Roman"/>
          <w:b w:val="false"/>
          <w:i w:val="false"/>
          <w:color w:val="000000"/>
          <w:sz w:val="28"/>
        </w:rPr>
        <w:t>
      6) наполнение специализированного обучающего веб-ресурса Национального Банка Республики Казахстан (www.fingramota.kz) актуальной информацией на финансовые темы;</w:t>
      </w:r>
    </w:p>
    <w:p>
      <w:pPr>
        <w:spacing w:after="0"/>
        <w:ind w:left="0"/>
        <w:jc w:val="both"/>
      </w:pPr>
      <w:r>
        <w:rPr>
          <w:rFonts w:ascii="Times New Roman"/>
          <w:b w:val="false"/>
          <w:i w:val="false"/>
          <w:color w:val="000000"/>
          <w:sz w:val="28"/>
        </w:rPr>
        <w:t>
      7) создание мультипликационных роликов и размещение серии уличных билбордов, персонажи которых в доступной форме обучают основам финансовой грамотности по всем секторам финансового рынка. Кроме того, сюжеты/отрывки из роликов предлагается размещать на уличных билбордах и в больших торговых учреждениях;</w:t>
      </w:r>
    </w:p>
    <w:p>
      <w:pPr>
        <w:spacing w:after="0"/>
        <w:ind w:left="0"/>
        <w:jc w:val="both"/>
      </w:pPr>
      <w:r>
        <w:rPr>
          <w:rFonts w:ascii="Times New Roman"/>
          <w:b w:val="false"/>
          <w:i w:val="false"/>
          <w:color w:val="000000"/>
          <w:sz w:val="28"/>
        </w:rPr>
        <w:t>
      8) открытие постоянно действующих Call-центра и общественной приемной, куда может обратиться потребитель финансовых услуг за защитой своих прав и получением квалифицированной консультации;</w:t>
      </w:r>
    </w:p>
    <w:p>
      <w:pPr>
        <w:spacing w:after="0"/>
        <w:ind w:left="0"/>
        <w:jc w:val="both"/>
      </w:pPr>
      <w:r>
        <w:rPr>
          <w:rFonts w:ascii="Times New Roman"/>
          <w:b w:val="false"/>
          <w:i w:val="false"/>
          <w:color w:val="000000"/>
          <w:sz w:val="28"/>
        </w:rPr>
        <w:t>
      9) предоставление населению возможности изучения казахстанского рынка ценных бумаг в интерактивном режиме;</w:t>
      </w:r>
    </w:p>
    <w:p>
      <w:pPr>
        <w:spacing w:after="0"/>
        <w:ind w:left="0"/>
        <w:jc w:val="both"/>
      </w:pPr>
      <w:r>
        <w:rPr>
          <w:rFonts w:ascii="Times New Roman"/>
          <w:b w:val="false"/>
          <w:i w:val="false"/>
          <w:color w:val="000000"/>
          <w:sz w:val="28"/>
        </w:rPr>
        <w:t>
      10) разработку образовательных приложений для мобильных устройств.</w:t>
      </w:r>
    </w:p>
    <w:p>
      <w:pPr>
        <w:spacing w:after="0"/>
        <w:ind w:left="0"/>
        <w:jc w:val="both"/>
      </w:pPr>
      <w:r>
        <w:rPr>
          <w:rFonts w:ascii="Times New Roman"/>
          <w:b w:val="false"/>
          <w:i w:val="false"/>
          <w:color w:val="000000"/>
          <w:sz w:val="28"/>
        </w:rPr>
        <w:t>
      Кроме того, немаловажным является международное сотрудничество в области повышения финансовой грамотности и инвестиционной культуры в рамках Международного форума по образованию инвесторов и ОЭСР.</w:t>
      </w:r>
    </w:p>
    <w:p>
      <w:pPr>
        <w:spacing w:after="0"/>
        <w:ind w:left="0"/>
        <w:jc w:val="both"/>
      </w:pPr>
      <w:r>
        <w:rPr>
          <w:rFonts w:ascii="Times New Roman"/>
          <w:b w:val="false"/>
          <w:i w:val="false"/>
          <w:color w:val="000000"/>
          <w:sz w:val="28"/>
        </w:rPr>
        <w:t>
      Данные организации устанавливают основные принципы и направления повышения финансовой грамотности населения, а также служат площадкой для обмена информацией и идеями между провайдерами образования из разных юрисдикций.</w:t>
      </w:r>
    </w:p>
    <w:p>
      <w:pPr>
        <w:spacing w:after="0"/>
        <w:ind w:left="0"/>
        <w:jc w:val="both"/>
      </w:pPr>
      <w:r>
        <w:rPr>
          <w:rFonts w:ascii="Times New Roman"/>
          <w:b w:val="false"/>
          <w:i w:val="false"/>
          <w:color w:val="000000"/>
          <w:sz w:val="28"/>
        </w:rPr>
        <w:t>
      Несмотря на внесенный в 2011 году большой блок поправок в банковское законодательство, направленный на защиту прав и интересов заемщиков, в настоящее время существует ряд проблем, имеющих системный характер.</w:t>
      </w:r>
    </w:p>
    <w:p>
      <w:pPr>
        <w:spacing w:after="0"/>
        <w:ind w:left="0"/>
        <w:jc w:val="both"/>
      </w:pPr>
      <w:r>
        <w:rPr>
          <w:rFonts w:ascii="Times New Roman"/>
          <w:b w:val="false"/>
          <w:i w:val="false"/>
          <w:color w:val="000000"/>
          <w:sz w:val="28"/>
        </w:rPr>
        <w:t>
      В этой связи Национальным Банком Республики Казахстан будет рассмотрен вопрос о необходимости совершенствования законодательства по вопросам защиты прав потребителей финансовых услуг и повышения качества финансовых услуг ориентировочно в 2014 – 2015 годах. При этом, при разработке данных предложений Национальный Банк Республики Казахстан будет учитывать интересы и права инвесторов и залоговых кредиторов.</w:t>
      </w:r>
    </w:p>
    <w:bookmarkStart w:name="z34" w:id="30"/>
    <w:p>
      <w:pPr>
        <w:spacing w:after="0"/>
        <w:ind w:left="0"/>
        <w:jc w:val="both"/>
      </w:pPr>
      <w:r>
        <w:rPr>
          <w:rFonts w:ascii="Times New Roman"/>
          <w:b w:val="false"/>
          <w:i w:val="false"/>
          <w:color w:val="000000"/>
          <w:sz w:val="28"/>
        </w:rPr>
        <w:t>
      3. Следование принципам бизнеса, ориентированного на потребности клиента.</w:t>
      </w:r>
    </w:p>
    <w:bookmarkEnd w:id="30"/>
    <w:p>
      <w:pPr>
        <w:spacing w:after="0"/>
        <w:ind w:left="0"/>
        <w:jc w:val="both"/>
      </w:pPr>
      <w:r>
        <w:rPr>
          <w:rFonts w:ascii="Times New Roman"/>
          <w:b w:val="false"/>
          <w:i w:val="false"/>
          <w:color w:val="000000"/>
          <w:sz w:val="28"/>
        </w:rPr>
        <w:t xml:space="preserve">
      В целях повышения уровня конкурентоспособности финансовые организации должны вести постоянный мониторинг потребностей клиентов и развивать социально ответственный банкинг, внедрение которого должно основываться на принципах коммерческой обоснованности, в том числе за счет улучшения принципов корпоративного управления. Выявленные потребности смогут найти свое место в финансовой системе благодаря рыночному подходу и конкуренции, что позволит не только повысить лояльность клиентов, но и вовремя занять прибыльную нишу в сфере новых финансовых услуг. </w:t>
      </w:r>
    </w:p>
    <w:p>
      <w:pPr>
        <w:spacing w:after="0"/>
        <w:ind w:left="0"/>
        <w:jc w:val="both"/>
      </w:pPr>
      <w:r>
        <w:rPr>
          <w:rFonts w:ascii="Times New Roman"/>
          <w:b w:val="false"/>
          <w:i w:val="false"/>
          <w:color w:val="000000"/>
          <w:sz w:val="28"/>
        </w:rPr>
        <w:t>
      Повышение эффективности банковского сектора.</w:t>
      </w:r>
    </w:p>
    <w:bookmarkStart w:name="z35" w:id="31"/>
    <w:p>
      <w:pPr>
        <w:spacing w:after="0"/>
        <w:ind w:left="0"/>
        <w:jc w:val="both"/>
      </w:pPr>
      <w:r>
        <w:rPr>
          <w:rFonts w:ascii="Times New Roman"/>
          <w:b w:val="false"/>
          <w:i w:val="false"/>
          <w:color w:val="000000"/>
          <w:sz w:val="28"/>
        </w:rPr>
        <w:t>
      1. Институциональное развитие банковской системы.</w:t>
      </w:r>
    </w:p>
    <w:bookmarkEnd w:id="31"/>
    <w:p>
      <w:pPr>
        <w:spacing w:after="0"/>
        <w:ind w:left="0"/>
        <w:jc w:val="both"/>
      </w:pPr>
      <w:r>
        <w:rPr>
          <w:rFonts w:ascii="Times New Roman"/>
          <w:b w:val="false"/>
          <w:i w:val="false"/>
          <w:color w:val="000000"/>
          <w:sz w:val="28"/>
        </w:rPr>
        <w:t>
      Оценки Национального Банка Республики Казахстан демонстрируют, что рост рыночной доли банка является одним из показателей повышения эффективности его деятельности, в том числе прибыльности. При этом данные оценки подтверждаются как в краткосрочном, так и долгосрочном периоде.</w:t>
      </w:r>
    </w:p>
    <w:p>
      <w:pPr>
        <w:spacing w:after="0"/>
        <w:ind w:left="0"/>
        <w:jc w:val="both"/>
      </w:pPr>
      <w:r>
        <w:rPr>
          <w:rFonts w:ascii="Times New Roman"/>
          <w:b w:val="false"/>
          <w:i w:val="false"/>
          <w:color w:val="000000"/>
          <w:sz w:val="28"/>
        </w:rPr>
        <w:t xml:space="preserve">
      В этой связи требуется усиление тренда на дальнейшую консолидацию сектора, в том числе посредством повышения минимальных размеров собственного и уставного капитала для банков. </w:t>
      </w:r>
    </w:p>
    <w:p>
      <w:pPr>
        <w:spacing w:after="0"/>
        <w:ind w:left="0"/>
        <w:jc w:val="both"/>
      </w:pPr>
      <w:r>
        <w:rPr>
          <w:rFonts w:ascii="Times New Roman"/>
          <w:b w:val="false"/>
          <w:i w:val="false"/>
          <w:color w:val="000000"/>
          <w:sz w:val="28"/>
        </w:rPr>
        <w:t>
      В целях ограничения избыточной концентрации акцент будет сделан на развитии группы средних банков, а не крупнейших банков. "Группа средних банков" должна быть представлена 15-20 финансовыми институтами как с отечественным капиталом, так и дочерними организациями иностранных банков. Данная группа позволит обеспечить высокий уровень конкуренции в банковском секторе страны по основным видам банковских услуг для корпоративного сектора и населения. Предполагается, что "группа средних банков" будет однородной по своим размерам: разница в объеме активов между первым и последним по размерам банками не должна превышать 5 раз.</w:t>
      </w:r>
    </w:p>
    <w:p>
      <w:pPr>
        <w:spacing w:after="0"/>
        <w:ind w:left="0"/>
        <w:jc w:val="both"/>
      </w:pPr>
      <w:r>
        <w:rPr>
          <w:rFonts w:ascii="Times New Roman"/>
          <w:b w:val="false"/>
          <w:i w:val="false"/>
          <w:color w:val="000000"/>
          <w:sz w:val="28"/>
        </w:rPr>
        <w:t>
      Низкое соотношение активов банковской системы и объема номинального ВВП не позволяет банкам участвовать в финансировании крупных проектов в экономике страны. Поэтому одним из направлений станет формирование группы так называемых "банков-чемпионов", как на основе системообразующих банков через качественный рост их активов по абсолютной величине, так и путем стимулирования эффективных средних банков к созданию синдикатов с отечественными и зарубежными банками-партнерами. Будет рассмотрен вопрос создания механизма, предполагающего приоритетное участие группы "банков-чемпионов" в распределении бюджетных ресурсов, выделяемых в рамках различных государственных программ.</w:t>
      </w:r>
    </w:p>
    <w:p>
      <w:pPr>
        <w:spacing w:after="0"/>
        <w:ind w:left="0"/>
        <w:jc w:val="both"/>
      </w:pPr>
      <w:r>
        <w:rPr>
          <w:rFonts w:ascii="Times New Roman"/>
          <w:b w:val="false"/>
          <w:i w:val="false"/>
          <w:color w:val="000000"/>
          <w:sz w:val="28"/>
        </w:rPr>
        <w:t>
      Принудительного сокращения мелких банков или ограничения общего числа банков не предполагается.</w:t>
      </w:r>
    </w:p>
    <w:p>
      <w:pPr>
        <w:spacing w:after="0"/>
        <w:ind w:left="0"/>
        <w:jc w:val="both"/>
      </w:pPr>
      <w:r>
        <w:rPr>
          <w:rFonts w:ascii="Times New Roman"/>
          <w:b w:val="false"/>
          <w:i w:val="false"/>
          <w:color w:val="000000"/>
          <w:sz w:val="28"/>
        </w:rPr>
        <w:t>
      Учитывая достаточную степень конкурентности банковского сектора, участие государства в его функционировании не требуется. Банковский сектор уже является самодостаточным механизмом рыночной экономики, конкурентоспособность которого обеспечивается самостоятельным перераспределением финансовых ресурсов. Государство может максимально эффективно выполнять свою роль в тех сегментах банковского бизнеса, в которых отсутствует или существенно ограничен потенциал для приложения частного капитала, либо данное направление предполагает реализацию государственной политики. В этой связи непосредственное влияние государственной политики в банковском секторе будет отражено через акционерное общество "Жилстройсбербанк Казахстана" (далее – Жилстройсбербанк Казахстана), который осуществляет деятельность в сфере жилищно-строительных сбережений, и Банк Развития Казахстана, целью которого является содействие государству в развитии конкурентоспособного несырьевого сектора экономики Республики Казахстан.</w:t>
      </w:r>
    </w:p>
    <w:p>
      <w:pPr>
        <w:spacing w:after="0"/>
        <w:ind w:left="0"/>
        <w:jc w:val="both"/>
      </w:pPr>
      <w:r>
        <w:rPr>
          <w:rFonts w:ascii="Times New Roman"/>
          <w:b w:val="false"/>
          <w:i w:val="false"/>
          <w:color w:val="000000"/>
          <w:sz w:val="28"/>
        </w:rPr>
        <w:t>
      Создание специализированных государственных банков по развитию отдельных отраслей экономики (сельскохозяйственного, индустриального, почтового) является неэффективным ни с точки зрения повышения конкурентной среды, ни с точки зрения расходов государства по поддержанию стабильного функционирования деятельности данных банков. Более того, данные функции могут быть возложены на Банк Развития Казахстана. В этой связи будет сохранена норма банковского законодательства Республики Казахстан, запрещающая создание специализированных отраслевых банков с участием государства.</w:t>
      </w:r>
    </w:p>
    <w:p>
      <w:pPr>
        <w:spacing w:after="0"/>
        <w:ind w:left="0"/>
        <w:jc w:val="both"/>
      </w:pPr>
      <w:r>
        <w:rPr>
          <w:rFonts w:ascii="Times New Roman"/>
          <w:b w:val="false"/>
          <w:i w:val="false"/>
          <w:color w:val="000000"/>
          <w:sz w:val="28"/>
        </w:rPr>
        <w:t>
      Отдельной группой банков являются исламские банки, развитие которых будет обуславливаться степенью проникновения исламских финансовых услуг для юридических лиц и населения.</w:t>
      </w:r>
    </w:p>
    <w:p>
      <w:pPr>
        <w:spacing w:after="0"/>
        <w:ind w:left="0"/>
        <w:jc w:val="both"/>
      </w:pPr>
      <w:r>
        <w:rPr>
          <w:rFonts w:ascii="Times New Roman"/>
          <w:b w:val="false"/>
          <w:i w:val="false"/>
          <w:color w:val="000000"/>
          <w:sz w:val="28"/>
        </w:rPr>
        <w:t>
      История кризисов показывает, что транснациональные банки в случае возникновения проблем поддерживают, в первую очередь, свои головные подразделения вплоть до выводов денег из "дочерних банков", находящихся в развивающихся странах и странах с переходной экономикой. В этой связи усилия будут направлены на сохранение в банковской системе преимущественно отечественного капитала.</w:t>
      </w:r>
    </w:p>
    <w:bookmarkStart w:name="z36" w:id="32"/>
    <w:p>
      <w:pPr>
        <w:spacing w:after="0"/>
        <w:ind w:left="0"/>
        <w:jc w:val="both"/>
      </w:pPr>
      <w:r>
        <w:rPr>
          <w:rFonts w:ascii="Times New Roman"/>
          <w:b w:val="false"/>
          <w:i w:val="false"/>
          <w:color w:val="000000"/>
          <w:sz w:val="28"/>
        </w:rPr>
        <w:t>
      2. Развитие индивидуальных бизнес-стратегий банков и адекватность регулирования их рисков.</w:t>
      </w:r>
    </w:p>
    <w:bookmarkEnd w:id="32"/>
    <w:p>
      <w:pPr>
        <w:spacing w:after="0"/>
        <w:ind w:left="0"/>
        <w:jc w:val="both"/>
      </w:pPr>
      <w:r>
        <w:rPr>
          <w:rFonts w:ascii="Times New Roman"/>
          <w:b w:val="false"/>
          <w:i w:val="false"/>
          <w:color w:val="000000"/>
          <w:sz w:val="28"/>
        </w:rPr>
        <w:t>
      По тем же оценкам Национального Банка Республики Казахстан кредитная активность банка в определенной степени зависит от качества активов и уровня их покрытия провизиями, а также концентрации банка на отдельных направлениях банковского бизнеса или источниках его фондирования. С точки зрения доходности наилучшие результаты демонстрируют банки с более высоким качеством активов, низкой долей ликвидных активов, специализирующиеся на определенном направлении кредитования, а также банки, привлекающие фондирование преимущественно в национальной валюте.</w:t>
      </w:r>
    </w:p>
    <w:p>
      <w:pPr>
        <w:spacing w:after="0"/>
        <w:ind w:left="0"/>
        <w:jc w:val="both"/>
      </w:pPr>
      <w:r>
        <w:rPr>
          <w:rFonts w:ascii="Times New Roman"/>
          <w:b w:val="false"/>
          <w:i w:val="false"/>
          <w:color w:val="000000"/>
          <w:sz w:val="28"/>
        </w:rPr>
        <w:t>
      Развитие "группы крупнейших банков" будет стимулироваться в направлении сохранения диверсифицированной стратегии деятельности в целях минимизации вероятности возникновения системного кризиса. Стратегия развития данной группы банков должна охватывать максимально возможный круг потребителей финансовых услуг.</w:t>
      </w:r>
    </w:p>
    <w:p>
      <w:pPr>
        <w:spacing w:after="0"/>
        <w:ind w:left="0"/>
        <w:jc w:val="both"/>
      </w:pPr>
      <w:r>
        <w:rPr>
          <w:rFonts w:ascii="Times New Roman"/>
          <w:b w:val="false"/>
          <w:i w:val="false"/>
          <w:color w:val="000000"/>
          <w:sz w:val="28"/>
        </w:rPr>
        <w:t>
      Для "группы крупнейших банков" или системообразующих банков будут предоставлены определенные мандаты по финансированию приоритетных отраслей экономики и выводу устойчивых эмитентов на фондовый рынок. В то же время система регулирования банковской деятельности будет предполагать установление Национальным Банком Республики Казахстан к системообразующим банкам дополнительных требований по капитализации и наличию и срокам формирования буферов капитала, ликвидности, системам управления рисками для системообразующих банков.</w:t>
      </w:r>
    </w:p>
    <w:p>
      <w:pPr>
        <w:spacing w:after="0"/>
        <w:ind w:left="0"/>
        <w:jc w:val="both"/>
      </w:pPr>
      <w:r>
        <w:rPr>
          <w:rFonts w:ascii="Times New Roman"/>
          <w:b w:val="false"/>
          <w:i w:val="false"/>
          <w:color w:val="000000"/>
          <w:sz w:val="28"/>
        </w:rPr>
        <w:t xml:space="preserve">
      Однородность "группы средних банков" по размерам не подразумевает унификацию бизнес-стратегий банков. Банки в зависимости от приоритетов акционеров будут самостоятельно выбирать диверсифицированную направленность деятельности или специализированную модель при условии, если банки понимают, адекватно управляют и контролируют возможные риски ведения бизнеса. </w:t>
      </w:r>
    </w:p>
    <w:p>
      <w:pPr>
        <w:spacing w:after="0"/>
        <w:ind w:left="0"/>
        <w:jc w:val="both"/>
      </w:pPr>
      <w:r>
        <w:rPr>
          <w:rFonts w:ascii="Times New Roman"/>
          <w:b w:val="false"/>
          <w:i w:val="false"/>
          <w:color w:val="000000"/>
          <w:sz w:val="28"/>
        </w:rPr>
        <w:t>
      Специализированные стратегии имеют определенные конкурентные преимущества для банков за счет стандартизации и автоматизации осуществляемых бизнес-процессов, позволяющих существенно сократить операционные издержки. С другой стороны, такие модели в наибольшей степени подвержены рискам в случаях изменения рыночной конъюнктуры. Соответственно, в отношении банков, специализирующихся на отдельных направлениях (потребительское кредитование, инвестиционный бизнес, отраслевое кредитование), будут устанавливаться требования в отношении роста рисковых активов.</w:t>
      </w:r>
    </w:p>
    <w:bookmarkStart w:name="z37" w:id="33"/>
    <w:p>
      <w:pPr>
        <w:spacing w:after="0"/>
        <w:ind w:left="0"/>
        <w:jc w:val="both"/>
      </w:pPr>
      <w:r>
        <w:rPr>
          <w:rFonts w:ascii="Times New Roman"/>
          <w:b w:val="false"/>
          <w:i w:val="false"/>
          <w:color w:val="000000"/>
          <w:sz w:val="28"/>
        </w:rPr>
        <w:t>
      3. Создание среды для формирования эффективной модели "банка будущего".</w:t>
      </w:r>
    </w:p>
    <w:bookmarkEnd w:id="33"/>
    <w:p>
      <w:pPr>
        <w:spacing w:after="0"/>
        <w:ind w:left="0"/>
        <w:jc w:val="both"/>
      </w:pPr>
      <w:r>
        <w:rPr>
          <w:rFonts w:ascii="Times New Roman"/>
          <w:b w:val="false"/>
          <w:i w:val="false"/>
          <w:color w:val="000000"/>
          <w:sz w:val="28"/>
        </w:rPr>
        <w:t>
      Долгосрочное преобразование модели ведения банковского бизнеса будет базироваться на основе новых технологий. Благодаря "цифровой" революции изменяется парадигма предоставления финансовых услуг. Массовое распространение получат различные системы дистанционного обслуживания (включая "онлайн") потребителей финансовых услуг посредством развития электронных финансовых услуг, создания сетей электронных каналов обслуживания, в том числе обеспечения безопасности и продвижения электронных финансовых услуг, совмещения финансового посредничества с услугами электронной коммерции с предоставлением прочих услуг для личного и коммерческого использования, консалтинг, порталы и так далее. Это позволит банкам предоставлять "мгновенные" услуги по микрокредитованию, в оперативном режиме принимать решения по предоставлению широкого спектра базовых банковских услуг.</w:t>
      </w:r>
    </w:p>
    <w:p>
      <w:pPr>
        <w:spacing w:after="0"/>
        <w:ind w:left="0"/>
        <w:jc w:val="both"/>
      </w:pPr>
      <w:r>
        <w:rPr>
          <w:rFonts w:ascii="Times New Roman"/>
          <w:b w:val="false"/>
          <w:i w:val="false"/>
          <w:color w:val="000000"/>
          <w:sz w:val="28"/>
        </w:rPr>
        <w:t>
      Важным направлением развития является интеграция в цифровую экосистему и обеспечение доступа к банковским услугам через единую электронную учетную запись путем использования мобильных технологий. Результатом станет конкурентоспособное, полностью прозрачное и защищенное от влияния экономических циклов банковское обслуживание для среднего класса с возможностями пользоваться различными кредитными продуктами на справедливых условиях, управления персональным "балансом", включая имущество.</w:t>
      </w:r>
    </w:p>
    <w:p>
      <w:pPr>
        <w:spacing w:after="0"/>
        <w:ind w:left="0"/>
        <w:jc w:val="both"/>
      </w:pPr>
      <w:r>
        <w:rPr>
          <w:rFonts w:ascii="Times New Roman"/>
          <w:b w:val="false"/>
          <w:i w:val="false"/>
          <w:color w:val="000000"/>
          <w:sz w:val="28"/>
        </w:rPr>
        <w:t>
      В условиях быстроменяющейся среды акценты Национального Банка Республики Казахстан будут сделаны на создание и поддержание оптимального баланса между развитием новых банковских технологий и установлением требований по управлению возникающими и быстротрансформирующимися рисками.</w:t>
      </w:r>
    </w:p>
    <w:p>
      <w:pPr>
        <w:spacing w:after="0"/>
        <w:ind w:left="0"/>
        <w:jc w:val="both"/>
      </w:pPr>
      <w:r>
        <w:rPr>
          <w:rFonts w:ascii="Times New Roman"/>
          <w:b w:val="false"/>
          <w:i w:val="false"/>
          <w:color w:val="000000"/>
          <w:sz w:val="28"/>
        </w:rPr>
        <w:t xml:space="preserve">
      Ожидается, что анализ банком рисков заемщика будет базироваться не только на тех сведениях, которые предоставляет сам заемщик, но и на основе "больших данных" (Big Data). Это и потребует максимальной автоматизации осуществляемых банками бизнес-процессов, а также расширение государством возможностей для финансовых организаций к широкому получению доступной информации электронного правительства. </w:t>
      </w:r>
    </w:p>
    <w:bookmarkStart w:name="z38" w:id="34"/>
    <w:p>
      <w:pPr>
        <w:spacing w:after="0"/>
        <w:ind w:left="0"/>
        <w:jc w:val="both"/>
      </w:pPr>
      <w:r>
        <w:rPr>
          <w:rFonts w:ascii="Times New Roman"/>
          <w:b w:val="false"/>
          <w:i w:val="false"/>
          <w:color w:val="000000"/>
          <w:sz w:val="28"/>
        </w:rPr>
        <w:t>
      4. Обеспечение конкурентоспособности в рамках международной интеграции.</w:t>
      </w:r>
    </w:p>
    <w:bookmarkEnd w:id="34"/>
    <w:p>
      <w:pPr>
        <w:spacing w:after="0"/>
        <w:ind w:left="0"/>
        <w:jc w:val="both"/>
      </w:pPr>
      <w:r>
        <w:rPr>
          <w:rFonts w:ascii="Times New Roman"/>
          <w:b w:val="false"/>
          <w:i w:val="false"/>
          <w:color w:val="000000"/>
          <w:sz w:val="28"/>
        </w:rPr>
        <w:t>
      Создание единого финансового рынка стран-участниц ЕЭП предполагает не только гармонизацию, но и разработку единых стандартов в регулировании и надзоре за банками на всем пространстве стран, которые должны основываться на международных стандартах и лучшей мировой практике (в частности, стран ОЭСР), а также учитывать отечественные реалии. Более того, необходимость сближения законодательств стран ЕЭП по деятельности на финансовом рынке должна учитывать разные условия вхождения ВТО в части доступа иностранных финансовых организаций на рынки стран ЕЭП. В этой связи в результате унификации стандартов надзора может иметь место риск послаблений и частичного дерегулирования стандартов банковской деятельности.</w:t>
      </w:r>
    </w:p>
    <w:p>
      <w:pPr>
        <w:spacing w:after="0"/>
        <w:ind w:left="0"/>
        <w:jc w:val="both"/>
      </w:pPr>
      <w:r>
        <w:rPr>
          <w:rFonts w:ascii="Times New Roman"/>
          <w:b w:val="false"/>
          <w:i w:val="false"/>
          <w:color w:val="000000"/>
          <w:sz w:val="28"/>
        </w:rPr>
        <w:t>
      Таким образом, требуется определение достигнутых позиций, смягчение по которым является недопустимым, поскольку они основываются во многом на лучшем международном опыте:</w:t>
      </w:r>
    </w:p>
    <w:p>
      <w:pPr>
        <w:spacing w:after="0"/>
        <w:ind w:left="0"/>
        <w:jc w:val="both"/>
      </w:pPr>
      <w:r>
        <w:rPr>
          <w:rFonts w:ascii="Times New Roman"/>
          <w:b w:val="false"/>
          <w:i w:val="false"/>
          <w:color w:val="000000"/>
          <w:sz w:val="28"/>
        </w:rPr>
        <w:t>
      1) сохранение на высоком уровне требований по минимальным размерам уставного и собственного капиталов для банков;</w:t>
      </w:r>
    </w:p>
    <w:p>
      <w:pPr>
        <w:spacing w:after="0"/>
        <w:ind w:left="0"/>
        <w:jc w:val="both"/>
      </w:pPr>
      <w:r>
        <w:rPr>
          <w:rFonts w:ascii="Times New Roman"/>
          <w:b w:val="false"/>
          <w:i w:val="false"/>
          <w:color w:val="000000"/>
          <w:sz w:val="28"/>
        </w:rPr>
        <w:t>
      2) установление требований к нормативам достаточности капитала банков, адекватных специфическим для экономики и финансовой системы рискам и поддержанию конкурентоспособности банков;</w:t>
      </w:r>
    </w:p>
    <w:p>
      <w:pPr>
        <w:spacing w:after="0"/>
        <w:ind w:left="0"/>
        <w:jc w:val="both"/>
      </w:pPr>
      <w:r>
        <w:rPr>
          <w:rFonts w:ascii="Times New Roman"/>
          <w:b w:val="false"/>
          <w:i w:val="false"/>
          <w:color w:val="000000"/>
          <w:sz w:val="28"/>
        </w:rPr>
        <w:t>
      3) полный переход на стандарты Базель II и Базель III с учетом специфики структуры банковских систем стран-участниц ЕЭП.</w:t>
      </w:r>
    </w:p>
    <w:p>
      <w:pPr>
        <w:spacing w:after="0"/>
        <w:ind w:left="0"/>
        <w:jc w:val="both"/>
      </w:pPr>
      <w:r>
        <w:rPr>
          <w:rFonts w:ascii="Times New Roman"/>
          <w:b w:val="false"/>
          <w:i w:val="false"/>
          <w:color w:val="000000"/>
          <w:sz w:val="28"/>
        </w:rPr>
        <w:t>
      Повышение эффективности страхового сектора.</w:t>
      </w:r>
    </w:p>
    <w:bookmarkStart w:name="z39" w:id="35"/>
    <w:p>
      <w:pPr>
        <w:spacing w:after="0"/>
        <w:ind w:left="0"/>
        <w:jc w:val="both"/>
      </w:pPr>
      <w:r>
        <w:rPr>
          <w:rFonts w:ascii="Times New Roman"/>
          <w:b w:val="false"/>
          <w:i w:val="false"/>
          <w:color w:val="000000"/>
          <w:sz w:val="28"/>
        </w:rPr>
        <w:t>
      1. Институциональное развитие страхового сектора.</w:t>
      </w:r>
    </w:p>
    <w:bookmarkEnd w:id="35"/>
    <w:p>
      <w:pPr>
        <w:spacing w:after="0"/>
        <w:ind w:left="0"/>
        <w:jc w:val="both"/>
      </w:pPr>
      <w:r>
        <w:rPr>
          <w:rFonts w:ascii="Times New Roman"/>
          <w:b w:val="false"/>
          <w:i w:val="false"/>
          <w:color w:val="000000"/>
          <w:sz w:val="28"/>
        </w:rPr>
        <w:t>
      Повышение требований к капитализации будет способствовать укрупнению и консолидации страховых организаций. На страховом рынке будут функционировать крупные страховые организации с достаточным уровнем капитала, отвечающим международным стандартам платежеспособности.</w:t>
      </w:r>
    </w:p>
    <w:p>
      <w:pPr>
        <w:spacing w:after="0"/>
        <w:ind w:left="0"/>
        <w:jc w:val="both"/>
      </w:pPr>
      <w:r>
        <w:rPr>
          <w:rFonts w:ascii="Times New Roman"/>
          <w:b w:val="false"/>
          <w:i w:val="false"/>
          <w:color w:val="000000"/>
          <w:sz w:val="28"/>
        </w:rPr>
        <w:t xml:space="preserve">
      Развитие страхового рынка в условиях открытия доступа иностранных страховых (перестраховочных) организаций существенно изменится. Страхование крупных рисков в нефтегазовой, энергетической, горнодобывающей отраслях будет осуществляться нерезидентами напрямую без образования постоянно действующих учреждений. Ожидается активная деятельность иностранных страховых посредников (страховых агентов и страховых брокеров) по оценке и размещению крупных рисков в иностранных страховых организациях. </w:t>
      </w:r>
    </w:p>
    <w:p>
      <w:pPr>
        <w:spacing w:after="0"/>
        <w:ind w:left="0"/>
        <w:jc w:val="both"/>
      </w:pPr>
      <w:r>
        <w:rPr>
          <w:rFonts w:ascii="Times New Roman"/>
          <w:b w:val="false"/>
          <w:i w:val="false"/>
          <w:color w:val="000000"/>
          <w:sz w:val="28"/>
        </w:rPr>
        <w:t>
      Сектор страхования малого и среднего бизнеса в настоящее время составляет, оценочно, не более 11 % от совокупного размера страховых премий. Незначительный объем страхового сектора в целом и доля страхования малого и среднего бизнеса делает относительно непривлекательным приток иностранных инвестиций на данный сегмент.</w:t>
      </w:r>
    </w:p>
    <w:p>
      <w:pPr>
        <w:spacing w:after="0"/>
        <w:ind w:left="0"/>
        <w:jc w:val="both"/>
      </w:pPr>
      <w:r>
        <w:rPr>
          <w:rFonts w:ascii="Times New Roman"/>
          <w:b w:val="false"/>
          <w:i w:val="false"/>
          <w:color w:val="000000"/>
          <w:sz w:val="28"/>
        </w:rPr>
        <w:t>
      Сектор страхования физических лиц является самым затратным ввиду высоких административных издержек. По данному направлению активный интерес иностранных страховых организаций также не ожидается.</w:t>
      </w:r>
    </w:p>
    <w:p>
      <w:pPr>
        <w:spacing w:after="0"/>
        <w:ind w:left="0"/>
        <w:jc w:val="both"/>
      </w:pPr>
      <w:r>
        <w:rPr>
          <w:rFonts w:ascii="Times New Roman"/>
          <w:b w:val="false"/>
          <w:i w:val="false"/>
          <w:color w:val="000000"/>
          <w:sz w:val="28"/>
        </w:rPr>
        <w:t>
      Появление иностранных инвесторов на страховом рынке возможно только при условии появления крупных инвесторов в иных секторах экономики Республики Казахстан, имеющих долгосрочные цели и стратегии.</w:t>
      </w:r>
    </w:p>
    <w:p>
      <w:pPr>
        <w:spacing w:after="0"/>
        <w:ind w:left="0"/>
        <w:jc w:val="both"/>
      </w:pPr>
      <w:r>
        <w:rPr>
          <w:rFonts w:ascii="Times New Roman"/>
          <w:b w:val="false"/>
          <w:i w:val="false"/>
          <w:color w:val="000000"/>
          <w:sz w:val="28"/>
        </w:rPr>
        <w:t>
      В целях улучшения финансовых возможностей для удержания крупных рисков необходимо предпринять ряд мер по стимулированию развития механизмов сострахования, при помощи которых будут преимущественно страховаться крупные или малоизвестные и новые риски. Участники страховых и перестраховочных пулов несут солидарную ответственность перед страхователем. Поэтому целесообразно создать необходимую законодательную основу, учитывающую специфику их деятельности ориентировочно в 2016 – 2020 годах.</w:t>
      </w:r>
    </w:p>
    <w:p>
      <w:pPr>
        <w:spacing w:after="0"/>
        <w:ind w:left="0"/>
        <w:jc w:val="both"/>
      </w:pPr>
      <w:r>
        <w:rPr>
          <w:rFonts w:ascii="Times New Roman"/>
          <w:b w:val="false"/>
          <w:i w:val="false"/>
          <w:color w:val="000000"/>
          <w:sz w:val="28"/>
        </w:rPr>
        <w:t>
      Укрупнение страховых организаций позволит перейти местным страховым организациям на качественно новый уровень перестраховочной деятельности. Обладая достаточным размером капитала и являясь значительным игроком финансовой системы, страховые организации, увеличивая местное перестрахование, будут способствовать увеличению капитализации отечественного страхового рынка и притоку перестраховочных премий из-за рубежа.</w:t>
      </w:r>
    </w:p>
    <w:p>
      <w:pPr>
        <w:spacing w:after="0"/>
        <w:ind w:left="0"/>
        <w:jc w:val="both"/>
      </w:pPr>
      <w:r>
        <w:rPr>
          <w:rFonts w:ascii="Times New Roman"/>
          <w:b w:val="false"/>
          <w:i w:val="false"/>
          <w:color w:val="000000"/>
          <w:sz w:val="28"/>
        </w:rPr>
        <w:t xml:space="preserve">
      В целях укрепления инфраструктуры страхового рынка необходимо рассмотреть возможность создания государственной перестраховочной организации, которая будет предоставлять частичное или полное перестраховочное покрытие по крупным рискам, а также по специфичным рискам, в которых зарубежные перестраховочные компании не заинтересованы, например риски сельского хозяйства. </w:t>
      </w:r>
    </w:p>
    <w:p>
      <w:pPr>
        <w:spacing w:after="0"/>
        <w:ind w:left="0"/>
        <w:jc w:val="both"/>
      </w:pPr>
      <w:r>
        <w:rPr>
          <w:rFonts w:ascii="Times New Roman"/>
          <w:b w:val="false"/>
          <w:i w:val="false"/>
          <w:color w:val="000000"/>
          <w:sz w:val="28"/>
        </w:rPr>
        <w:t>
      Кроме того, необходимо существенно увеличить минимальный размер маржи платежеспособности (собственного капитала) для страховых организаций, принимающих участие в страховании крупных производственных рисков, рисков водного и воздушного транспорта.</w:t>
      </w:r>
    </w:p>
    <w:p>
      <w:pPr>
        <w:spacing w:after="0"/>
        <w:ind w:left="0"/>
        <w:jc w:val="both"/>
      </w:pPr>
      <w:r>
        <w:rPr>
          <w:rFonts w:ascii="Times New Roman"/>
          <w:b w:val="false"/>
          <w:i w:val="false"/>
          <w:color w:val="000000"/>
          <w:sz w:val="28"/>
        </w:rPr>
        <w:t xml:space="preserve">
      В целях наиболее эффективного осуществления надзора страхового рынка будут ужесточаться требования к страховым брокерам в части размеров собственного и уставного капиталов. При этом в целях усиления ответственности и эффективности деятельности страховых брокеров необходимо установление отдельных требований для страховых брокеров, осуществляющих посредническую деятельность по страховой деятельности, и для брокеров, осуществляющих посредническую деятельность по перестраховочной деятельности. </w:t>
      </w:r>
    </w:p>
    <w:p>
      <w:pPr>
        <w:spacing w:after="0"/>
        <w:ind w:left="0"/>
        <w:jc w:val="both"/>
      </w:pPr>
      <w:r>
        <w:rPr>
          <w:rFonts w:ascii="Times New Roman"/>
          <w:b w:val="false"/>
          <w:i w:val="false"/>
          <w:color w:val="000000"/>
          <w:sz w:val="28"/>
        </w:rPr>
        <w:t>
      В настоящее время на законодательном уровне ведутся работы по внедрению системы страхования – "Такафул", предусматривающей механизм распределения прибылей и убытков между участниками и оператором, соответствующий принципам исламского финансирования.</w:t>
      </w:r>
    </w:p>
    <w:bookmarkStart w:name="z40" w:id="36"/>
    <w:p>
      <w:pPr>
        <w:spacing w:after="0"/>
        <w:ind w:left="0"/>
        <w:jc w:val="both"/>
      </w:pPr>
      <w:r>
        <w:rPr>
          <w:rFonts w:ascii="Times New Roman"/>
          <w:b w:val="false"/>
          <w:i w:val="false"/>
          <w:color w:val="000000"/>
          <w:sz w:val="28"/>
        </w:rPr>
        <w:t>
      2. Развитие страховых продуктов для индивидуальных потребителей и институциональных инвесторов.</w:t>
      </w:r>
    </w:p>
    <w:bookmarkEnd w:id="36"/>
    <w:p>
      <w:pPr>
        <w:spacing w:after="0"/>
        <w:ind w:left="0"/>
        <w:jc w:val="both"/>
      </w:pPr>
      <w:r>
        <w:rPr>
          <w:rFonts w:ascii="Times New Roman"/>
          <w:b w:val="false"/>
          <w:i w:val="false"/>
          <w:color w:val="000000"/>
          <w:sz w:val="28"/>
        </w:rPr>
        <w:t>
      Система обязательного страхования требует упорядочения и решения накопленных проблем, препятствующих ее эффективному развитию, в том числе оптимизации и исключения неэффективно функционирующих и дублирующих классов обязательного страхования.</w:t>
      </w:r>
    </w:p>
    <w:p>
      <w:pPr>
        <w:spacing w:after="0"/>
        <w:ind w:left="0"/>
        <w:jc w:val="both"/>
      </w:pPr>
      <w:r>
        <w:rPr>
          <w:rFonts w:ascii="Times New Roman"/>
          <w:b w:val="false"/>
          <w:i w:val="false"/>
          <w:color w:val="000000"/>
          <w:sz w:val="28"/>
        </w:rPr>
        <w:t>
      Необходимы разработка государственной политики в области обязательного страхования, в том числе определение критериев введения и конкретного перечня обязательных видов страхования на уровне законодательства. Критериями обязательного страхования должны быть случайность наступления страхового события, массовость и отсутствие концентрации, возможность выявления и оценки убытков, социальность и общественная значимость.</w:t>
      </w:r>
    </w:p>
    <w:p>
      <w:pPr>
        <w:spacing w:after="0"/>
        <w:ind w:left="0"/>
        <w:jc w:val="both"/>
      </w:pPr>
      <w:r>
        <w:rPr>
          <w:rFonts w:ascii="Times New Roman"/>
          <w:b w:val="false"/>
          <w:i w:val="false"/>
          <w:color w:val="000000"/>
          <w:sz w:val="28"/>
        </w:rPr>
        <w:t>
      Будут приняты меры по созданию сбалансированной и эффективной системы обязательного страхования. По обязательному страхованию работника от несчастных случаев (далее – ОСНС) будут внесены параметрические изменения, которые позволят решить проблемы несбалансированности выплат по возмещению утраченного заработка, вызванной неконтролируемым ростом профессиональных заболеваний, и высокой убыточности системы ОСНС.</w:t>
      </w:r>
    </w:p>
    <w:p>
      <w:pPr>
        <w:spacing w:after="0"/>
        <w:ind w:left="0"/>
        <w:jc w:val="both"/>
      </w:pPr>
      <w:r>
        <w:rPr>
          <w:rFonts w:ascii="Times New Roman"/>
          <w:b w:val="false"/>
          <w:i w:val="false"/>
          <w:color w:val="000000"/>
          <w:sz w:val="28"/>
        </w:rPr>
        <w:t>
      Для развития обязательного страхования будет рассмотрен вопрос введения обязательного страхования недвижимости физических лиц от чрезвычайных ситуаций.</w:t>
      </w:r>
    </w:p>
    <w:p>
      <w:pPr>
        <w:spacing w:after="0"/>
        <w:ind w:left="0"/>
        <w:jc w:val="both"/>
      </w:pPr>
      <w:r>
        <w:rPr>
          <w:rFonts w:ascii="Times New Roman"/>
          <w:b w:val="false"/>
          <w:i w:val="false"/>
          <w:color w:val="000000"/>
          <w:sz w:val="28"/>
        </w:rPr>
        <w:t>
      Страховые организации, выступая в качестве страховых посредников при заключении договоров страхования недвижимости, могут в дополнение к катастрофическим рискам предоставлять покрытие риска пожара, гражданско-правовой ответственности владельцев недвижимости перед третьими лицами.</w:t>
      </w:r>
    </w:p>
    <w:p>
      <w:pPr>
        <w:spacing w:after="0"/>
        <w:ind w:left="0"/>
        <w:jc w:val="both"/>
      </w:pPr>
      <w:r>
        <w:rPr>
          <w:rFonts w:ascii="Times New Roman"/>
          <w:b w:val="false"/>
          <w:i w:val="false"/>
          <w:color w:val="000000"/>
          <w:sz w:val="28"/>
        </w:rPr>
        <w:t>
      Кроме того, будет рассмотрен вопрос покрытия дополнительных рисков в рамках обязательного страхования гражданско-правовой ответственности владельцев транспортных средств, в том числе самого автотранспортного средства (от угона, пожара, противоправных действий третьих лиц).</w:t>
      </w:r>
    </w:p>
    <w:p>
      <w:pPr>
        <w:spacing w:after="0"/>
        <w:ind w:left="0"/>
        <w:jc w:val="both"/>
      </w:pPr>
      <w:r>
        <w:rPr>
          <w:rFonts w:ascii="Times New Roman"/>
          <w:b w:val="false"/>
          <w:i w:val="false"/>
          <w:color w:val="000000"/>
          <w:sz w:val="28"/>
        </w:rPr>
        <w:t xml:space="preserve">
      По добровольному имущественному страхованию необходимо принятие мер по развитию новых страховых продуктов. По наиболее востребованным и актуальным розничным продуктам для населения в целях защиты прав потребителей будут стандартизированы условия договора страхования, расчет тарифов, оценка имущества, процедуры урегулирования убытка и осуществления страховой выплаты. </w:t>
      </w:r>
    </w:p>
    <w:p>
      <w:pPr>
        <w:spacing w:after="0"/>
        <w:ind w:left="0"/>
        <w:jc w:val="both"/>
      </w:pPr>
      <w:r>
        <w:rPr>
          <w:rFonts w:ascii="Times New Roman"/>
          <w:b w:val="false"/>
          <w:i w:val="false"/>
          <w:color w:val="000000"/>
          <w:sz w:val="28"/>
        </w:rPr>
        <w:t>
      Более того, развитие накопительного страхования позволяет гражданам решить целый комплекс задач. Во-первых, компенсировать недостаточность системы государственного социального страхования и обеспечения (например, накопление определенных денежных сумм к выходу на пенсию, или к совершеннолетию, или к другим событиям в жизни застрахованного лица). Во-вторых, защитить финансовые интересы при утрате трудоспособности и смерти.</w:t>
      </w:r>
    </w:p>
    <w:p>
      <w:pPr>
        <w:spacing w:after="0"/>
        <w:ind w:left="0"/>
        <w:jc w:val="both"/>
      </w:pPr>
      <w:r>
        <w:rPr>
          <w:rFonts w:ascii="Times New Roman"/>
          <w:b w:val="false"/>
          <w:i w:val="false"/>
          <w:color w:val="000000"/>
          <w:sz w:val="28"/>
        </w:rPr>
        <w:t>
      Отрасль страхования жизни, обладая социальной ориентированностью и накопительной функцией, может стать альтернативой банковским депозитам, преимуществом которой будет являться наличие страховой защиты. Страхование жизни, которое служит дополнительной социальной защитой, будет использовано для получения других видов финансовых услуг.</w:t>
      </w:r>
    </w:p>
    <w:p>
      <w:pPr>
        <w:spacing w:after="0"/>
        <w:ind w:left="0"/>
        <w:jc w:val="both"/>
      </w:pPr>
      <w:r>
        <w:rPr>
          <w:rFonts w:ascii="Times New Roman"/>
          <w:b w:val="false"/>
          <w:i w:val="false"/>
          <w:color w:val="000000"/>
          <w:sz w:val="28"/>
        </w:rPr>
        <w:t>
      Необходимо рассмотреть возможность стимулирования развития продуктов страхования жизни, расширения возможностей использования страхования жизни при получении других финансовых услуг, например, использовать полис страхования жизни как предмет залога, в том числе в рамках ипотечного кредитования. Кроме того, в целях стимулирования продуктов накопительного страхования будет пересмотрен подход к их налогообложению путем освобождения от налогообложения страховых выплат и отмены действующих налоговых льгот на страховые премии (взносы), что существенно упрощает администрирование налогообложения накопительного страхования.</w:t>
      </w:r>
    </w:p>
    <w:p>
      <w:pPr>
        <w:spacing w:after="0"/>
        <w:ind w:left="0"/>
        <w:jc w:val="both"/>
      </w:pPr>
      <w:r>
        <w:rPr>
          <w:rFonts w:ascii="Times New Roman"/>
          <w:b w:val="false"/>
          <w:i w:val="false"/>
          <w:color w:val="000000"/>
          <w:sz w:val="28"/>
        </w:rPr>
        <w:t xml:space="preserve">
      Особое место в развитии накопительного страхования должны занимать новые страховые продукты, которые позволяют страхователям совмещать инвестиционное управление со страхованием жизни (unit-linked) и участвовать в прибыли страховщика. </w:t>
      </w:r>
    </w:p>
    <w:p>
      <w:pPr>
        <w:spacing w:after="0"/>
        <w:ind w:left="0"/>
        <w:jc w:val="both"/>
      </w:pPr>
      <w:r>
        <w:rPr>
          <w:rFonts w:ascii="Times New Roman"/>
          <w:b w:val="false"/>
          <w:i w:val="false"/>
          <w:color w:val="000000"/>
          <w:sz w:val="28"/>
        </w:rPr>
        <w:t>
      Медицинское страхование в мировой практике является одной из широко распространенных форм социальной защиты населения. Данный вид страхования позволяет гарантировать населению бесплатное предоставление определенного объема медицинских услуг в случае нарушения здоровья.</w:t>
      </w:r>
    </w:p>
    <w:p>
      <w:pPr>
        <w:spacing w:after="0"/>
        <w:ind w:left="0"/>
        <w:jc w:val="both"/>
      </w:pPr>
      <w:r>
        <w:rPr>
          <w:rFonts w:ascii="Times New Roman"/>
          <w:b w:val="false"/>
          <w:i w:val="false"/>
          <w:color w:val="000000"/>
          <w:sz w:val="28"/>
        </w:rPr>
        <w:t>
      В Республике Казахстан в настоящее время медицинское страхование ввиду добровольности не получило достаточного развития. В этой связи, в целях развития медицинского страхования планируются рассмотрение и изучение вопроса целесообразности внедрения механизма обязательного медицинского страхования.</w:t>
      </w:r>
    </w:p>
    <w:p>
      <w:pPr>
        <w:spacing w:after="0"/>
        <w:ind w:left="0"/>
        <w:jc w:val="both"/>
      </w:pPr>
      <w:r>
        <w:rPr>
          <w:rFonts w:ascii="Times New Roman"/>
          <w:b w:val="false"/>
          <w:i w:val="false"/>
          <w:color w:val="000000"/>
          <w:sz w:val="28"/>
        </w:rPr>
        <w:t xml:space="preserve">
      Учитывая высокие административные издержки по всем видам страхования, будет рассмотрен вопрос по снижению доли продаж страховых продуктов, в особенности по обязательным видам страхования, через страховых агентов. </w:t>
      </w:r>
    </w:p>
    <w:p>
      <w:pPr>
        <w:spacing w:after="0"/>
        <w:ind w:left="0"/>
        <w:jc w:val="both"/>
      </w:pPr>
      <w:r>
        <w:rPr>
          <w:rFonts w:ascii="Times New Roman"/>
          <w:b w:val="false"/>
          <w:i w:val="false"/>
          <w:color w:val="000000"/>
          <w:sz w:val="28"/>
        </w:rPr>
        <w:t xml:space="preserve">
      Будут приняты меры по развитию казахстанских страховых пулов, в том числе путем привлечения иностранных перестраховочных организаций и установления экономической обязанности предложения страхового риска страховому пулу до прямого перестрахования у нерезидентов. </w:t>
      </w:r>
    </w:p>
    <w:p>
      <w:pPr>
        <w:spacing w:after="0"/>
        <w:ind w:left="0"/>
        <w:jc w:val="both"/>
      </w:pPr>
      <w:r>
        <w:rPr>
          <w:rFonts w:ascii="Times New Roman"/>
          <w:b w:val="false"/>
          <w:i w:val="false"/>
          <w:color w:val="000000"/>
          <w:sz w:val="28"/>
        </w:rPr>
        <w:t>
      Кроме того, как показывают результаты проверок деятельности страховых организаций, а также поступающие жалобы страхователей, продолжаются тенденция роста мошеннических действий страховых посредников, выплаты необоснованных размеров комиссионного вознаграждения, нарушения требований законодательства по периодичности выплаты комиссионного вознаграждения, а также по приему наличных денег от страхователей в уплату страховой премии, введение в заблуждение страхователей, предоставление поддельных страховых полисов.</w:t>
      </w:r>
    </w:p>
    <w:p>
      <w:pPr>
        <w:spacing w:after="0"/>
        <w:ind w:left="0"/>
        <w:jc w:val="both"/>
      </w:pPr>
      <w:r>
        <w:rPr>
          <w:rFonts w:ascii="Times New Roman"/>
          <w:b w:val="false"/>
          <w:i w:val="false"/>
          <w:color w:val="000000"/>
          <w:sz w:val="28"/>
        </w:rPr>
        <w:t>
      В этой связи указанные проблемы требуют концептуального решения и пересмотра существующей схемы взаимодействия цепочки "страховая организация – страховой агент – страхователь", возникающей в процессе оказания страховых услуг участниками страхового рынка.</w:t>
      </w:r>
    </w:p>
    <w:p>
      <w:pPr>
        <w:spacing w:after="0"/>
        <w:ind w:left="0"/>
        <w:jc w:val="both"/>
      </w:pPr>
      <w:r>
        <w:rPr>
          <w:rFonts w:ascii="Times New Roman"/>
          <w:b w:val="false"/>
          <w:i w:val="false"/>
          <w:color w:val="000000"/>
          <w:sz w:val="28"/>
        </w:rPr>
        <w:t>
      Так, одним из путей решения представляется внедрение электронных продаж страховых полисов в отношении обязательных и добровольных видов страхования (например, по обязательному страхованию гражданско-правовой ответственности владельцев транспортных средств), предусматривающее наличие учетной организации по формированию и ведению базы данных, предположительно на основе Единой базы данных по страхованию (далее – ЕСБД), доступ к которой будут иметь заинтересованные лица для проверки наличия обязательной страховой защиты автовладельцев.</w:t>
      </w:r>
    </w:p>
    <w:bookmarkStart w:name="z41" w:id="37"/>
    <w:p>
      <w:pPr>
        <w:spacing w:after="0"/>
        <w:ind w:left="0"/>
        <w:jc w:val="both"/>
      </w:pPr>
      <w:r>
        <w:rPr>
          <w:rFonts w:ascii="Times New Roman"/>
          <w:b w:val="false"/>
          <w:i w:val="false"/>
          <w:color w:val="000000"/>
          <w:sz w:val="28"/>
        </w:rPr>
        <w:t>
      3. Увеличение инвестиционных возможностей для страховых организаций.</w:t>
      </w:r>
    </w:p>
    <w:bookmarkEnd w:id="37"/>
    <w:p>
      <w:pPr>
        <w:spacing w:after="0"/>
        <w:ind w:left="0"/>
        <w:jc w:val="both"/>
      </w:pPr>
      <w:r>
        <w:rPr>
          <w:rFonts w:ascii="Times New Roman"/>
          <w:b w:val="false"/>
          <w:i w:val="false"/>
          <w:color w:val="000000"/>
          <w:sz w:val="28"/>
        </w:rPr>
        <w:t>
      Учитывая специфику страхования жизни, которая обусловлена долгосрочностью договоров страхования и, соответственно, долгосрочностью обязательств страховой организации, для страховых организаций, осуществляющих деятельность в отрасли "страхование жизни", будут создаваться условия для обеспечения прибыльной инвестиционной деятельности в целях покрытия ими уровня инфляции и обеспечения платежеспособности по принятым обязательствам.</w:t>
      </w:r>
    </w:p>
    <w:p>
      <w:pPr>
        <w:spacing w:after="0"/>
        <w:ind w:left="0"/>
        <w:jc w:val="both"/>
      </w:pPr>
      <w:r>
        <w:rPr>
          <w:rFonts w:ascii="Times New Roman"/>
          <w:b w:val="false"/>
          <w:i w:val="false"/>
          <w:color w:val="000000"/>
          <w:sz w:val="28"/>
        </w:rPr>
        <w:t>
      Компании по страхованию жизни, являясь долгосрочными институциональными инвесторами, могут стать одними из наиболее активных игроков фондового рынка, при этом инвестиционная стратегия компаний по страхованию жизни должна быть рассчитана на долгосрочный инвестиционный период, что позволит обеспечить сопоставимую дюрацию инвестиционного портфеля в зависимости от сроков принятых обязательств.</w:t>
      </w:r>
    </w:p>
    <w:p>
      <w:pPr>
        <w:spacing w:after="0"/>
        <w:ind w:left="0"/>
        <w:jc w:val="both"/>
      </w:pPr>
      <w:r>
        <w:rPr>
          <w:rFonts w:ascii="Times New Roman"/>
          <w:b w:val="false"/>
          <w:i w:val="false"/>
          <w:color w:val="000000"/>
          <w:sz w:val="28"/>
        </w:rPr>
        <w:t xml:space="preserve">
      В данном случае необходимо пересмотреть регулирование деятельности компаний по страхованию жизни в части управления инвестиционным портфелем, обеспечение в долгосрочном периоде доходности страховых организаций в целях минимизации риска непокрытия обязательств. В целях расширения инвестиционных возможностей компаний по страхованию жизни будет рассмотрен вопрос либерализации требований к инвестированию активов в долгосрочные финансовые инструменты при сохранении требований по иммунизации портфелей. </w:t>
      </w:r>
    </w:p>
    <w:bookmarkStart w:name="z42" w:id="38"/>
    <w:p>
      <w:pPr>
        <w:spacing w:after="0"/>
        <w:ind w:left="0"/>
        <w:jc w:val="both"/>
      </w:pPr>
      <w:r>
        <w:rPr>
          <w:rFonts w:ascii="Times New Roman"/>
          <w:b w:val="false"/>
          <w:i w:val="false"/>
          <w:color w:val="000000"/>
          <w:sz w:val="28"/>
        </w:rPr>
        <w:t>
      4. Унификация условий обязательного страхования в рамках ЕЭП.</w:t>
      </w:r>
    </w:p>
    <w:bookmarkEnd w:id="38"/>
    <w:p>
      <w:pPr>
        <w:spacing w:after="0"/>
        <w:ind w:left="0"/>
        <w:jc w:val="both"/>
      </w:pPr>
      <w:r>
        <w:rPr>
          <w:rFonts w:ascii="Times New Roman"/>
          <w:b w:val="false"/>
          <w:i w:val="false"/>
          <w:color w:val="000000"/>
          <w:sz w:val="28"/>
        </w:rPr>
        <w:t>
      В рамках ЕЭП необходимо проведение работы по поэтапной унификации видов и требований к осуществлению обязательного страхования (страховые тарифы, размеры ответственности, условия договоров). В первую очередь, следует выровнять страховые тарифы по обязательному страхованию гражданско-правовой ответственности владельцев транспортных средств как наиболее массовому и востребованному виду обязательного страхования (поэтапно для временно въезжающих, а затем и для всех владельцев транспортных средств).</w:t>
      </w:r>
    </w:p>
    <w:p>
      <w:pPr>
        <w:spacing w:after="0"/>
        <w:ind w:left="0"/>
        <w:jc w:val="both"/>
      </w:pPr>
      <w:r>
        <w:rPr>
          <w:rFonts w:ascii="Times New Roman"/>
          <w:b w:val="false"/>
          <w:i w:val="false"/>
          <w:color w:val="000000"/>
          <w:sz w:val="28"/>
        </w:rPr>
        <w:t>
      Повышение эффективности рынка ценных бумаг.</w:t>
      </w:r>
    </w:p>
    <w:bookmarkStart w:name="z43" w:id="39"/>
    <w:p>
      <w:pPr>
        <w:spacing w:after="0"/>
        <w:ind w:left="0"/>
        <w:jc w:val="both"/>
      </w:pPr>
      <w:r>
        <w:rPr>
          <w:rFonts w:ascii="Times New Roman"/>
          <w:b w:val="false"/>
          <w:i w:val="false"/>
          <w:color w:val="000000"/>
          <w:sz w:val="28"/>
        </w:rPr>
        <w:t>
      1. Повышение и стимулирование спроса на рынке ценных бумаг в целях обеспечения альтернативных банковским займам источников привлечения эмитентами средств финансирования за счет размещения ценных бумаг на фондовой бирже.</w:t>
      </w:r>
    </w:p>
    <w:bookmarkEnd w:id="39"/>
    <w:p>
      <w:pPr>
        <w:spacing w:after="0"/>
        <w:ind w:left="0"/>
        <w:jc w:val="both"/>
      </w:pPr>
      <w:r>
        <w:rPr>
          <w:rFonts w:ascii="Times New Roman"/>
          <w:b w:val="false"/>
          <w:i w:val="false"/>
          <w:color w:val="000000"/>
          <w:sz w:val="28"/>
        </w:rPr>
        <w:t xml:space="preserve">
      Национальный Банк Республики Казахстан совместно с Министерством финансов Республики Казахстан продолжит проведение работы по развитию рынка государственных ценных бумаг путем построения адекватной кривой доходности, являющейся индикатором безрисковой ставки участникам рынка. В рамках проводимой работы по построению кривой будут разработана система первичных дилеров и института маркет-мейкеров, обновлена система управления государственным долгом, расширена инвесторская база. </w:t>
      </w:r>
    </w:p>
    <w:p>
      <w:pPr>
        <w:spacing w:after="0"/>
        <w:ind w:left="0"/>
        <w:jc w:val="both"/>
      </w:pPr>
      <w:r>
        <w:rPr>
          <w:rFonts w:ascii="Times New Roman"/>
          <w:b w:val="false"/>
          <w:i w:val="false"/>
          <w:color w:val="000000"/>
          <w:sz w:val="28"/>
        </w:rPr>
        <w:t>
      Повышению спроса и совершенствованию потенциальной ликвидности государственных ценных бумаг способствуют меры по дефрагментации рынка, предполагающие увеличение (укрупнение) объема путем повторного размещения государственных ценных бумаг существующего выпуска. В совокупности данные меры могут способствовать построению структурированного рынка по видам инструментов и созданию эталонных показателей на рынке как по срокам, так и по ценам, способствуя появлению стандартных инструментов и повышению ликвидности на данном сегменте рынка.</w:t>
      </w:r>
    </w:p>
    <w:p>
      <w:pPr>
        <w:spacing w:after="0"/>
        <w:ind w:left="0"/>
        <w:jc w:val="both"/>
      </w:pPr>
      <w:r>
        <w:rPr>
          <w:rFonts w:ascii="Times New Roman"/>
          <w:b w:val="false"/>
          <w:i w:val="false"/>
          <w:color w:val="000000"/>
          <w:sz w:val="28"/>
        </w:rPr>
        <w:t xml:space="preserve">
      В отношении негосударственных ценных бумаг вследствие низкой ликвидности отечественного рынка ценных бумаг, в том числе рынка акций, входящих в представительский индекс Казахстанской фондовой биржи, инвесторам достаточно сложно в случае необходимости приобрести либо реализовать ценные бумаги. Для этого приходится совершать операции по купле-продаже ценных бумаг с премией либо дисконтом. Маркет-мейкеры, функцией которых является поддержание спроса и предложения по ценным бумагам, зачастую предлагают невыгодные условия для совершения сделок ввиду ограниченности их средств. В этой связи объемы торгов с ценными бумагами на фондовой бирже являются небольшими. </w:t>
      </w:r>
    </w:p>
    <w:p>
      <w:pPr>
        <w:spacing w:after="0"/>
        <w:ind w:left="0"/>
        <w:jc w:val="both"/>
      </w:pPr>
      <w:r>
        <w:rPr>
          <w:rFonts w:ascii="Times New Roman"/>
          <w:b w:val="false"/>
          <w:i w:val="false"/>
          <w:color w:val="000000"/>
          <w:sz w:val="28"/>
        </w:rPr>
        <w:t>
      В целях повышения спроса необходимо, в первую очередь, нарастить базу доступных на рынке финансовых инструментов, привлекательных для всех категорий инвесторов, а также стимулировать повышение объемов торгов и ликвидности ценных бумаг, в особенности акций, входящих в представительский список фондовой биржи, в том числе посредством совершенствования института маркет-мейкеров и обеспечения инвесторам – физическим лицам возможности реализовать приобретенные ранее ценные бумаги.</w:t>
      </w:r>
    </w:p>
    <w:p>
      <w:pPr>
        <w:spacing w:after="0"/>
        <w:ind w:left="0"/>
        <w:jc w:val="both"/>
      </w:pPr>
      <w:r>
        <w:rPr>
          <w:rFonts w:ascii="Times New Roman"/>
          <w:b w:val="false"/>
          <w:i w:val="false"/>
          <w:color w:val="000000"/>
          <w:sz w:val="28"/>
        </w:rPr>
        <w:t>
      Кроме того, также следует принять меры по увеличению инвесторской базы, состоящей как из частных, так и институциональных инвесторов. Увеличению количества частных инвесторов будет способствовать реализация мероприятий по повышению финансовой грамотности и инвестиционной культуры населения, а также повышение степени их вовлеченности в коллективные формы инвестиций. Для этого в отношении инвестиционных фондов рискового инвестирования, предназначенных для осуществления инвестиций в венчурные и другие проекты, будут либерализованы регуляторные требования, что расширит их инвестиционные горизонты, и предоставит им возможность повысить свою доходность.</w:t>
      </w:r>
    </w:p>
    <w:p>
      <w:pPr>
        <w:spacing w:after="0"/>
        <w:ind w:left="0"/>
        <w:jc w:val="both"/>
      </w:pPr>
      <w:r>
        <w:rPr>
          <w:rFonts w:ascii="Times New Roman"/>
          <w:b w:val="false"/>
          <w:i w:val="false"/>
          <w:color w:val="000000"/>
          <w:sz w:val="28"/>
        </w:rPr>
        <w:t>
      Будет рассмотрен вопрос расширения инвестиционных возможностей банков на организованном рынке ценных бумаг, что, при условии роста ликвидности и глубины рынка, также позволит банкам более эффективно управлять ликвидностью.</w:t>
      </w:r>
    </w:p>
    <w:p>
      <w:pPr>
        <w:spacing w:after="0"/>
        <w:ind w:left="0"/>
        <w:jc w:val="both"/>
      </w:pPr>
      <w:r>
        <w:rPr>
          <w:rFonts w:ascii="Times New Roman"/>
          <w:b w:val="false"/>
          <w:i w:val="false"/>
          <w:color w:val="000000"/>
          <w:sz w:val="28"/>
        </w:rPr>
        <w:t>
      Помимо этого, увеличение инвесторской базы может быть осуществлено за счет привлечения иностранных инвесторов на местный рынок ценных бумаг. Для этого необходимо обеспечить вывод на рынок ценных бумаг инструментов, интересных с точки зрения инвестирования для иностранных инвесторов.</w:t>
      </w:r>
    </w:p>
    <w:p>
      <w:pPr>
        <w:spacing w:after="0"/>
        <w:ind w:left="0"/>
        <w:jc w:val="both"/>
      </w:pPr>
      <w:r>
        <w:rPr>
          <w:rFonts w:ascii="Times New Roman"/>
          <w:b w:val="false"/>
          <w:i w:val="false"/>
          <w:color w:val="000000"/>
          <w:sz w:val="28"/>
        </w:rPr>
        <w:t>
      Данные меры наряду с формированием системы компенсации убытков инвесторам, повышения инвестиционной культуры и финансовой грамотности населения Республики Казахстан позволят повысить и стимулировать спрос на рынке ценных бумаг.</w:t>
      </w:r>
    </w:p>
    <w:bookmarkStart w:name="z44" w:id="40"/>
    <w:p>
      <w:pPr>
        <w:spacing w:after="0"/>
        <w:ind w:left="0"/>
        <w:jc w:val="both"/>
      </w:pPr>
      <w:r>
        <w:rPr>
          <w:rFonts w:ascii="Times New Roman"/>
          <w:b w:val="false"/>
          <w:i w:val="false"/>
          <w:color w:val="000000"/>
          <w:sz w:val="28"/>
        </w:rPr>
        <w:t>
      2. Совершенствование механизма функционирования института квалифицированных инвесторов.</w:t>
      </w:r>
    </w:p>
    <w:bookmarkEnd w:id="40"/>
    <w:p>
      <w:pPr>
        <w:spacing w:after="0"/>
        <w:ind w:left="0"/>
        <w:jc w:val="both"/>
      </w:pPr>
      <w:r>
        <w:rPr>
          <w:rFonts w:ascii="Times New Roman"/>
          <w:b w:val="false"/>
          <w:i w:val="false"/>
          <w:color w:val="000000"/>
          <w:sz w:val="28"/>
        </w:rPr>
        <w:t>
      Действующий механизм защиты прав инвесторов не разделяет инвесторов по принципу квалификации. Соответственно, ограничения, установленные для профессиональных участников рынка ценных бумаг в части минимизации рисков инвесторов, распространяются как в отношении операций с активами клиентов, не обладающих опытом и знаниями в отношении инвестиционных операций, так и на операции квалифицированных инвесторов.</w:t>
      </w:r>
    </w:p>
    <w:p>
      <w:pPr>
        <w:spacing w:after="0"/>
        <w:ind w:left="0"/>
        <w:jc w:val="both"/>
      </w:pPr>
      <w:r>
        <w:rPr>
          <w:rFonts w:ascii="Times New Roman"/>
          <w:b w:val="false"/>
          <w:i w:val="false"/>
          <w:color w:val="000000"/>
          <w:sz w:val="28"/>
        </w:rPr>
        <w:t>
      В свою очередь, квалифицированные инвесторы обладают необходимыми знаниями в области инвестирования и с финансовой точки зрения способны взять на себя риск убытка. Соответственно, в целях активизации данного класса инвестора на рынке ценных бумаг необходимо максимально сократить имеющиеся регуляторные ограничения при совершении сделок с их активами.</w:t>
      </w:r>
    </w:p>
    <w:p>
      <w:pPr>
        <w:spacing w:after="0"/>
        <w:ind w:left="0"/>
        <w:jc w:val="both"/>
      </w:pPr>
      <w:r>
        <w:rPr>
          <w:rFonts w:ascii="Times New Roman"/>
          <w:b w:val="false"/>
          <w:i w:val="false"/>
          <w:color w:val="000000"/>
          <w:sz w:val="28"/>
        </w:rPr>
        <w:t>
      Механизм защиты прав инвесторов должен быть направлен на повышение доверия со стороны "неквалифицированных" инвесторов.</w:t>
      </w:r>
    </w:p>
    <w:p>
      <w:pPr>
        <w:spacing w:after="0"/>
        <w:ind w:left="0"/>
        <w:jc w:val="both"/>
      </w:pPr>
      <w:r>
        <w:rPr>
          <w:rFonts w:ascii="Times New Roman"/>
          <w:b w:val="false"/>
          <w:i w:val="false"/>
          <w:color w:val="000000"/>
          <w:sz w:val="28"/>
        </w:rPr>
        <w:t xml:space="preserve">
      В Республике Казахстан разделение инвесторов на классы в зависимости от их квалификации не предполагает различий в степени их защищенности, как это предусматривается в международной практике. Например, директива 2004/39/CE (Markets in Financial Instruments Directive), распространяющаяся на все учреждения, предоставляющие инвестиционные услуги клиентам в Европейском Союзе, устанавливает требование по внедрению указанными учреждениями мер по защите интересов инвесторов в зависимости от их квалификации. Клиенты, которым присвоен статус "неквалифицированного" клиента, получают наибольшую степень защиты. Такие лица могут получить компенсацию за убытки, возникшие в результате неисполненной инвестиционной услуги или безвозвратной утраты финансовых инструментов, не связанной с уменьшением стоимости финансового инструмента вследствие рыночных колебаний. Инвестиционная компания обязана обеспечить указанному классу клиентов все мероприятия по защите интересов инвесторов. </w:t>
      </w:r>
    </w:p>
    <w:p>
      <w:pPr>
        <w:spacing w:after="0"/>
        <w:ind w:left="0"/>
        <w:jc w:val="both"/>
      </w:pPr>
      <w:r>
        <w:rPr>
          <w:rFonts w:ascii="Times New Roman"/>
          <w:b w:val="false"/>
          <w:i w:val="false"/>
          <w:color w:val="000000"/>
          <w:sz w:val="28"/>
        </w:rPr>
        <w:t>
      В этой связи, в целях активизации операций по сделкам с активами квалифицированных инвесторов необходимо пересмотреть ограничения в деятельности брокерских организаций в части выполнения принципа "поставка против платежа", использования услуг банка-кастодиана при совершении сделок на международных рынках и ограничений на совершение сделок на неорганизованном рынке ценных бумаг, а также пруденциального регулирования.</w:t>
      </w:r>
    </w:p>
    <w:bookmarkStart w:name="z45" w:id="41"/>
    <w:p>
      <w:pPr>
        <w:spacing w:after="0"/>
        <w:ind w:left="0"/>
        <w:jc w:val="both"/>
      </w:pPr>
      <w:r>
        <w:rPr>
          <w:rFonts w:ascii="Times New Roman"/>
          <w:b w:val="false"/>
          <w:i w:val="false"/>
          <w:color w:val="000000"/>
          <w:sz w:val="28"/>
        </w:rPr>
        <w:t>
      3. Создание условий для развития инвестиционного банкинга.</w:t>
      </w:r>
    </w:p>
    <w:bookmarkEnd w:id="41"/>
    <w:p>
      <w:pPr>
        <w:spacing w:after="0"/>
        <w:ind w:left="0"/>
        <w:jc w:val="both"/>
      </w:pPr>
      <w:r>
        <w:rPr>
          <w:rFonts w:ascii="Times New Roman"/>
          <w:b w:val="false"/>
          <w:i w:val="false"/>
          <w:color w:val="000000"/>
          <w:sz w:val="28"/>
        </w:rPr>
        <w:t>
      В целях дальнейшего развития инфраструктуры рынка ценных бумаг и повышения качества предоставляемых услуг будет поэтапно создаваться институт инвестиционного банкинга.</w:t>
      </w:r>
    </w:p>
    <w:p>
      <w:pPr>
        <w:spacing w:after="0"/>
        <w:ind w:left="0"/>
        <w:jc w:val="both"/>
      </w:pPr>
      <w:r>
        <w:rPr>
          <w:rFonts w:ascii="Times New Roman"/>
          <w:b w:val="false"/>
          <w:i w:val="false"/>
          <w:color w:val="000000"/>
          <w:sz w:val="28"/>
        </w:rPr>
        <w:t>
      Инвестиционный банкинг будет осуществляться финансовыми институтами, оказывающими широкий спектр услуг своим клиентам, включая брокерские услуги, доверительное управление ценными бумагами и иным имуществом, кредитование клиентов для покупки ценных бумаг либо ценными бумагами, финансовое консультирование и кастодиальные услуги, выпуск структурных продуктов, а также отдельные виды банковских операций.</w:t>
      </w:r>
    </w:p>
    <w:p>
      <w:pPr>
        <w:spacing w:after="0"/>
        <w:ind w:left="0"/>
        <w:jc w:val="both"/>
      </w:pPr>
      <w:r>
        <w:rPr>
          <w:rFonts w:ascii="Times New Roman"/>
          <w:b w:val="false"/>
          <w:i w:val="false"/>
          <w:color w:val="000000"/>
          <w:sz w:val="28"/>
        </w:rPr>
        <w:t>
      Реализация концепции инвестиционного банкинга может способствовать снижению рисков коммерческих банков, связанных с использованием рисковых инструментов проектного финансирования. Это обеспечит более высокий уровень проникновения финансовых услуг, а также представит альтернативный инструмент для преувеличения сбережений населения.</w:t>
      </w:r>
    </w:p>
    <w:bookmarkStart w:name="z46" w:id="42"/>
    <w:p>
      <w:pPr>
        <w:spacing w:after="0"/>
        <w:ind w:left="0"/>
        <w:jc w:val="both"/>
      </w:pPr>
      <w:r>
        <w:rPr>
          <w:rFonts w:ascii="Times New Roman"/>
          <w:b w:val="false"/>
          <w:i w:val="false"/>
          <w:color w:val="000000"/>
          <w:sz w:val="28"/>
        </w:rPr>
        <w:t>
      4. Расширение функционала и возможностей брокерских организаций в части оказания услуг клиентам.</w:t>
      </w:r>
    </w:p>
    <w:bookmarkEnd w:id="42"/>
    <w:p>
      <w:pPr>
        <w:spacing w:after="0"/>
        <w:ind w:left="0"/>
        <w:jc w:val="both"/>
      </w:pPr>
      <w:r>
        <w:rPr>
          <w:rFonts w:ascii="Times New Roman"/>
          <w:b w:val="false"/>
          <w:i w:val="false"/>
          <w:color w:val="000000"/>
          <w:sz w:val="28"/>
        </w:rPr>
        <w:t>
      Требуют внедрения широко распространенная в мире практика кредитования брокерами операций своих клиентов, а также механизм использования брокером временно свободных средств своих клиентов в дилерской деятельности. Такие механизмы позволяют клиентам брокерской организации использовать неттинг в сделках с ценными бумагами по системе расчетов "T+n", получить доступ к более доступному фондированию для приобретения ценных бумаг, не прибегая к банковскому кредитованию, а брокерским организациям иметь более гибкие инструменты для обеспечения ликвидности в процессе торгов с ценными бумагами.</w:t>
      </w:r>
    </w:p>
    <w:p>
      <w:pPr>
        <w:spacing w:after="0"/>
        <w:ind w:left="0"/>
        <w:jc w:val="both"/>
      </w:pPr>
      <w:r>
        <w:rPr>
          <w:rFonts w:ascii="Times New Roman"/>
          <w:b w:val="false"/>
          <w:i w:val="false"/>
          <w:color w:val="000000"/>
          <w:sz w:val="28"/>
        </w:rPr>
        <w:t>
      Данная задача может быть реализована посредством предоставления брокерским организациям возможности получения лицензии на проведение отдельных видов банковских операций, а именно банковских заемных операций, что потребует рассмотрения вопроса о необходимости совершенствования законодательства о рынке ценных бумаг и банковского законодательства ориентировочно в 2016 – 2020 годах. При этом риски можно будет минимизировать за счет ограничения возможности осуществления брокерскими организациями заемных операций исключительно кредитованием клиентов для целей приобретения ценных бумаг.</w:t>
      </w:r>
    </w:p>
    <w:p>
      <w:pPr>
        <w:spacing w:after="0"/>
        <w:ind w:left="0"/>
        <w:jc w:val="both"/>
      </w:pPr>
      <w:r>
        <w:rPr>
          <w:rFonts w:ascii="Times New Roman"/>
          <w:b w:val="false"/>
          <w:i w:val="false"/>
          <w:color w:val="000000"/>
          <w:sz w:val="28"/>
        </w:rPr>
        <w:t>
      Помимо этого, в целях оптимизации издержек инвесторов и повышения прозрачности учета денег клиентов, необходимо предусмотреть возможность брокерам самостоятельно открывать и вести текущие счета клиентов. Для этого брокерам потребуется наличие лицензии на открытие и ведение текущих счетов, что также относится к отдельным видам банковских операций.</w:t>
      </w:r>
    </w:p>
    <w:p>
      <w:pPr>
        <w:spacing w:after="0"/>
        <w:ind w:left="0"/>
        <w:jc w:val="both"/>
      </w:pPr>
      <w:r>
        <w:rPr>
          <w:rFonts w:ascii="Times New Roman"/>
          <w:b w:val="false"/>
          <w:i w:val="false"/>
          <w:color w:val="000000"/>
          <w:sz w:val="28"/>
        </w:rPr>
        <w:t>
      Наличие такого рода лицензий на проведение отдельных видов банковских операций также потребует изменения существующего подхода к регулированию брокерских организаций, обладающих данными лицензиями. В частности, потребуется пересмотреть пруденциальное регулирование таких брокерских организаций и установить его по аналогии с регулированием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В связи с тем, что управление пенсионными активами было передано из частного сектора, представленного ранее накопительными пенсионными фондами, Национальному Банку Республики Казахстан, требования к деятельности на рынке ценных бумаг должны быть в значительной степени либерализованы и упрощены. Регулирование должно в большей степени ориентироваться на возможности самих инвесторов самостоятельно оценивать рыночные риски при принятии инвестиционных решений. Принятие таких мер придаст необходимый импульс для развития рынка ценных бумаг и повысит его конкурентоспособность.</w:t>
      </w:r>
    </w:p>
    <w:p>
      <w:pPr>
        <w:spacing w:after="0"/>
        <w:ind w:left="0"/>
        <w:jc w:val="both"/>
      </w:pPr>
      <w:r>
        <w:rPr>
          <w:rFonts w:ascii="Times New Roman"/>
          <w:b w:val="false"/>
          <w:i w:val="false"/>
          <w:color w:val="000000"/>
          <w:sz w:val="28"/>
        </w:rPr>
        <w:t>
      Немаловажным является стимулирование широкого использования брокерскими организациями систем Direct Market Access (далее – DMA) для оказания своим клиентам (инвесторам) услуг прямого доступа к рынку ценных бумаг для участия в торгах с эмиссионными ценными бумагами и другими финансовыми инструментами.</w:t>
      </w:r>
    </w:p>
    <w:p>
      <w:pPr>
        <w:spacing w:after="0"/>
        <w:ind w:left="0"/>
        <w:jc w:val="both"/>
      </w:pPr>
      <w:r>
        <w:rPr>
          <w:rFonts w:ascii="Times New Roman"/>
          <w:b w:val="false"/>
          <w:i w:val="false"/>
          <w:color w:val="000000"/>
          <w:sz w:val="28"/>
        </w:rPr>
        <w:t>
      Растущее число инвесторов, в том числе участвующих в Программе "Народное IPO", требует от брокерских организаций наращивания материально-технических ресурсов для обработки клиентских заказов инвесторов, что может вызвать, в конечном счете, удорожание их услуг.</w:t>
      </w:r>
    </w:p>
    <w:p>
      <w:pPr>
        <w:spacing w:after="0"/>
        <w:ind w:left="0"/>
        <w:jc w:val="both"/>
      </w:pPr>
      <w:r>
        <w:rPr>
          <w:rFonts w:ascii="Times New Roman"/>
          <w:b w:val="false"/>
          <w:i w:val="false"/>
          <w:color w:val="000000"/>
          <w:sz w:val="28"/>
        </w:rPr>
        <w:t>
      В этой связи в отношении брокеров, обслуживающих большое количество инвесторов, требуется установить требования по использованию систем DMA, что позволит существенно сократить время доставки заявки на биржу и получения информации о ее состоянии.</w:t>
      </w:r>
    </w:p>
    <w:p>
      <w:pPr>
        <w:spacing w:after="0"/>
        <w:ind w:left="0"/>
        <w:jc w:val="both"/>
      </w:pPr>
      <w:r>
        <w:rPr>
          <w:rFonts w:ascii="Times New Roman"/>
          <w:b w:val="false"/>
          <w:i w:val="false"/>
          <w:color w:val="000000"/>
          <w:sz w:val="28"/>
        </w:rPr>
        <w:t>
      Благодаря прямому доступу на биржу инвесторы могут самостоятельно формировать свои заказы в системах DMA и передавать их обслуживающим их брокерам дистанционно. При этом брокер может применять к полученным клиентским заказам ускоренные (как правило, автоматические) процедуры регистрации, проверки, верификации, учета, исполнения этих заказов и формирования в торговой системе фондовой биржи заявок на основе данных заказов. Также прямой доступ позволяет клиентам брокеров с минимальной задержкой получать рыночную информацию из торговой системы фондовой биржи, в электронном виде формировать свои клиентские заказы, передавать их брокеру на исполнение без необходимости посещения его офиса, а также практически в реальном времени видеть свою заявку в торговой системе фондовой биржи.</w:t>
      </w:r>
    </w:p>
    <w:p>
      <w:pPr>
        <w:spacing w:after="0"/>
        <w:ind w:left="0"/>
        <w:jc w:val="both"/>
      </w:pPr>
      <w:r>
        <w:rPr>
          <w:rFonts w:ascii="Times New Roman"/>
          <w:b w:val="false"/>
          <w:i w:val="false"/>
          <w:color w:val="000000"/>
          <w:sz w:val="28"/>
        </w:rPr>
        <w:t>
      Реализация данной задачи потребует рассмотрения вопроса установления в отношении брокерских организаций, обслуживающих большое число индивидуальных инвесторов, требований относительно оказания услуг прямого доступа с использованием систем DMA, а также совершенствования действующих требований к программно-техническому обеспечению брокерских организаций.</w:t>
      </w:r>
    </w:p>
    <w:bookmarkStart w:name="z47" w:id="43"/>
    <w:p>
      <w:pPr>
        <w:spacing w:after="0"/>
        <w:ind w:left="0"/>
        <w:jc w:val="both"/>
      </w:pPr>
      <w:r>
        <w:rPr>
          <w:rFonts w:ascii="Times New Roman"/>
          <w:b w:val="false"/>
          <w:i w:val="false"/>
          <w:color w:val="000000"/>
          <w:sz w:val="28"/>
        </w:rPr>
        <w:t>
      5. Расширение перечня услуг, предлагаемых организатором торгов.</w:t>
      </w:r>
    </w:p>
    <w:bookmarkEnd w:id="43"/>
    <w:p>
      <w:pPr>
        <w:spacing w:after="0"/>
        <w:ind w:left="0"/>
        <w:jc w:val="both"/>
      </w:pPr>
      <w:r>
        <w:rPr>
          <w:rFonts w:ascii="Times New Roman"/>
          <w:b w:val="false"/>
          <w:i w:val="false"/>
          <w:color w:val="000000"/>
          <w:sz w:val="28"/>
        </w:rPr>
        <w:t>
      Фондовой биржей будет продолжена реализация стратегических проектов, направленных на повышение гибкости реагирования биржи на потребности рынка, а также увеличение активности клиентов членов фондовой биржи, путем:</w:t>
      </w:r>
    </w:p>
    <w:p>
      <w:pPr>
        <w:spacing w:after="0"/>
        <w:ind w:left="0"/>
        <w:jc w:val="both"/>
      </w:pPr>
      <w:r>
        <w:rPr>
          <w:rFonts w:ascii="Times New Roman"/>
          <w:b w:val="false"/>
          <w:i w:val="false"/>
          <w:color w:val="000000"/>
          <w:sz w:val="28"/>
        </w:rPr>
        <w:t>
      1) дальнейшего развития пользовательских сервисов, новых программных продуктов, предоставляющих казахстанским и иностранным инвесторам дополнительные технологические возможности торговли на фондовой бирже через Интернет;</w:t>
      </w:r>
    </w:p>
    <w:p>
      <w:pPr>
        <w:spacing w:after="0"/>
        <w:ind w:left="0"/>
        <w:jc w:val="both"/>
      </w:pPr>
      <w:r>
        <w:rPr>
          <w:rFonts w:ascii="Times New Roman"/>
          <w:b w:val="false"/>
          <w:i w:val="false"/>
          <w:color w:val="000000"/>
          <w:sz w:val="28"/>
        </w:rPr>
        <w:t>
      2) развития удаленного членства на Казахстанской фондовой бирже, посредством которого юридические лица, учрежденные и действующие в соответствии с законодательствами иных кроме Республики Казахстан государств, могут получить членство на фондовой бирже с соответствующим доступом к торгам теми или иными финансовыми инструментами при условии соответствия таких лиц требованиям законодательства Республики Казахстан и внутренних документов фондовой биржи;</w:t>
      </w:r>
    </w:p>
    <w:p>
      <w:pPr>
        <w:spacing w:after="0"/>
        <w:ind w:left="0"/>
        <w:jc w:val="both"/>
      </w:pPr>
      <w:r>
        <w:rPr>
          <w:rFonts w:ascii="Times New Roman"/>
          <w:b w:val="false"/>
          <w:i w:val="false"/>
          <w:color w:val="000000"/>
          <w:sz w:val="28"/>
        </w:rPr>
        <w:t>
      3) повышения возможностей брокерских компаний и инвесторов для прямого доступа к секторам фондового рынка и рынку производных финансовых инструментов фондовой биржи, а также создания прямого доступа к валютному рынку биржи;</w:t>
      </w:r>
    </w:p>
    <w:p>
      <w:pPr>
        <w:spacing w:after="0"/>
        <w:ind w:left="0"/>
        <w:jc w:val="both"/>
      </w:pPr>
      <w:r>
        <w:rPr>
          <w:rFonts w:ascii="Times New Roman"/>
          <w:b w:val="false"/>
          <w:i w:val="false"/>
          <w:color w:val="000000"/>
          <w:sz w:val="28"/>
        </w:rPr>
        <w:t>
      4) введения системы отложенных платежей на фондовом рынке с частичным обеспечением, клирингом и надлежащей системой управления рисками;</w:t>
      </w:r>
    </w:p>
    <w:p>
      <w:pPr>
        <w:spacing w:after="0"/>
        <w:ind w:left="0"/>
        <w:jc w:val="both"/>
      </w:pPr>
      <w:r>
        <w:rPr>
          <w:rFonts w:ascii="Times New Roman"/>
          <w:b w:val="false"/>
          <w:i w:val="false"/>
          <w:color w:val="000000"/>
          <w:sz w:val="28"/>
        </w:rPr>
        <w:t>
      5) внедрения на бирже клиринговой и расчетной систем, соответствующих международным стандартам, в целях повышения операционной эффективности, уменьшения количества/объемов расчетных переводов, расходов на фондовой бирже, минимизации рисков и защиты от дефолтов участников рынка, в том числе с применением услуг центрального контрагента.</w:t>
      </w:r>
    </w:p>
    <w:bookmarkStart w:name="z48" w:id="44"/>
    <w:p>
      <w:pPr>
        <w:spacing w:after="0"/>
        <w:ind w:left="0"/>
        <w:jc w:val="both"/>
      </w:pPr>
      <w:r>
        <w:rPr>
          <w:rFonts w:ascii="Times New Roman"/>
          <w:b w:val="false"/>
          <w:i w:val="false"/>
          <w:color w:val="000000"/>
          <w:sz w:val="28"/>
        </w:rPr>
        <w:t>
      6. Формирование единого биржевого пространства в странах ЕЭП, кросс-трейдинг и кросс-листинг акции отечественных эмитентов, допущенных в листинг казахстанской фондовой биржи.</w:t>
      </w:r>
    </w:p>
    <w:bookmarkEnd w:id="44"/>
    <w:p>
      <w:pPr>
        <w:spacing w:after="0"/>
        <w:ind w:left="0"/>
        <w:jc w:val="both"/>
      </w:pPr>
      <w:r>
        <w:rPr>
          <w:rFonts w:ascii="Times New Roman"/>
          <w:b w:val="false"/>
          <w:i w:val="false"/>
          <w:color w:val="000000"/>
          <w:sz w:val="28"/>
        </w:rPr>
        <w:t>
      Формирование единого биржевого пространства в странах-участницах ЕЭП должно осуществляться на принципах свободного движения капитала, что подразумевает:</w:t>
      </w:r>
    </w:p>
    <w:p>
      <w:pPr>
        <w:spacing w:after="0"/>
        <w:ind w:left="0"/>
        <w:jc w:val="both"/>
      </w:pPr>
      <w:r>
        <w:rPr>
          <w:rFonts w:ascii="Times New Roman"/>
          <w:b w:val="false"/>
          <w:i w:val="false"/>
          <w:color w:val="000000"/>
          <w:sz w:val="28"/>
        </w:rPr>
        <w:t>
      1) предоставление инвесторам-гражданам стран-участниц ЕЭП возможности осуществлять операции с ценными бумагами эмитентов стран-участниц ЕЭП, независимо от того, в списке какой из фондовых бирж находятся данные ценные бумаги, или страны нахождения инвестора, будь то Российская Федерация, Республика Казахстан или Республика Беларусь;</w:t>
      </w:r>
    </w:p>
    <w:p>
      <w:pPr>
        <w:spacing w:after="0"/>
        <w:ind w:left="0"/>
        <w:jc w:val="both"/>
      </w:pPr>
      <w:r>
        <w:rPr>
          <w:rFonts w:ascii="Times New Roman"/>
          <w:b w:val="false"/>
          <w:i w:val="false"/>
          <w:color w:val="000000"/>
          <w:sz w:val="28"/>
        </w:rPr>
        <w:t>
      2) предоставление возможности юридическим лицам, зарегистрированным в странах-участницах ЕЭП, возможности инвестировать либо владеть другими юридическими лицами, находящимися в странах-участницах ЕЭП, вне зависимости от страны регистрации данных юридических лиц.</w:t>
      </w:r>
    </w:p>
    <w:p>
      <w:pPr>
        <w:spacing w:after="0"/>
        <w:ind w:left="0"/>
        <w:jc w:val="both"/>
      </w:pPr>
      <w:r>
        <w:rPr>
          <w:rFonts w:ascii="Times New Roman"/>
          <w:b w:val="false"/>
          <w:i w:val="false"/>
          <w:color w:val="000000"/>
          <w:sz w:val="28"/>
        </w:rPr>
        <w:t>
      Реализация данного принципа должна осуществляться посредством взаимного признания и допуска брокерских организаций на рынки ценных бумаг стран-участниц ЕЭП (кросс-трейдинг).</w:t>
      </w:r>
    </w:p>
    <w:p>
      <w:pPr>
        <w:spacing w:after="0"/>
        <w:ind w:left="0"/>
        <w:jc w:val="both"/>
      </w:pPr>
      <w:r>
        <w:rPr>
          <w:rFonts w:ascii="Times New Roman"/>
          <w:b w:val="false"/>
          <w:i w:val="false"/>
          <w:color w:val="000000"/>
          <w:sz w:val="28"/>
        </w:rPr>
        <w:t>
      Это позволит инвесторам, резидентам стран-участниц ЕЭП осуществлять операции с ценными бумагами эмитентов стран-участниц ЕЭП, используя услуги местных брокерских организаций, не обращаясь к брокерским организациям страны-участницы ЕЭП, в юрисдикции которой осуществляются торги с данными ценными бумагами.</w:t>
      </w:r>
    </w:p>
    <w:p>
      <w:pPr>
        <w:spacing w:after="0"/>
        <w:ind w:left="0"/>
        <w:jc w:val="both"/>
      </w:pPr>
      <w:r>
        <w:rPr>
          <w:rFonts w:ascii="Times New Roman"/>
          <w:b w:val="false"/>
          <w:i w:val="false"/>
          <w:color w:val="000000"/>
          <w:sz w:val="28"/>
        </w:rPr>
        <w:t xml:space="preserve">
      В тоже время существует возможность кросс-листинга акций эмитентов-резидентов Республики Казахстан на нескольких фондовых биржах, то есть котирования акций одновременно на нескольких фондовых биржах на основании взаимных договоренностей между данными фондовыми биржами, либо в силу законодательства (международного договора), не связанных с действиями эмитента по прохождению процедуры листинга. В результате кросс-листинга акций основной объем операций со стороны иностранных инвесторов может совершаться на фондовых биржах, находящихся в иностранных юрисдикциях, что приведет к вымыванию ликвидности из отечественной фондовой биржи. </w:t>
      </w:r>
    </w:p>
    <w:p>
      <w:pPr>
        <w:spacing w:after="0"/>
        <w:ind w:left="0"/>
        <w:jc w:val="both"/>
      </w:pPr>
      <w:r>
        <w:rPr>
          <w:rFonts w:ascii="Times New Roman"/>
          <w:b w:val="false"/>
          <w:i w:val="false"/>
          <w:color w:val="000000"/>
          <w:sz w:val="28"/>
        </w:rPr>
        <w:t>
      Таким образом, формирование единого биржевого пространства в странах ЕЭП должно осуществляться посредством развития кросс-трейдинга, а не кросс-листинга акций.</w:t>
      </w:r>
    </w:p>
    <w:p>
      <w:pPr>
        <w:spacing w:after="0"/>
        <w:ind w:left="0"/>
        <w:jc w:val="both"/>
      </w:pPr>
      <w:r>
        <w:rPr>
          <w:rFonts w:ascii="Times New Roman"/>
          <w:b w:val="false"/>
          <w:i w:val="false"/>
          <w:color w:val="000000"/>
          <w:sz w:val="28"/>
        </w:rPr>
        <w:t>
      В данном случае листинг акций эмитентов-резидентов Республики Казахстан на иностранных фондовых биржах должен осуществляться посредством прохождения ими процедур двойного листинга на данные биржи, а не на основании соглашений между данными биржами и казахстанской фондовой биржей, или в соответствии с иными нормами законодательства (международного договора).</w:t>
      </w:r>
    </w:p>
    <w:p>
      <w:pPr>
        <w:spacing w:after="0"/>
        <w:ind w:left="0"/>
        <w:jc w:val="both"/>
      </w:pPr>
      <w:r>
        <w:rPr>
          <w:rFonts w:ascii="Times New Roman"/>
          <w:b w:val="false"/>
          <w:i w:val="false"/>
          <w:color w:val="000000"/>
          <w:sz w:val="28"/>
        </w:rPr>
        <w:t xml:space="preserve">
      Кроме того, также требуется осуществление мероприятий по стимулированию преимущественного размещения ценных бумаг </w:t>
      </w:r>
    </w:p>
    <w:p>
      <w:pPr>
        <w:spacing w:after="0"/>
        <w:ind w:left="0"/>
        <w:jc w:val="both"/>
      </w:pPr>
      <w:r>
        <w:rPr>
          <w:rFonts w:ascii="Times New Roman"/>
          <w:b w:val="false"/>
          <w:i w:val="false"/>
          <w:color w:val="000000"/>
          <w:sz w:val="28"/>
        </w:rPr>
        <w:t>
      организаций-резидентов Республики Казахстан, включенных в листинг иностранных фондовых бирж, на отечественной фондовой бирже. Двойной листинг данных организаций приводит к тому, что большая часть ликвидности сосредоточена на иностранных фондовых биржах и, как следствие, изменение цен на указанные акции на Лондонской фондовой бирже влияет на их тренд на Казахстанской фондовой бирже.</w:t>
      </w:r>
    </w:p>
    <w:p>
      <w:pPr>
        <w:spacing w:after="0"/>
        <w:ind w:left="0"/>
        <w:jc w:val="both"/>
      </w:pPr>
      <w:r>
        <w:rPr>
          <w:rFonts w:ascii="Times New Roman"/>
          <w:b w:val="false"/>
          <w:i w:val="false"/>
          <w:color w:val="000000"/>
          <w:sz w:val="28"/>
        </w:rPr>
        <w:t xml:space="preserve">
      Реализация данной задачи потребует создания благоприятных условий для преимущественного обращения акций организаций-резидентов Республики Казахстан на Казахстанской фондовой бирже. </w:t>
      </w:r>
    </w:p>
    <w:bookmarkStart w:name="z49" w:id="45"/>
    <w:p>
      <w:pPr>
        <w:spacing w:after="0"/>
        <w:ind w:left="0"/>
        <w:jc w:val="left"/>
      </w:pPr>
      <w:r>
        <w:rPr>
          <w:rFonts w:ascii="Times New Roman"/>
          <w:b/>
          <w:i w:val="false"/>
          <w:color w:val="000000"/>
        </w:rPr>
        <w:t xml:space="preserve"> 4. Задача 3: совершенствование инфраструктуры и создание</w:t>
      </w:r>
      <w:r>
        <w:br/>
      </w:r>
      <w:r>
        <w:rPr>
          <w:rFonts w:ascii="Times New Roman"/>
          <w:b/>
          <w:i w:val="false"/>
          <w:color w:val="000000"/>
        </w:rPr>
        <w:t>оптимальных условий для качественного развития финансовой</w:t>
      </w:r>
      <w:r>
        <w:br/>
      </w:r>
      <w:r>
        <w:rPr>
          <w:rFonts w:ascii="Times New Roman"/>
          <w:b/>
          <w:i w:val="false"/>
          <w:color w:val="000000"/>
        </w:rPr>
        <w:t>системы</w:t>
      </w:r>
    </w:p>
    <w:bookmarkEnd w:id="45"/>
    <w:bookmarkStart w:name="z50" w:id="46"/>
    <w:p>
      <w:pPr>
        <w:spacing w:after="0"/>
        <w:ind w:left="0"/>
        <w:jc w:val="both"/>
      </w:pPr>
      <w:r>
        <w:rPr>
          <w:rFonts w:ascii="Times New Roman"/>
          <w:b w:val="false"/>
          <w:i w:val="false"/>
          <w:color w:val="000000"/>
          <w:sz w:val="28"/>
        </w:rPr>
        <w:t>
      1. Автоматизация бизнес-процессов в целях минимизации банковских рисков.</w:t>
      </w:r>
    </w:p>
    <w:bookmarkEnd w:id="46"/>
    <w:p>
      <w:pPr>
        <w:spacing w:after="0"/>
        <w:ind w:left="0"/>
        <w:jc w:val="both"/>
      </w:pPr>
      <w:r>
        <w:rPr>
          <w:rFonts w:ascii="Times New Roman"/>
          <w:b w:val="false"/>
          <w:i w:val="false"/>
          <w:color w:val="000000"/>
          <w:sz w:val="28"/>
        </w:rPr>
        <w:t xml:space="preserve">
      Недостаточное внимание, уделяемое казахстанскими финансовыми организациями вопросам эффективного построения бизнес-процессов и их автоматизации, обуславливает уязвимость их конкурентоспособности перед иностранными конкурентами. </w:t>
      </w:r>
    </w:p>
    <w:p>
      <w:pPr>
        <w:spacing w:after="0"/>
        <w:ind w:left="0"/>
        <w:jc w:val="both"/>
      </w:pPr>
      <w:r>
        <w:rPr>
          <w:rFonts w:ascii="Times New Roman"/>
          <w:b w:val="false"/>
          <w:i w:val="false"/>
          <w:color w:val="000000"/>
          <w:sz w:val="28"/>
        </w:rPr>
        <w:t xml:space="preserve">
      Согласно информации, получаемой от банков при интервьюировании в рамках проведения ежеквартального обследования "Состояние и прогноз параметров кредитного рынка", значимым преимуществом иностранных банков, функционирующих в Республике Казахстан, является наличие более качественных информационных систем, сочетающееся с более эффективной организацией системы бизнес-процессов. Этот фактор может стать существенным конкурентным преимуществом иностранных банков при осуществлении ими экспансии на казахстанский рынок. </w:t>
      </w:r>
    </w:p>
    <w:p>
      <w:pPr>
        <w:spacing w:after="0"/>
        <w:ind w:left="0"/>
        <w:jc w:val="both"/>
      </w:pPr>
      <w:r>
        <w:rPr>
          <w:rFonts w:ascii="Times New Roman"/>
          <w:b w:val="false"/>
          <w:i w:val="false"/>
          <w:color w:val="000000"/>
          <w:sz w:val="28"/>
        </w:rPr>
        <w:t>
      Таким образом, в целях повышения прозрачности и минимизации операционных рисков необходимы внедрение международных стандартов качества менеджмента и наличие внутренних ориентиров по стандартам качества. Следует повысить уровень организации бизнес-процессов финансовых организаций, который, в случае успешного внедрения, позитивно отразится на показателях эффективности финансовой организации, ее устойчивости, степени открытости, снижении затрат, а также качестве предоставляемых ею услуг.</w:t>
      </w:r>
    </w:p>
    <w:p>
      <w:pPr>
        <w:spacing w:after="0"/>
        <w:ind w:left="0"/>
        <w:jc w:val="both"/>
      </w:pPr>
      <w:r>
        <w:rPr>
          <w:rFonts w:ascii="Times New Roman"/>
          <w:b w:val="false"/>
          <w:i w:val="false"/>
          <w:color w:val="000000"/>
          <w:sz w:val="28"/>
        </w:rPr>
        <w:t>
      Кроме того, в целях получения достоверной информации о деятельности банковского сектора и использования ее для анализа и выявления рисков, присущих банковской деятельности на ранней стадии, будет продолжена работа по модернизации Кредитного регистра. Внедрение модернизированного Кредитного регистра позволит оптимизировать процессы сбора, контроля, обработки входной информации по займам и получения сводных отчетов из единого источника, минимизировать операционные риски, связанные со сбоями в программном обеспечении и человеческим фактором.</w:t>
      </w:r>
    </w:p>
    <w:bookmarkStart w:name="z51" w:id="47"/>
    <w:p>
      <w:pPr>
        <w:spacing w:after="0"/>
        <w:ind w:left="0"/>
        <w:jc w:val="both"/>
      </w:pPr>
      <w:r>
        <w:rPr>
          <w:rFonts w:ascii="Times New Roman"/>
          <w:b w:val="false"/>
          <w:i w:val="false"/>
          <w:color w:val="000000"/>
          <w:sz w:val="28"/>
        </w:rPr>
        <w:t>
      2. Развитие инфраструктуры рынка платежных услуг.</w:t>
      </w:r>
    </w:p>
    <w:bookmarkEnd w:id="47"/>
    <w:p>
      <w:pPr>
        <w:spacing w:after="0"/>
        <w:ind w:left="0"/>
        <w:jc w:val="both"/>
      </w:pPr>
      <w:r>
        <w:rPr>
          <w:rFonts w:ascii="Times New Roman"/>
          <w:b w:val="false"/>
          <w:i w:val="false"/>
          <w:color w:val="000000"/>
          <w:sz w:val="28"/>
        </w:rPr>
        <w:t>
      В целях повышения прозрачности экономической деятельности необходимо повышать долю безналичных розничных платежей путем развития соответствующей технологической инфраструктуры и создания условий для экономической эффективности данных платежей.</w:t>
      </w:r>
    </w:p>
    <w:p>
      <w:pPr>
        <w:spacing w:after="0"/>
        <w:ind w:left="0"/>
        <w:jc w:val="both"/>
      </w:pPr>
      <w:r>
        <w:rPr>
          <w:rFonts w:ascii="Times New Roman"/>
          <w:b w:val="false"/>
          <w:i w:val="false"/>
          <w:color w:val="000000"/>
          <w:sz w:val="28"/>
        </w:rPr>
        <w:t>
      Будет сохранена регулирующая и координирующая роль государства в решении задач дальнейшего совершенствования инфраструктуры платежных систем, внедрения современных платежных механизмов и инновационных решений на платежном пространстве Республики Казахстан с учетом мировой практики и международных стандартов. Будут проведены работы по поддержанию работы платежных систем для обслуживания платежей финансового сектора на высокотехнологичном уровне, ограничению системных рисков и совершенствованию платежных услуг Национального Банка Республики Казахстан. Особое внимание будет уделено развитию технологической среды и инфраструктуры для розничных платежей. Для полноценной реализации потенциала и оптимального использования механизмов электронных платежей будут поддержаны усилия банков и иных организаций, предоставляющих платежные услуги, направленные на расширение рыночного взаимодействия, автоматизацию и улучшение электронного взаимодействия с государственными органами и субъектами бизнеса в целях обеспечения эффективного и надежного предоставления различных новых услуг.</w:t>
      </w:r>
    </w:p>
    <w:p>
      <w:pPr>
        <w:spacing w:after="0"/>
        <w:ind w:left="0"/>
        <w:jc w:val="both"/>
      </w:pPr>
      <w:r>
        <w:rPr>
          <w:rFonts w:ascii="Times New Roman"/>
          <w:b w:val="false"/>
          <w:i w:val="false"/>
          <w:color w:val="000000"/>
          <w:sz w:val="28"/>
        </w:rPr>
        <w:t>
      Для обеспечения надежного и безопасного функционирования платежного рынка будут предприняты меры по совершенствованию системы государственного регулирования и наблюдения за субъектами рынка платежных услуг. Будут осуществлен поиск оптимальных решений по осуществлению надзора за небанковскими организациями, предоставляющими платежные услуги, и определены сферы оказываемых им платежных услуг.</w:t>
      </w:r>
    </w:p>
    <w:p>
      <w:pPr>
        <w:spacing w:after="0"/>
        <w:ind w:left="0"/>
        <w:jc w:val="both"/>
      </w:pPr>
      <w:r>
        <w:rPr>
          <w:rFonts w:ascii="Times New Roman"/>
          <w:b w:val="false"/>
          <w:i w:val="false"/>
          <w:color w:val="000000"/>
          <w:sz w:val="28"/>
        </w:rPr>
        <w:t>
      В рамках реализации вышеуказанных задач в 2016 году планируется рассмотреть вопрос о совершенствовании законодательства о платежах и платежных системах.</w:t>
      </w:r>
    </w:p>
    <w:bookmarkStart w:name="z52" w:id="48"/>
    <w:p>
      <w:pPr>
        <w:spacing w:after="0"/>
        <w:ind w:left="0"/>
        <w:jc w:val="both"/>
      </w:pPr>
      <w:r>
        <w:rPr>
          <w:rFonts w:ascii="Times New Roman"/>
          <w:b w:val="false"/>
          <w:i w:val="false"/>
          <w:color w:val="000000"/>
          <w:sz w:val="28"/>
        </w:rPr>
        <w:t>
      3. Совершенствование статистической базы данных по страхованию.</w:t>
      </w:r>
    </w:p>
    <w:bookmarkEnd w:id="48"/>
    <w:p>
      <w:pPr>
        <w:spacing w:after="0"/>
        <w:ind w:left="0"/>
        <w:jc w:val="both"/>
      </w:pPr>
      <w:r>
        <w:rPr>
          <w:rFonts w:ascii="Times New Roman"/>
          <w:b w:val="false"/>
          <w:i w:val="false"/>
          <w:color w:val="000000"/>
          <w:sz w:val="28"/>
        </w:rPr>
        <w:t>
      Инфраструктура страхового рынка, которая в настоящее время претерпевает ряд изменений, будет обеспечивать полноценное развитие страхового сектора путем формирования полноценной и достоверной статистической базы по страхованию. Это позволит формировать адекватные и обоснованные размеры страховых тарифов по добровольным видам страхования и формированию адекватных резервов с учетом общей статистики по страховым случаям и выплатам.</w:t>
      </w:r>
    </w:p>
    <w:p>
      <w:pPr>
        <w:spacing w:after="0"/>
        <w:ind w:left="0"/>
        <w:jc w:val="both"/>
      </w:pPr>
      <w:r>
        <w:rPr>
          <w:rFonts w:ascii="Times New Roman"/>
          <w:b w:val="false"/>
          <w:i w:val="false"/>
          <w:color w:val="000000"/>
          <w:sz w:val="28"/>
        </w:rPr>
        <w:t>
      В этой связи необходимо дальнейшее совершенствование внутренних процессов информационных систем ЕСБД, позволяющих осуществлять сбор статистики по всем параметрам договора страхования. Кроме того, в настоящее время в Республике Казахстан назрела необходимость создания соответствующего подразделения на базе ЕСБД, осуществляющего анализ статистической информации для актуарных расчетов страховых тарифов по всем классам страхования, а также для построения актуарных таблиц смертности для накопительного страхования жизни.</w:t>
      </w:r>
    </w:p>
    <w:p>
      <w:pPr>
        <w:spacing w:after="0"/>
        <w:ind w:left="0"/>
        <w:jc w:val="both"/>
      </w:pPr>
      <w:r>
        <w:rPr>
          <w:rFonts w:ascii="Times New Roman"/>
          <w:b w:val="false"/>
          <w:i w:val="false"/>
          <w:color w:val="000000"/>
          <w:sz w:val="28"/>
        </w:rPr>
        <w:t>
      Кроме того, существует необходимость взаимодействия баз данных по страхованию с государственными базами данных, поскольку при заключении договоров имущественного и личного страхования используются персональные данные по физическим лицам. В связи с этим, будет рассмотрена возможность предоставления доступа к государственным базам данных по учету физических лиц с возможностью получения информации в режиме реального времени.</w:t>
      </w:r>
    </w:p>
    <w:bookmarkStart w:name="z53" w:id="49"/>
    <w:p>
      <w:pPr>
        <w:spacing w:after="0"/>
        <w:ind w:left="0"/>
        <w:jc w:val="both"/>
      </w:pPr>
      <w:r>
        <w:rPr>
          <w:rFonts w:ascii="Times New Roman"/>
          <w:b w:val="false"/>
          <w:i w:val="false"/>
          <w:color w:val="000000"/>
          <w:sz w:val="28"/>
        </w:rPr>
        <w:t>
      4. Создание региональной системы автострахования.</w:t>
      </w:r>
    </w:p>
    <w:bookmarkEnd w:id="49"/>
    <w:p>
      <w:pPr>
        <w:spacing w:after="0"/>
        <w:ind w:left="0"/>
        <w:jc w:val="both"/>
      </w:pPr>
      <w:r>
        <w:rPr>
          <w:rFonts w:ascii="Times New Roman"/>
          <w:b w:val="false"/>
          <w:i w:val="false"/>
          <w:color w:val="000000"/>
          <w:sz w:val="28"/>
        </w:rPr>
        <w:t>
      В целях совершенствования инфраструктуры страхования гражданско-правовой ответственности владельцев транспортных средств, а также в условиях интеграции Республики Казахстан в рамках ЕЭП будет рассмотрен вопрос создания Национального моторного бюро.</w:t>
      </w:r>
    </w:p>
    <w:p>
      <w:pPr>
        <w:spacing w:after="0"/>
        <w:ind w:left="0"/>
        <w:jc w:val="both"/>
      </w:pPr>
      <w:r>
        <w:rPr>
          <w:rFonts w:ascii="Times New Roman"/>
          <w:b w:val="false"/>
          <w:i w:val="false"/>
          <w:color w:val="000000"/>
          <w:sz w:val="28"/>
        </w:rPr>
        <w:t>
      Основной задачей Национального моторного бюро будут являться обеспечение гарантирования обязательств и урегулирование требований по осуществлению страховых выплат в рамках региональной системы автострахования.</w:t>
      </w:r>
    </w:p>
    <w:p>
      <w:pPr>
        <w:spacing w:after="0"/>
        <w:ind w:left="0"/>
        <w:jc w:val="both"/>
      </w:pPr>
      <w:r>
        <w:rPr>
          <w:rFonts w:ascii="Times New Roman"/>
          <w:b w:val="false"/>
          <w:i w:val="false"/>
          <w:color w:val="000000"/>
          <w:sz w:val="28"/>
        </w:rPr>
        <w:t>
      В этих целях необходимо заключение международного соглашения в рамках ЕЭП, которым будут предусмотрены порядок урегулирования убытков, критерии взаимного признания страховых организаций и страховых полисов, объемы гарантийного фонда, унификация страховых тарифов и ответственности.</w:t>
      </w:r>
    </w:p>
    <w:bookmarkStart w:name="z54" w:id="50"/>
    <w:p>
      <w:pPr>
        <w:spacing w:after="0"/>
        <w:ind w:left="0"/>
        <w:jc w:val="both"/>
      </w:pPr>
      <w:r>
        <w:rPr>
          <w:rFonts w:ascii="Times New Roman"/>
          <w:b w:val="false"/>
          <w:i w:val="false"/>
          <w:color w:val="000000"/>
          <w:sz w:val="28"/>
        </w:rPr>
        <w:t>
      5. Развитие системы гарантирования страховых выплат.</w:t>
      </w:r>
    </w:p>
    <w:bookmarkEnd w:id="50"/>
    <w:p>
      <w:pPr>
        <w:spacing w:after="0"/>
        <w:ind w:left="0"/>
        <w:jc w:val="both"/>
      </w:pPr>
      <w:r>
        <w:rPr>
          <w:rFonts w:ascii="Times New Roman"/>
          <w:b w:val="false"/>
          <w:i w:val="false"/>
          <w:color w:val="000000"/>
          <w:sz w:val="28"/>
        </w:rPr>
        <w:t>
      Система гарантирования страховых выплат будет покрывать только обязательные виды страхования. В целях обеспечения устойчивости системы гарантирования будет внедрена система дифференцированных ставок обязательных взносов в зависимости от уровня рисков страховой организации. Также будут установлены лимиты по гарантийным и компенсационным выплатам, в связи с тем, что полное покрытие обязательств не стимулирует потребителей к выбору наиболее устойчивой страховой организации.</w:t>
      </w:r>
    </w:p>
    <w:bookmarkStart w:name="z55" w:id="51"/>
    <w:p>
      <w:pPr>
        <w:spacing w:after="0"/>
        <w:ind w:left="0"/>
        <w:jc w:val="both"/>
      </w:pPr>
      <w:r>
        <w:rPr>
          <w:rFonts w:ascii="Times New Roman"/>
          <w:b w:val="false"/>
          <w:i w:val="false"/>
          <w:color w:val="000000"/>
          <w:sz w:val="28"/>
        </w:rPr>
        <w:t>
      6. Создание института досудебного урегулирования споров – финансового омбудсмана и расширение полномочий страхового омбудсмана.</w:t>
      </w:r>
    </w:p>
    <w:bookmarkEnd w:id="51"/>
    <w:p>
      <w:pPr>
        <w:spacing w:after="0"/>
        <w:ind w:left="0"/>
        <w:jc w:val="both"/>
      </w:pPr>
      <w:r>
        <w:rPr>
          <w:rFonts w:ascii="Times New Roman"/>
          <w:b w:val="false"/>
          <w:i w:val="false"/>
          <w:color w:val="000000"/>
          <w:sz w:val="28"/>
        </w:rPr>
        <w:t>
      Создание в 2007 году страхового омбудсмана и 2011 году банковского омбудсмана позволило создать механизм урегулирования взаимоотношений между страховыми организациями/банками и потребителями их услуг. В то же время остались неохваченными схемой урегулирования омбудсманов потребители услуг рынка ценных бумаг и накопительной пенсионной системы.</w:t>
      </w:r>
    </w:p>
    <w:p>
      <w:pPr>
        <w:spacing w:after="0"/>
        <w:ind w:left="0"/>
        <w:jc w:val="both"/>
      </w:pPr>
      <w:r>
        <w:rPr>
          <w:rFonts w:ascii="Times New Roman"/>
          <w:b w:val="false"/>
          <w:i w:val="false"/>
          <w:color w:val="000000"/>
          <w:sz w:val="28"/>
        </w:rPr>
        <w:t>
      В зарубежных странах успешно функционирует институт финансового омбудсмана, который занимается защитой прав потребителей всего финансового рынка путем рассмотрения обращений граждан и юридический лиц, в то время как регулятор финансового рынка осуществляет функции, направленные на решение концептуальных вопросов.</w:t>
      </w:r>
    </w:p>
    <w:p>
      <w:pPr>
        <w:spacing w:after="0"/>
        <w:ind w:left="0"/>
        <w:jc w:val="both"/>
      </w:pPr>
      <w:r>
        <w:rPr>
          <w:rFonts w:ascii="Times New Roman"/>
          <w:b w:val="false"/>
          <w:i w:val="false"/>
          <w:color w:val="000000"/>
          <w:sz w:val="28"/>
        </w:rPr>
        <w:t>
      В целях повышения доверия к финансовой системе предлагается усовершенствовать систему защиты прав и законных интересов потребителей финансовых услуг, в том числе потенциальных инвесторов, путем создания альтернативного института досудебного урегулирования споров на финансовом рынке – финансового омбудсмана. Данный институт будет включать отраслевых омбудсманов с расширением полномочий банковского и страхового омбудсманов по досудебному урегулированию споров по всем договорам банковского обслуживания, обязательным и добровольным классам страхования, соответственно.</w:t>
      </w:r>
    </w:p>
    <w:p>
      <w:pPr>
        <w:spacing w:after="0"/>
        <w:ind w:left="0"/>
        <w:jc w:val="both"/>
      </w:pPr>
      <w:r>
        <w:rPr>
          <w:rFonts w:ascii="Times New Roman"/>
          <w:b w:val="false"/>
          <w:i w:val="false"/>
          <w:color w:val="000000"/>
          <w:sz w:val="28"/>
        </w:rPr>
        <w:t>
      При этом Национальный Банк Республики Казахстан сосредоточится на разработке стандартов предоставления финансовых услуг, повышении качества предоставления финансовых услуг, мониторинге соблюдения законодательства Республики Казахстан, повышении финансовой грамотности населения, а финансовый омбудсман – на независимом и беспристрастном досудебном урегулировании индивидуальных претензий потребителей финансовых услуг к финансовым организациям.</w:t>
      </w:r>
    </w:p>
    <w:p>
      <w:pPr>
        <w:spacing w:after="0"/>
        <w:ind w:left="0"/>
        <w:jc w:val="both"/>
      </w:pPr>
      <w:r>
        <w:rPr>
          <w:rFonts w:ascii="Times New Roman"/>
          <w:b w:val="false"/>
          <w:i w:val="false"/>
          <w:color w:val="000000"/>
          <w:sz w:val="28"/>
        </w:rPr>
        <w:t>
      В рамках реализации вышеуказанных задач в 2016 году планируется рассмотрение вопроса о необходимости принятия мер по законодательному обеспечению деятельности финансового омбудсмана.</w:t>
      </w:r>
    </w:p>
    <w:bookmarkStart w:name="z56" w:id="52"/>
    <w:p>
      <w:pPr>
        <w:spacing w:after="0"/>
        <w:ind w:left="0"/>
        <w:jc w:val="both"/>
      </w:pPr>
      <w:r>
        <w:rPr>
          <w:rFonts w:ascii="Times New Roman"/>
          <w:b w:val="false"/>
          <w:i w:val="false"/>
          <w:color w:val="000000"/>
          <w:sz w:val="28"/>
        </w:rPr>
        <w:t>
      7. Реформа структуры официального списка фондовой биржи и листинговых требований к эмитентам.</w:t>
      </w:r>
    </w:p>
    <w:bookmarkEnd w:id="52"/>
    <w:p>
      <w:pPr>
        <w:spacing w:after="0"/>
        <w:ind w:left="0"/>
        <w:jc w:val="both"/>
      </w:pPr>
      <w:r>
        <w:rPr>
          <w:rFonts w:ascii="Times New Roman"/>
          <w:b w:val="false"/>
          <w:i w:val="false"/>
          <w:color w:val="000000"/>
          <w:sz w:val="28"/>
        </w:rPr>
        <w:t>
      В целях повышения привлекательности отечественного рынка ценных бумаг и увеличения линейки инструментов, торгующихся на фондовой бирже, требуется существенно изменить подход к структуре листинга и листинговым требованиям. Ключевыми требованиями для включения и нахождения ценных бумаг эмитентов в официальном списке Казахстанской фондовой биржи должны стать удобство торгов и раскрытие информации перед инвесторами (информационный листинг) по примеру листинговых требований на Московской и Лондонской фондовых биржах.</w:t>
      </w:r>
    </w:p>
    <w:p>
      <w:pPr>
        <w:spacing w:after="0"/>
        <w:ind w:left="0"/>
        <w:jc w:val="both"/>
      </w:pPr>
      <w:r>
        <w:rPr>
          <w:rFonts w:ascii="Times New Roman"/>
          <w:b w:val="false"/>
          <w:i w:val="false"/>
          <w:color w:val="000000"/>
          <w:sz w:val="28"/>
        </w:rPr>
        <w:t>
      Казахстанская фондовая биржа должна отойти от жесткого ранжирования эмитентов и выпусков ценных бумаг по категориям листинга, а больше нести в себе функции только торговой площадки, раскрывающей информацию об эмитентах, а инвесторы в свою очередь будут принимать решения самостоятельно, руководствуясь информацией, раскрытой биржей.</w:t>
      </w:r>
    </w:p>
    <w:p>
      <w:pPr>
        <w:spacing w:after="0"/>
        <w:ind w:left="0"/>
        <w:jc w:val="both"/>
      </w:pPr>
      <w:r>
        <w:rPr>
          <w:rFonts w:ascii="Times New Roman"/>
          <w:b w:val="false"/>
          <w:i w:val="false"/>
          <w:color w:val="000000"/>
          <w:sz w:val="28"/>
        </w:rPr>
        <w:t>
      При этом категории листинга должны формироваться из условий удобства для проведения торгов для инвестора (наличием ценных бумаг в обращении), а не из критериев капитализации и доходности эмитента.</w:t>
      </w:r>
    </w:p>
    <w:p>
      <w:pPr>
        <w:spacing w:after="0"/>
        <w:ind w:left="0"/>
        <w:jc w:val="both"/>
      </w:pPr>
      <w:r>
        <w:rPr>
          <w:rFonts w:ascii="Times New Roman"/>
          <w:b w:val="false"/>
          <w:i w:val="false"/>
          <w:color w:val="000000"/>
          <w:sz w:val="28"/>
        </w:rPr>
        <w:t>
      Так, в структуре листинга необходимо предусмотреть две обособленные группы ценных бумаг, а именно долевые ценные бумаги и долговые ценные бумаги.</w:t>
      </w:r>
    </w:p>
    <w:p>
      <w:pPr>
        <w:spacing w:after="0"/>
        <w:ind w:left="0"/>
        <w:jc w:val="both"/>
      </w:pPr>
      <w:r>
        <w:rPr>
          <w:rFonts w:ascii="Times New Roman"/>
          <w:b w:val="false"/>
          <w:i w:val="false"/>
          <w:color w:val="000000"/>
          <w:sz w:val="28"/>
        </w:rPr>
        <w:t>
      Для долевых ценных бумаг сохранится полный перечень процедур по включению в листинг, тогда как долговые ценные бумаги будут проходить упрощенную процедуру допуска к обращению в официальном списке фондовой биржи.</w:t>
      </w:r>
    </w:p>
    <w:bookmarkStart w:name="z57" w:id="53"/>
    <w:p>
      <w:pPr>
        <w:spacing w:after="0"/>
        <w:ind w:left="0"/>
        <w:jc w:val="both"/>
      </w:pPr>
      <w:r>
        <w:rPr>
          <w:rFonts w:ascii="Times New Roman"/>
          <w:b w:val="false"/>
          <w:i w:val="false"/>
          <w:color w:val="000000"/>
          <w:sz w:val="28"/>
        </w:rPr>
        <w:t>
      8. Создание интегрированной информационной системы внебиржевого рынка ценных бумаг и котировочной организации внебиржевого рынка ценных бумаг.</w:t>
      </w:r>
    </w:p>
    <w:bookmarkEnd w:id="53"/>
    <w:p>
      <w:pPr>
        <w:spacing w:after="0"/>
        <w:ind w:left="0"/>
        <w:jc w:val="both"/>
      </w:pPr>
      <w:r>
        <w:rPr>
          <w:rFonts w:ascii="Times New Roman"/>
          <w:b w:val="false"/>
          <w:i w:val="false"/>
          <w:color w:val="000000"/>
          <w:sz w:val="28"/>
        </w:rPr>
        <w:t>
      В целях повышения прозрачности неорганизованного рынка ценных бумаг необходимо обеспечить раскрытие информации о сделках (операциях) с ценными бумагами на неорганизованном рынке ценных бумаг.</w:t>
      </w:r>
    </w:p>
    <w:p>
      <w:pPr>
        <w:spacing w:after="0"/>
        <w:ind w:left="0"/>
        <w:jc w:val="both"/>
      </w:pPr>
      <w:r>
        <w:rPr>
          <w:rFonts w:ascii="Times New Roman"/>
          <w:b w:val="false"/>
          <w:i w:val="false"/>
          <w:color w:val="000000"/>
          <w:sz w:val="28"/>
        </w:rPr>
        <w:t>
      Создание интегрированной информационной системы внебиржевого рынка ценных бумаг позволит обеспечить прозрачность и открытость сделок с ценными бумагами эмитентов на неорганизованном рынке ценных бумаг, а также оценить его масштабы и улучшить механизмы надзора за такими сделками.</w:t>
      </w:r>
    </w:p>
    <w:p>
      <w:pPr>
        <w:spacing w:after="0"/>
        <w:ind w:left="0"/>
        <w:jc w:val="both"/>
      </w:pPr>
      <w:r>
        <w:rPr>
          <w:rFonts w:ascii="Times New Roman"/>
          <w:b w:val="false"/>
          <w:i w:val="false"/>
          <w:color w:val="000000"/>
          <w:sz w:val="28"/>
        </w:rPr>
        <w:t>
      В свою очередь, создание котировочной организации внебиржевого рынка ценных бумаг позволит инвесторам получить доступ к полной информации об эмитентах, чьи ценные бумаги обращаются на площадке внебиржевого рынка, и о торгуемых на данном рынке ценных бумагах, облегчит поиск контрагентов по сделкам, что также будет способствовать повышению ликвидности внебиржевого рынка ценных бумаг.</w:t>
      </w:r>
    </w:p>
    <w:p>
      <w:pPr>
        <w:spacing w:after="0"/>
        <w:ind w:left="0"/>
        <w:jc w:val="both"/>
      </w:pPr>
      <w:r>
        <w:rPr>
          <w:rFonts w:ascii="Times New Roman"/>
          <w:b w:val="false"/>
          <w:i w:val="false"/>
          <w:color w:val="000000"/>
          <w:sz w:val="28"/>
        </w:rPr>
        <w:t>
      Создание котировочной организации внебиржевого рынка ценных бумаг может быть осуществлено как на базе Казахстанской фондовой биржи, так и на базе Единого регистратора ценных бумаг.</w:t>
      </w:r>
    </w:p>
    <w:bookmarkStart w:name="z58" w:id="54"/>
    <w:p>
      <w:pPr>
        <w:spacing w:after="0"/>
        <w:ind w:left="0"/>
        <w:jc w:val="both"/>
      </w:pPr>
      <w:r>
        <w:rPr>
          <w:rFonts w:ascii="Times New Roman"/>
          <w:b w:val="false"/>
          <w:i w:val="false"/>
          <w:color w:val="000000"/>
          <w:sz w:val="28"/>
        </w:rPr>
        <w:t>
      9. Развитие рынка местных рейтинговых агентств.</w:t>
      </w:r>
    </w:p>
    <w:bookmarkEnd w:id="54"/>
    <w:p>
      <w:pPr>
        <w:spacing w:after="0"/>
        <w:ind w:left="0"/>
        <w:jc w:val="both"/>
      </w:pPr>
      <w:r>
        <w:rPr>
          <w:rFonts w:ascii="Times New Roman"/>
          <w:b w:val="false"/>
          <w:i w:val="false"/>
          <w:color w:val="000000"/>
          <w:sz w:val="28"/>
        </w:rPr>
        <w:t>
      В мире кредитные рейтинговые агентства давно стали важным элементом финансового рынка. Услугами данных организаций пользуются эмитенты при выпуске и размещении ценных бумаг, индивидуальные и инстутициональные инвесторы при формировании инвестиционной стратегии и приобретении ценных бумаг, а также государственные органы в регуляторных целях, например в банковском регулировании, для оценки рискованности банковских портфелей и определения размера капитала, который банки должны хранить для защиты от неплатежеспособности.</w:t>
      </w:r>
    </w:p>
    <w:p>
      <w:pPr>
        <w:spacing w:after="0"/>
        <w:ind w:left="0"/>
        <w:jc w:val="both"/>
      </w:pPr>
      <w:r>
        <w:rPr>
          <w:rFonts w:ascii="Times New Roman"/>
          <w:b w:val="false"/>
          <w:i w:val="false"/>
          <w:color w:val="000000"/>
          <w:sz w:val="28"/>
        </w:rPr>
        <w:t xml:space="preserve">
      На сегодняшний день в Республике Казахстан на рынке услуг по присвоению рейтинговых оценок помимо международных рейтинговых агентств, таких как Standard &amp; Poor’s, Moody’s и Fitch, функционируют местные рейтинговые агентства. </w:t>
      </w:r>
    </w:p>
    <w:p>
      <w:pPr>
        <w:spacing w:after="0"/>
        <w:ind w:left="0"/>
        <w:jc w:val="both"/>
      </w:pPr>
      <w:r>
        <w:rPr>
          <w:rFonts w:ascii="Times New Roman"/>
          <w:b w:val="false"/>
          <w:i w:val="false"/>
          <w:color w:val="000000"/>
          <w:sz w:val="28"/>
        </w:rPr>
        <w:t xml:space="preserve">
      В свою очередь, у местных рейтинговых агентств в недостаточной степени наработан опыт по присвоению рейтинговых оценок, и как следствие, их методология по присвоению рейтинговых оценок может быть неоднозначной и нуждаться в совершенствовании. </w:t>
      </w:r>
    </w:p>
    <w:p>
      <w:pPr>
        <w:spacing w:after="0"/>
        <w:ind w:left="0"/>
        <w:jc w:val="both"/>
      </w:pPr>
      <w:r>
        <w:rPr>
          <w:rFonts w:ascii="Times New Roman"/>
          <w:b w:val="false"/>
          <w:i w:val="false"/>
          <w:color w:val="000000"/>
          <w:sz w:val="28"/>
        </w:rPr>
        <w:t xml:space="preserve">
      В этой связи рейтинговые оценки, присвоенные местными рейтинговыми агентствами, не используются Национальным Банком Республики Казахстан в целях регулирования финансового рынка и финансовых организаций. </w:t>
      </w:r>
    </w:p>
    <w:p>
      <w:pPr>
        <w:spacing w:after="0"/>
        <w:ind w:left="0"/>
        <w:jc w:val="both"/>
      </w:pPr>
      <w:r>
        <w:rPr>
          <w:rFonts w:ascii="Times New Roman"/>
          <w:b w:val="false"/>
          <w:i w:val="false"/>
          <w:color w:val="000000"/>
          <w:sz w:val="28"/>
        </w:rPr>
        <w:t xml:space="preserve">
      Однако не все эмитенты в Республике Казахстан обладают возможностью привлекать международные рейтинговые агентства для присвоения кредитных рейтингов по причине того, что стоимость их услуг является достаточно высокой. </w:t>
      </w:r>
    </w:p>
    <w:p>
      <w:pPr>
        <w:spacing w:after="0"/>
        <w:ind w:left="0"/>
        <w:jc w:val="both"/>
      </w:pPr>
      <w:r>
        <w:rPr>
          <w:rFonts w:ascii="Times New Roman"/>
          <w:b w:val="false"/>
          <w:i w:val="false"/>
          <w:color w:val="000000"/>
          <w:sz w:val="28"/>
        </w:rPr>
        <w:t>
      Необходимо развивать внутренний рынок кредитных рейтинговых агентств. Требуется предоставить им более широкие полномочия для того, чтобы они могли нарастить свою клиентскую базу и предоставлять своим клиентам больший перечень услуг. Одновременно с расширением их полномочий требуется рассмотреть возможность введения механизмов регулирования, контроля и надзора деятельности рейтинговых агентств и признания присвоенных ими рейтинговых оценок в регулировании финансовых организаций, а также повысить ответственность рейтинговых агентств за предоставленные ими рейтинговые оценки.</w:t>
      </w:r>
    </w:p>
    <w:bookmarkStart w:name="z59" w:id="55"/>
    <w:p>
      <w:pPr>
        <w:spacing w:after="0"/>
        <w:ind w:left="0"/>
        <w:jc w:val="both"/>
      </w:pPr>
      <w:r>
        <w:rPr>
          <w:rFonts w:ascii="Times New Roman"/>
          <w:b w:val="false"/>
          <w:i w:val="false"/>
          <w:color w:val="000000"/>
          <w:sz w:val="28"/>
        </w:rPr>
        <w:t>
      10. Город Алматы как ведущий финансовый центр.</w:t>
      </w:r>
    </w:p>
    <w:bookmarkEnd w:id="55"/>
    <w:p>
      <w:pPr>
        <w:spacing w:after="0"/>
        <w:ind w:left="0"/>
        <w:jc w:val="both"/>
      </w:pPr>
      <w:r>
        <w:rPr>
          <w:rFonts w:ascii="Times New Roman"/>
          <w:b w:val="false"/>
          <w:i w:val="false"/>
          <w:color w:val="000000"/>
          <w:sz w:val="28"/>
        </w:rPr>
        <w:t>
      Основываясь на передовом опыте мировых финансовых центров, правовое поле РФЦА будет пересмотрено в части расширения круга деятельности, услуг, участников, целей, задач и компетенции Национального Банка Республики Казахстан как уполномоченного органа. Будет рассмотрена необходимость разработки нового Плана развития РФЦА до 2020 года. Сохраняя действующие льготы и преимущества для участников рынка, будет рассмотрена возможность внедрения новых условий для ведения бизнеса и притяжения капитала, способствующих концентрации и привлечению инвестиций на отечественный фондовый рынок.</w:t>
      </w:r>
    </w:p>
    <w:p>
      <w:pPr>
        <w:spacing w:after="0"/>
        <w:ind w:left="0"/>
        <w:jc w:val="both"/>
      </w:pPr>
      <w:r>
        <w:rPr>
          <w:rFonts w:ascii="Times New Roman"/>
          <w:b w:val="false"/>
          <w:i w:val="false"/>
          <w:color w:val="000000"/>
          <w:sz w:val="28"/>
        </w:rPr>
        <w:t>
      Будет образован Совет по развитию РФЦА, куда войдут представители государственных органов, финансового рынка, бизнеса, общественности и местного исполнительного органа. Для своевременной разработки необходимых документов Совета будет рассмотрена возможность создания рабочих органов Совета.</w:t>
      </w:r>
    </w:p>
    <w:p>
      <w:pPr>
        <w:spacing w:after="0"/>
        <w:ind w:left="0"/>
        <w:jc w:val="both"/>
      </w:pPr>
      <w:r>
        <w:rPr>
          <w:rFonts w:ascii="Times New Roman"/>
          <w:b w:val="false"/>
          <w:i w:val="false"/>
          <w:color w:val="000000"/>
          <w:sz w:val="28"/>
        </w:rPr>
        <w:t>
      В перспективе в РФЦА, согласно отчету Boston Consulting Group "Алматы как Региональный Финансовый Центр", будет предоставляться широкий спектр услуг: финансовые, аудиторские, юридические, консультационные, рейтинговые услуги, на примере ведущих финансовых центров. Исламское финансирование будет рассматриваться в качестве одного из перспективных направлений.</w:t>
      </w:r>
    </w:p>
    <w:p>
      <w:pPr>
        <w:spacing w:after="0"/>
        <w:ind w:left="0"/>
        <w:jc w:val="both"/>
      </w:pPr>
      <w:r>
        <w:rPr>
          <w:rFonts w:ascii="Times New Roman"/>
          <w:b w:val="false"/>
          <w:i w:val="false"/>
          <w:color w:val="000000"/>
          <w:sz w:val="28"/>
        </w:rPr>
        <w:t>
      Развитие РФЦА будет направлено на:</w:t>
      </w:r>
    </w:p>
    <w:p>
      <w:pPr>
        <w:spacing w:after="0"/>
        <w:ind w:left="0"/>
        <w:jc w:val="both"/>
      </w:pPr>
      <w:r>
        <w:rPr>
          <w:rFonts w:ascii="Times New Roman"/>
          <w:b w:val="false"/>
          <w:i w:val="false"/>
          <w:color w:val="000000"/>
          <w:sz w:val="28"/>
        </w:rPr>
        <w:t>
      1) развитие финансовой инфраструктуры (современная рыночная инфраструктура, создание условий для участников и инвесторов, предложение разнообразных финансовых инструментов, внедрение эффективной системы регулирования, развитие сектора информационных и сетевых технологий);</w:t>
      </w:r>
    </w:p>
    <w:p>
      <w:pPr>
        <w:spacing w:after="0"/>
        <w:ind w:left="0"/>
        <w:jc w:val="both"/>
      </w:pPr>
      <w:r>
        <w:rPr>
          <w:rFonts w:ascii="Times New Roman"/>
          <w:b w:val="false"/>
          <w:i w:val="false"/>
          <w:color w:val="000000"/>
          <w:sz w:val="28"/>
        </w:rPr>
        <w:t>
      2) превращение города Алматы в крупный, динамично-развивающийся конкурентоспособный мегаполис в регионе (активная маркетинговая политика по формированию бренда и имиджа города, развитие инфраструктуры и туризма, комфортные условия и уровень проживания, улучшение экологической обстановки, благоустройство города);</w:t>
      </w:r>
    </w:p>
    <w:p>
      <w:pPr>
        <w:spacing w:after="0"/>
        <w:ind w:left="0"/>
        <w:jc w:val="both"/>
      </w:pPr>
      <w:r>
        <w:rPr>
          <w:rFonts w:ascii="Times New Roman"/>
          <w:b w:val="false"/>
          <w:i w:val="false"/>
          <w:color w:val="000000"/>
          <w:sz w:val="28"/>
        </w:rPr>
        <w:t>
      3) создание бизнес-среды (в том числе рассмотрение вопросов по формированию благоприятного делового и инвестиционного климата, гибкой системы законодательства, привлекательных налоговых условий, эффективной правовой и судебной систем и других стимулирующих мер, направленных на привлечение иностранных игроков);</w:t>
      </w:r>
    </w:p>
    <w:p>
      <w:pPr>
        <w:spacing w:after="0"/>
        <w:ind w:left="0"/>
        <w:jc w:val="both"/>
      </w:pPr>
      <w:r>
        <w:rPr>
          <w:rFonts w:ascii="Times New Roman"/>
          <w:b w:val="false"/>
          <w:i w:val="false"/>
          <w:color w:val="000000"/>
          <w:sz w:val="28"/>
        </w:rPr>
        <w:t>
      4) повышение конкурентоспособности финансового рынка и РФЦА по ключевым областям: человеческий фактор, бизнес-среда, доступ к рынкам, инфраструктура, общая конкурентоспособность, а также определение конкурентных позиций, стратегической специализации, сценариев дальнейшего развития и признание альтернативных возможностей развития РФЦА с привлечением к такой работе ведущих аналитических центров и экспертов;</w:t>
      </w:r>
    </w:p>
    <w:p>
      <w:pPr>
        <w:spacing w:after="0"/>
        <w:ind w:left="0"/>
        <w:jc w:val="both"/>
      </w:pPr>
      <w:r>
        <w:rPr>
          <w:rFonts w:ascii="Times New Roman"/>
          <w:b w:val="false"/>
          <w:i w:val="false"/>
          <w:color w:val="000000"/>
          <w:sz w:val="28"/>
        </w:rPr>
        <w:t>
      5) улучшение позиции города Алматы как финансового центра в рейтинговой оценке GFCI;</w:t>
      </w:r>
    </w:p>
    <w:p>
      <w:pPr>
        <w:spacing w:after="0"/>
        <w:ind w:left="0"/>
        <w:jc w:val="both"/>
      </w:pPr>
      <w:r>
        <w:rPr>
          <w:rFonts w:ascii="Times New Roman"/>
          <w:b w:val="false"/>
          <w:i w:val="false"/>
          <w:color w:val="000000"/>
          <w:sz w:val="28"/>
        </w:rPr>
        <w:t>
      6) установление и поддержание тесного сотрудничества с ведущими финансовыми центрами в сфере обмена опытом и информацией;</w:t>
      </w:r>
    </w:p>
    <w:p>
      <w:pPr>
        <w:spacing w:after="0"/>
        <w:ind w:left="0"/>
        <w:jc w:val="both"/>
      </w:pPr>
      <w:r>
        <w:rPr>
          <w:rFonts w:ascii="Times New Roman"/>
          <w:b w:val="false"/>
          <w:i w:val="false"/>
          <w:color w:val="000000"/>
          <w:sz w:val="28"/>
        </w:rPr>
        <w:t>
      7) совершенствование корпоративного управления и защиты прав и законных интересов потребителей, а также вовлечение населения в финансовые рынки путем повышения уровня их финансового образования;</w:t>
      </w:r>
    </w:p>
    <w:p>
      <w:pPr>
        <w:spacing w:after="0"/>
        <w:ind w:left="0"/>
        <w:jc w:val="both"/>
      </w:pPr>
      <w:r>
        <w:rPr>
          <w:rFonts w:ascii="Times New Roman"/>
          <w:b w:val="false"/>
          <w:i w:val="false"/>
          <w:color w:val="000000"/>
          <w:sz w:val="28"/>
        </w:rPr>
        <w:t>
      8) улучшение основных экономических показателей Казахстана в Индексе глобальной конкурентоспособности, Doing Business Всемирного Банка и других рейтингах.</w:t>
      </w:r>
    </w:p>
    <w:p>
      <w:pPr>
        <w:spacing w:after="0"/>
        <w:ind w:left="0"/>
        <w:jc w:val="both"/>
      </w:pPr>
      <w:r>
        <w:rPr>
          <w:rFonts w:ascii="Times New Roman"/>
          <w:b w:val="false"/>
          <w:i w:val="false"/>
          <w:color w:val="000000"/>
          <w:sz w:val="28"/>
        </w:rPr>
        <w:t>
      В реализации указанных мероприятий местный исполнительный орган примет самое активное и непосредственное участие наравне с Правительством Республики Казахстан и другими заинтересованными лицами.</w:t>
      </w:r>
    </w:p>
    <w:p>
      <w:pPr>
        <w:spacing w:after="0"/>
        <w:ind w:left="0"/>
        <w:jc w:val="both"/>
      </w:pPr>
      <w:r>
        <w:rPr>
          <w:rFonts w:ascii="Times New Roman"/>
          <w:b w:val="false"/>
          <w:i w:val="false"/>
          <w:color w:val="000000"/>
          <w:sz w:val="28"/>
        </w:rPr>
        <w:t>
      Расширяя и углубляя сотрудничество между государствами путем выявления общих преимуществ и возможностей для развития национальных финансовых рынков в рамках участия Республики Казахстан в международных и региональных диалогах, форумах и конференциях будет продолжено продвижение национальных интересов в развитии РФЦА, в особенности в Центральной Азии. Будет рассмотрена возможность расширения границ по оказанию финансовых услуг с целью привлечения инвесторов и эмитентов из стран ближнего зарубежья, что поможет РФЦА укрепить позиции в качестве финансового центра в Средней Азии.</w:t>
      </w:r>
    </w:p>
    <w:p>
      <w:pPr>
        <w:spacing w:after="0"/>
        <w:ind w:left="0"/>
        <w:jc w:val="both"/>
      </w:pPr>
      <w:r>
        <w:rPr>
          <w:rFonts w:ascii="Times New Roman"/>
          <w:b w:val="false"/>
          <w:i w:val="false"/>
          <w:color w:val="000000"/>
          <w:sz w:val="28"/>
        </w:rPr>
        <w:t>
      Казахстанский финансовый рынок имеет значительные внутренние источники (как активы частных отечественных инвесторов, так и ресурсы государства) для их мобилизации и обеспечения дальнейшего финансирования экономики. Будут проработаны вопросы по их привлечению и использованию в интересах развития отечественного финансового рынка.</w:t>
      </w:r>
    </w:p>
    <w:p>
      <w:pPr>
        <w:spacing w:after="0"/>
        <w:ind w:left="0"/>
        <w:jc w:val="both"/>
      </w:pPr>
      <w:r>
        <w:rPr>
          <w:rFonts w:ascii="Times New Roman"/>
          <w:b w:val="false"/>
          <w:i w:val="false"/>
          <w:color w:val="000000"/>
          <w:sz w:val="28"/>
        </w:rPr>
        <w:t>
      Таким образом, будут приняты комплексные меры, направленные на реализацию стратегической задачи по построению и дальнейшему развитию РФЦА, созданию в стратегической перспективе необходимых условий для развития конкурентоспособного финансового центра города Алматы, соответствующего международным стандартам, и его вхождению в группу десяти ведущих финансовых центров Азии.</w:t>
      </w:r>
    </w:p>
    <w:bookmarkStart w:name="z60" w:id="56"/>
    <w:p>
      <w:pPr>
        <w:spacing w:after="0"/>
        <w:ind w:left="0"/>
        <w:jc w:val="both"/>
      </w:pPr>
      <w:r>
        <w:rPr>
          <w:rFonts w:ascii="Times New Roman"/>
          <w:b w:val="false"/>
          <w:i w:val="false"/>
          <w:color w:val="000000"/>
          <w:sz w:val="28"/>
        </w:rPr>
        <w:t>
      11. Развитие города Алматы как исламского финансового хаба в Содружестве Независимых Государств и Центральной Азии.</w:t>
      </w:r>
    </w:p>
    <w:bookmarkEnd w:id="56"/>
    <w:p>
      <w:pPr>
        <w:spacing w:after="0"/>
        <w:ind w:left="0"/>
        <w:jc w:val="both"/>
      </w:pPr>
      <w:r>
        <w:rPr>
          <w:rFonts w:ascii="Times New Roman"/>
          <w:b w:val="false"/>
          <w:i w:val="false"/>
          <w:color w:val="000000"/>
          <w:sz w:val="28"/>
        </w:rPr>
        <w:t xml:space="preserve">
      Дальнейшее развитие исламского финансирования будет осуществляться в направлении расширения исламских финансовых инструментов, создания благоприятных условий для формирования инфраструктуры рынка исламских продуктов и осуществления деятельности его участников, принятия мер стимулирования по привлечению эмитентов и инвесторов, осуществляющих свою деятельность в соответствии с принципами исламского финансирования, на отечественный рынок ценных бумаг. </w:t>
      </w:r>
    </w:p>
    <w:p>
      <w:pPr>
        <w:spacing w:after="0"/>
        <w:ind w:left="0"/>
        <w:jc w:val="both"/>
      </w:pPr>
      <w:r>
        <w:rPr>
          <w:rFonts w:ascii="Times New Roman"/>
          <w:b w:val="false"/>
          <w:i w:val="false"/>
          <w:color w:val="000000"/>
          <w:sz w:val="28"/>
        </w:rPr>
        <w:t>
      Для полноценного использования потенциала исламского финансирования будут рассмотрены следующие вопросы:</w:t>
      </w:r>
    </w:p>
    <w:p>
      <w:pPr>
        <w:spacing w:after="0"/>
        <w:ind w:left="0"/>
        <w:jc w:val="both"/>
      </w:pPr>
      <w:r>
        <w:rPr>
          <w:rFonts w:ascii="Times New Roman"/>
          <w:b w:val="false"/>
          <w:i w:val="false"/>
          <w:color w:val="000000"/>
          <w:sz w:val="28"/>
        </w:rPr>
        <w:t>
      1) дальнейшая адаптация отечественного законодательства под специфику исламского финансирования в части налогообложения, пруденциального надзора за исламскими финансовыми институтами, устранения регистрационных барьеров для исламских финансовых институтов;</w:t>
      </w:r>
    </w:p>
    <w:p>
      <w:pPr>
        <w:spacing w:after="0"/>
        <w:ind w:left="0"/>
        <w:jc w:val="both"/>
      </w:pPr>
      <w:r>
        <w:rPr>
          <w:rFonts w:ascii="Times New Roman"/>
          <w:b w:val="false"/>
          <w:i w:val="false"/>
          <w:color w:val="000000"/>
          <w:sz w:val="28"/>
        </w:rPr>
        <w:t>
      2) сокращение дефицита кадров, имеющих опыт работы с исламскими продуктами;</w:t>
      </w:r>
    </w:p>
    <w:p>
      <w:pPr>
        <w:spacing w:after="0"/>
        <w:ind w:left="0"/>
        <w:jc w:val="both"/>
      </w:pPr>
      <w:r>
        <w:rPr>
          <w:rFonts w:ascii="Times New Roman"/>
          <w:b w:val="false"/>
          <w:i w:val="false"/>
          <w:color w:val="000000"/>
          <w:sz w:val="28"/>
        </w:rPr>
        <w:t>
      3) повышение финансовой грамотности и осведомленности населения и бизнеса о продуктах исламского финансирования.</w:t>
      </w:r>
    </w:p>
    <w:p>
      <w:pPr>
        <w:spacing w:after="0"/>
        <w:ind w:left="0"/>
        <w:jc w:val="both"/>
      </w:pPr>
      <w:r>
        <w:rPr>
          <w:rFonts w:ascii="Times New Roman"/>
          <w:b w:val="false"/>
          <w:i w:val="false"/>
          <w:color w:val="000000"/>
          <w:sz w:val="28"/>
        </w:rPr>
        <w:t xml:space="preserve">
      Кроме того, необходимо концептуально пересмотреть модель регулирования исламского финансирования, в том числе возможный отказ от институционального принципа и переход на функциональное регулирование исламских финансовых инструментов и продуктов, независимо от того, кто их предлагает. </w:t>
      </w:r>
    </w:p>
    <w:p>
      <w:pPr>
        <w:spacing w:after="0"/>
        <w:ind w:left="0"/>
        <w:jc w:val="both"/>
      </w:pPr>
      <w:r>
        <w:rPr>
          <w:rFonts w:ascii="Times New Roman"/>
          <w:b w:val="false"/>
          <w:i w:val="false"/>
          <w:color w:val="000000"/>
          <w:sz w:val="28"/>
        </w:rPr>
        <w:t>
      В целях повышения имиджа Республики Казахстан как страны, развивающей исламское финансирование, будет проводиться активная работа по промоушену и продвижению исламских финансовых продуктов, привлечению инвестиций из стран Ближнего Востока и Юго-Восточной Азии путем открытия новых исламских банков, исламских небанковских и микрофинансовых учреждений, а также посредством развития исламского рынка капитала.</w:t>
      </w:r>
    </w:p>
    <w:p>
      <w:pPr>
        <w:spacing w:after="0"/>
        <w:ind w:left="0"/>
        <w:jc w:val="both"/>
      </w:pPr>
      <w:r>
        <w:rPr>
          <w:rFonts w:ascii="Times New Roman"/>
          <w:b w:val="false"/>
          <w:i w:val="false"/>
          <w:color w:val="000000"/>
          <w:sz w:val="28"/>
        </w:rPr>
        <w:t>
      Содействие данному процессу окажет вступление Республики Казахстан в ВТО, что откроет отечественный рынок для стран-членов ВТО, имеющих развитую исламскую банковскую систему.</w:t>
      </w:r>
    </w:p>
    <w:p>
      <w:pPr>
        <w:spacing w:after="0"/>
        <w:ind w:left="0"/>
        <w:jc w:val="both"/>
      </w:pPr>
      <w:r>
        <w:rPr>
          <w:rFonts w:ascii="Times New Roman"/>
          <w:b w:val="false"/>
          <w:i w:val="false"/>
          <w:color w:val="000000"/>
          <w:sz w:val="28"/>
        </w:rPr>
        <w:t>
      В целях изучения и внедрения международных стандартов будут приняты меры по активизации взаимодействия с международными исламскими финансовыми организациями (Islamic Financial Service Board, Islamic Liquidity Management Centre, International Islamic Financial Market, Accounting and Auditing Organization for Islamic Financial Institutions, International Islamic Rating Agency, General Council of Islamic Banks and Financial Institutions) и сотрудничества с Рейтинговым агентством Малайзии (RAM Holding).</w:t>
      </w:r>
    </w:p>
    <w:p>
      <w:pPr>
        <w:spacing w:after="0"/>
        <w:ind w:left="0"/>
        <w:jc w:val="both"/>
      </w:pPr>
      <w:r>
        <w:rPr>
          <w:rFonts w:ascii="Times New Roman"/>
          <w:b w:val="false"/>
          <w:i w:val="false"/>
          <w:color w:val="000000"/>
          <w:sz w:val="28"/>
        </w:rPr>
        <w:t>
      Будет усилена позиция Республики Казахстан в качестве лидера по развитию исламского финансирования в Содружестве Независимых Государств и Центральной Азии. Город Алматы станет центром проведения конференций, форумов, семинаров и других мероприятий по вопросам, связанным с внедрением и развитием исламского финансирования.</w:t>
      </w:r>
    </w:p>
    <w:p>
      <w:pPr>
        <w:spacing w:after="0"/>
        <w:ind w:left="0"/>
        <w:jc w:val="both"/>
      </w:pPr>
      <w:r>
        <w:rPr>
          <w:rFonts w:ascii="Times New Roman"/>
          <w:b w:val="false"/>
          <w:i w:val="false"/>
          <w:color w:val="000000"/>
          <w:sz w:val="28"/>
        </w:rPr>
        <w:t>
      Для решения поставленных задач по развитию исламского финансирования будет пересмотрена и актуализирована Дорожная карта развития исламского финансирования до 2020 года.</w:t>
      </w:r>
    </w:p>
    <w:bookmarkStart w:name="z61" w:id="57"/>
    <w:p>
      <w:pPr>
        <w:spacing w:after="0"/>
        <w:ind w:left="0"/>
        <w:jc w:val="both"/>
      </w:pPr>
      <w:r>
        <w:rPr>
          <w:rFonts w:ascii="Times New Roman"/>
          <w:b w:val="false"/>
          <w:i w:val="false"/>
          <w:color w:val="000000"/>
          <w:sz w:val="28"/>
        </w:rPr>
        <w:t>
      12. Развитие деятельности микрофинансовых организаций.</w:t>
      </w:r>
    </w:p>
    <w:bookmarkEnd w:id="57"/>
    <w:p>
      <w:pPr>
        <w:spacing w:after="0"/>
        <w:ind w:left="0"/>
        <w:jc w:val="both"/>
      </w:pPr>
      <w:r>
        <w:rPr>
          <w:rFonts w:ascii="Times New Roman"/>
          <w:b w:val="false"/>
          <w:i w:val="false"/>
          <w:color w:val="000000"/>
          <w:sz w:val="28"/>
        </w:rPr>
        <w:t>
      После завершения переходного периода, предусмотренного для микрокредитных организаций в соответствии с законодательством Республики Казахстан, на основании полученной информации в рамках контроля и надзора за данными организациями в целях совершенствования их деятельности будут рассмотрены возможность внедрения новых услуг микрофинансовых организаций, а также необходимость введения новых соответствующих регуляторных требований.</w:t>
      </w:r>
    </w:p>
    <w:p>
      <w:pPr>
        <w:spacing w:after="0"/>
        <w:ind w:left="0"/>
        <w:jc w:val="both"/>
      </w:pPr>
      <w:r>
        <w:rPr>
          <w:rFonts w:ascii="Times New Roman"/>
          <w:b w:val="false"/>
          <w:i w:val="false"/>
          <w:color w:val="000000"/>
          <w:sz w:val="28"/>
        </w:rPr>
        <w:t>
      Для дальнейшего развития микрофинансовых организаций также могут быть предусмотрены новые организационно-правовые формы организаций и введение в секторе микрофинансовых организаций института саморегулирования.</w:t>
      </w:r>
    </w:p>
    <w:p>
      <w:pPr>
        <w:spacing w:after="0"/>
        <w:ind w:left="0"/>
        <w:jc w:val="both"/>
      </w:pPr>
      <w:r>
        <w:rPr>
          <w:rFonts w:ascii="Times New Roman"/>
          <w:b w:val="false"/>
          <w:i w:val="false"/>
          <w:color w:val="000000"/>
          <w:sz w:val="28"/>
        </w:rPr>
        <w:t>
      Соответствующие изменения в действующее законодательство планируются к рассмотрению не ранее 2016 года (в 2016 – 2020 годах), то есть после завершения переходного периода.</w:t>
      </w:r>
    </w:p>
    <w:bookmarkStart w:name="z62" w:id="58"/>
    <w:p>
      <w:pPr>
        <w:spacing w:after="0"/>
        <w:ind w:left="0"/>
        <w:jc w:val="left"/>
      </w:pPr>
      <w:r>
        <w:rPr>
          <w:rFonts w:ascii="Times New Roman"/>
          <w:b/>
          <w:i w:val="false"/>
          <w:color w:val="000000"/>
        </w:rPr>
        <w:t xml:space="preserve"> Задача 4: расширение ресурсов роста финансового сектора,</w:t>
      </w:r>
      <w:r>
        <w:br/>
      </w:r>
      <w:r>
        <w:rPr>
          <w:rFonts w:ascii="Times New Roman"/>
          <w:b/>
          <w:i w:val="false"/>
          <w:color w:val="000000"/>
        </w:rPr>
        <w:t>в том числе за счет финансовых продуктов, отвечающих</w:t>
      </w:r>
      <w:r>
        <w:br/>
      </w:r>
      <w:r>
        <w:rPr>
          <w:rFonts w:ascii="Times New Roman"/>
          <w:b/>
          <w:i w:val="false"/>
          <w:color w:val="000000"/>
        </w:rPr>
        <w:t>потребностям экономики</w:t>
      </w:r>
    </w:p>
    <w:bookmarkEnd w:id="58"/>
    <w:bookmarkStart w:name="z63" w:id="59"/>
    <w:p>
      <w:pPr>
        <w:spacing w:after="0"/>
        <w:ind w:left="0"/>
        <w:jc w:val="both"/>
      </w:pPr>
      <w:r>
        <w:rPr>
          <w:rFonts w:ascii="Times New Roman"/>
          <w:b w:val="false"/>
          <w:i w:val="false"/>
          <w:color w:val="000000"/>
          <w:sz w:val="28"/>
        </w:rPr>
        <w:t>
      1. Формирование ресурсной базы банков, диверсифицированной по разным источникам фондирования.</w:t>
      </w:r>
    </w:p>
    <w:bookmarkEnd w:id="59"/>
    <w:p>
      <w:pPr>
        <w:spacing w:after="0"/>
        <w:ind w:left="0"/>
        <w:jc w:val="both"/>
      </w:pPr>
      <w:r>
        <w:rPr>
          <w:rFonts w:ascii="Times New Roman"/>
          <w:b w:val="false"/>
          <w:i w:val="false"/>
          <w:color w:val="000000"/>
          <w:sz w:val="28"/>
        </w:rPr>
        <w:t>
      Привлечение ресурсов путем выпуска облигаций на внутреннем рынке является более дорогим, но при этом и более долгосрочным фондированием по сравнению с привлечением депозитов. Для активизации процесса выпуска банками облигаций на внутреннем рынке Национальный Банк Республики Казахстан рассмотрит необходимость изменения регуляторной среды в целях повышения интереса для потенциальных инвесторов к данному виду финансовых инструментов.</w:t>
      </w:r>
    </w:p>
    <w:p>
      <w:pPr>
        <w:spacing w:after="0"/>
        <w:ind w:left="0"/>
        <w:jc w:val="both"/>
      </w:pPr>
      <w:r>
        <w:rPr>
          <w:rFonts w:ascii="Times New Roman"/>
          <w:b w:val="false"/>
          <w:i w:val="false"/>
          <w:color w:val="000000"/>
          <w:sz w:val="28"/>
        </w:rPr>
        <w:t>
      Кроме того, существующий относительно низкий уровень внешнего долга позволяет банкам начать привлекать внешнее заимствование, что не приведет к кризису внешнего долга при его умеренных объемах и эффективном управлении. В отношении внешнего долга банков Национальный Банк Республики Казахстан будет придерживаться консервативной политики, не допуская чрезмерного роста задолженности банков перед нерезидентами. Комфортным уровнем внешней задолженности банков Национальный Банк Республики Казахстан считает поддержание доли внешних обязательств банковского сектора в совокупном размере его обязательств на уровне не более 30 %, за исключением обязательств по облигациям, конвертируемым в капитал.</w:t>
      </w:r>
    </w:p>
    <w:p>
      <w:pPr>
        <w:spacing w:after="0"/>
        <w:ind w:left="0"/>
        <w:jc w:val="both"/>
      </w:pPr>
      <w:r>
        <w:rPr>
          <w:rFonts w:ascii="Times New Roman"/>
          <w:b w:val="false"/>
          <w:i w:val="false"/>
          <w:color w:val="000000"/>
          <w:sz w:val="28"/>
        </w:rPr>
        <w:t>
      Будет рассмотрена целесообразность совершенствования действующего законодательства в части развития такого инструмента привлечения ресурсов как депозитные сертификаты.</w:t>
      </w:r>
    </w:p>
    <w:p>
      <w:pPr>
        <w:spacing w:after="0"/>
        <w:ind w:left="0"/>
        <w:jc w:val="both"/>
      </w:pPr>
      <w:r>
        <w:rPr>
          <w:rFonts w:ascii="Times New Roman"/>
          <w:b w:val="false"/>
          <w:i w:val="false"/>
          <w:color w:val="000000"/>
          <w:sz w:val="28"/>
        </w:rPr>
        <w:t xml:space="preserve">
      Несмотря на наличие нормативной правовой базы, так и не получил свое развитие механизм секьюритизации активов. Будут приниматься меры по стимулированию выпуска и развитию рынка секьюритизированных активов. </w:t>
      </w:r>
    </w:p>
    <w:p>
      <w:pPr>
        <w:spacing w:after="0"/>
        <w:ind w:left="0"/>
        <w:jc w:val="both"/>
      </w:pPr>
      <w:r>
        <w:rPr>
          <w:rFonts w:ascii="Times New Roman"/>
          <w:b w:val="false"/>
          <w:i w:val="false"/>
          <w:color w:val="000000"/>
          <w:sz w:val="28"/>
        </w:rPr>
        <w:t>
      Кроме того, необходимо рассмотреть вопрос введения системы штрафов или других мер, дестимулирующих досрочное снятие денег со счетов банковского вклада, для обеспечения роста долгосрочных источников фондирования банков в национальной валюте.</w:t>
      </w:r>
    </w:p>
    <w:p>
      <w:pPr>
        <w:spacing w:after="0"/>
        <w:ind w:left="0"/>
        <w:jc w:val="both"/>
      </w:pPr>
      <w:r>
        <w:rPr>
          <w:rFonts w:ascii="Times New Roman"/>
          <w:b w:val="false"/>
          <w:i w:val="false"/>
          <w:color w:val="000000"/>
          <w:sz w:val="28"/>
        </w:rPr>
        <w:t>
      Важную роль в повышении устойчивости и долгосрочности фондирования банков будет играть ЕНПФ. Предполагается сохранение определенного статус-кво, когда пенсионные активы размещаются в финансовые инструменты банков. Будет изучен вопрос и определен эффективный механизм распределения части пенсионных активов в финансовые инструменты банков.</w:t>
      </w:r>
    </w:p>
    <w:bookmarkStart w:name="z64" w:id="60"/>
    <w:p>
      <w:pPr>
        <w:spacing w:after="0"/>
        <w:ind w:left="0"/>
        <w:jc w:val="both"/>
      </w:pPr>
      <w:r>
        <w:rPr>
          <w:rFonts w:ascii="Times New Roman"/>
          <w:b w:val="false"/>
          <w:i w:val="false"/>
          <w:color w:val="000000"/>
          <w:sz w:val="28"/>
        </w:rPr>
        <w:t>
      2. Повышение спроса на финансовую систему Республики Казахстан через стимулирование притока иностранного недолгового капитала.</w:t>
      </w:r>
    </w:p>
    <w:bookmarkEnd w:id="60"/>
    <w:p>
      <w:pPr>
        <w:spacing w:after="0"/>
        <w:ind w:left="0"/>
        <w:jc w:val="both"/>
      </w:pPr>
      <w:r>
        <w:rPr>
          <w:rFonts w:ascii="Times New Roman"/>
          <w:b w:val="false"/>
          <w:i w:val="false"/>
          <w:color w:val="000000"/>
          <w:sz w:val="28"/>
        </w:rPr>
        <w:t>
      В целях обеспечения дополнительного притока капитала будет всесторонне изучена модель "финансового хаба", которая реализована в ряде стран. Модель "финансового хаба" подразумевает создание специальных финансовых зон, исключительно в рамках которых реализуется территориальный принцип налогообложения. На остальной территории государства, то есть вне "финансового хаба", сохраняется общеустановленный порядок налогообложения.</w:t>
      </w:r>
    </w:p>
    <w:p>
      <w:pPr>
        <w:spacing w:after="0"/>
        <w:ind w:left="0"/>
        <w:jc w:val="both"/>
      </w:pPr>
      <w:r>
        <w:rPr>
          <w:rFonts w:ascii="Times New Roman"/>
          <w:b w:val="false"/>
          <w:i w:val="false"/>
          <w:color w:val="000000"/>
          <w:sz w:val="28"/>
        </w:rPr>
        <w:t>
      По результатам изучения будет рассмотрена целесообразность ее внедрения в Республике Казахстан, в том числе с учетом ее влияния на экономику страны, а также с точки зрения международных требований по противодействию отмывания капитала.</w:t>
      </w:r>
    </w:p>
    <w:bookmarkStart w:name="z65" w:id="61"/>
    <w:p>
      <w:pPr>
        <w:spacing w:after="0"/>
        <w:ind w:left="0"/>
        <w:jc w:val="both"/>
      </w:pPr>
      <w:r>
        <w:rPr>
          <w:rFonts w:ascii="Times New Roman"/>
          <w:b w:val="false"/>
          <w:i w:val="false"/>
          <w:color w:val="000000"/>
          <w:sz w:val="28"/>
        </w:rPr>
        <w:t>
      3. Создание эффективной системы рефинансирования.</w:t>
      </w:r>
    </w:p>
    <w:bookmarkEnd w:id="61"/>
    <w:p>
      <w:pPr>
        <w:spacing w:after="0"/>
        <w:ind w:left="0"/>
        <w:jc w:val="both"/>
      </w:pPr>
      <w:r>
        <w:rPr>
          <w:rFonts w:ascii="Times New Roman"/>
          <w:b w:val="false"/>
          <w:i w:val="false"/>
          <w:color w:val="000000"/>
          <w:sz w:val="28"/>
        </w:rPr>
        <w:t>
      С учетом направленности мер государственной политики по консолидации банковского сектора Национальным Банком Республики Казахстан будет внедряться новая система рефинансирования. Будет рассмотрен вопрос проведения операций преимущественно с крупными и средними банками, что может быть реализовано в рамках развития системы первичных дилеров на рынке ценных бумаг.</w:t>
      </w:r>
    </w:p>
    <w:p>
      <w:pPr>
        <w:spacing w:after="0"/>
        <w:ind w:left="0"/>
        <w:jc w:val="both"/>
      </w:pPr>
      <w:r>
        <w:rPr>
          <w:rFonts w:ascii="Times New Roman"/>
          <w:b w:val="false"/>
          <w:i w:val="false"/>
          <w:color w:val="000000"/>
          <w:sz w:val="28"/>
        </w:rPr>
        <w:t>
      Система инструментов Национального Банка Республики Казахстан будет настраиваться таким образом, чтобы обеспечить подкрепление банков ликвидностью (в любой момент времени при удовлетворении выставляемых требований) как на индивидуальной основе, так и при возникновении системных проблем. Это позволит банкам сместить акценты в кредитной политике на формирование долгосрочных активов.</w:t>
      </w:r>
    </w:p>
    <w:p>
      <w:pPr>
        <w:spacing w:after="0"/>
        <w:ind w:left="0"/>
        <w:jc w:val="both"/>
      </w:pPr>
      <w:r>
        <w:rPr>
          <w:rFonts w:ascii="Times New Roman"/>
          <w:b w:val="false"/>
          <w:i w:val="false"/>
          <w:color w:val="000000"/>
          <w:sz w:val="28"/>
        </w:rPr>
        <w:t>
      Такая система инструментов подразумевает наличие как классических инструментов денежно-кредитной политики (постоянные механизмы, операции открытого рынка), так и внедрение в практику механизма предоставления обусловленного фондирования (в частности, ликвидность в обмен на обязательство банка по снижению объема проблемных активов, кредитованию приоритетных секторов, снижению спекулятивного участия на рынке производных финансовых инструментов). При этом расширение списка финансовых инструментов, которые могут рассматриваться Национальным Банком Республики Казахстан как приемлемые в качестве залогового обеспечения, должно быть оправдано степенью их риска.</w:t>
      </w:r>
    </w:p>
    <w:p>
      <w:pPr>
        <w:spacing w:after="0"/>
        <w:ind w:left="0"/>
        <w:jc w:val="both"/>
      </w:pPr>
      <w:r>
        <w:rPr>
          <w:rFonts w:ascii="Times New Roman"/>
          <w:b w:val="false"/>
          <w:i w:val="false"/>
          <w:color w:val="000000"/>
          <w:sz w:val="28"/>
        </w:rPr>
        <w:t>
      Даже наличие эффективно функционирующей системы рефинансирования требует от банков формирования заранее буферов ликвидности на случай ее сезонных и краткосрочных резких и значительных колебаний. Национальным Банком Республики Казахстан будут создаваться для этого необходимые условия.</w:t>
      </w:r>
    </w:p>
    <w:p>
      <w:pPr>
        <w:spacing w:after="0"/>
        <w:ind w:left="0"/>
        <w:jc w:val="both"/>
      </w:pPr>
      <w:r>
        <w:rPr>
          <w:rFonts w:ascii="Times New Roman"/>
          <w:b w:val="false"/>
          <w:i w:val="false"/>
          <w:color w:val="000000"/>
          <w:sz w:val="28"/>
        </w:rPr>
        <w:t>
      В целях повышения качества управления ликвидностью Национальный Банк Республики Казахстан будет стимулировать становление и развитие рынка межбанковского кредитования. Будет рассмотрен вопрос введения механизма, предполагающего обеспечение Национальным Банком Республики Казахстан завершения сделки, например, предоставление гарантии, что позволит банкам расширить операции друг с другом.</w:t>
      </w:r>
    </w:p>
    <w:bookmarkStart w:name="z66" w:id="62"/>
    <w:p>
      <w:pPr>
        <w:spacing w:after="0"/>
        <w:ind w:left="0"/>
        <w:jc w:val="both"/>
      </w:pPr>
      <w:r>
        <w:rPr>
          <w:rFonts w:ascii="Times New Roman"/>
          <w:b w:val="false"/>
          <w:i w:val="false"/>
          <w:color w:val="000000"/>
          <w:sz w:val="28"/>
        </w:rPr>
        <w:t>
      4. Формирование и поддержание предложения на рынке ценных бумаг и вывод на первичное размещение акций эмитентов, являющихся интересными объектами инвестирования.</w:t>
      </w:r>
    </w:p>
    <w:bookmarkEnd w:id="62"/>
    <w:p>
      <w:pPr>
        <w:spacing w:after="0"/>
        <w:ind w:left="0"/>
        <w:jc w:val="both"/>
      </w:pPr>
      <w:r>
        <w:rPr>
          <w:rFonts w:ascii="Times New Roman"/>
          <w:b w:val="false"/>
          <w:i w:val="false"/>
          <w:color w:val="000000"/>
          <w:sz w:val="28"/>
        </w:rPr>
        <w:t>
      Ключевым фактором развития рынка ценных бумаг, формирования и поддержания устойчивого предложения на нем, а также увеличения инвесторской базы является вывод новых компаний на первичное размещение акций, который должен осуществляться на системной основе.</w:t>
      </w:r>
    </w:p>
    <w:p>
      <w:pPr>
        <w:spacing w:after="0"/>
        <w:ind w:left="0"/>
        <w:jc w:val="both"/>
      </w:pPr>
      <w:r>
        <w:rPr>
          <w:rFonts w:ascii="Times New Roman"/>
          <w:b w:val="false"/>
          <w:i w:val="false"/>
          <w:color w:val="000000"/>
          <w:sz w:val="28"/>
        </w:rPr>
        <w:t>
      В этом вопросе активную роль должно играть государство, которое может предложить для публичного размещения на казахстанском рынке ценные бумаги компаний "квазигосударственного" сектора, которые составят группу самых ликвидных инструментов.</w:t>
      </w:r>
    </w:p>
    <w:p>
      <w:pPr>
        <w:spacing w:after="0"/>
        <w:ind w:left="0"/>
        <w:jc w:val="both"/>
      </w:pPr>
      <w:r>
        <w:rPr>
          <w:rFonts w:ascii="Times New Roman"/>
          <w:b w:val="false"/>
          <w:i w:val="false"/>
          <w:color w:val="000000"/>
          <w:sz w:val="28"/>
        </w:rPr>
        <w:t>
      Таким образом, в целях дальнейшего развития рынка ценных бумаг необходимо продолжить первичное размещение акций дочерними и (или) зависимыми организациями акционерного общества "Фонд национального благосостояния "Самрук-Казына" в рамках Программы "Народное IPO" и устранить все причины, препятствующие продолжению данной программы.</w:t>
      </w:r>
    </w:p>
    <w:p>
      <w:pPr>
        <w:spacing w:after="0"/>
        <w:ind w:left="0"/>
        <w:jc w:val="both"/>
      </w:pPr>
      <w:r>
        <w:rPr>
          <w:rFonts w:ascii="Times New Roman"/>
          <w:b w:val="false"/>
          <w:i w:val="false"/>
          <w:color w:val="000000"/>
          <w:sz w:val="28"/>
        </w:rPr>
        <w:t>
      Также требуется рассмотреть возможность осуществления последующих приватизаций посредством размещения акций организаций, являющихся объектами планируемой приватизации и входящих в структуру национальных управляющих холдингов, на отечественной фондовой бирже.</w:t>
      </w:r>
    </w:p>
    <w:p>
      <w:pPr>
        <w:spacing w:after="0"/>
        <w:ind w:left="0"/>
        <w:jc w:val="both"/>
      </w:pPr>
      <w:r>
        <w:rPr>
          <w:rFonts w:ascii="Times New Roman"/>
          <w:b w:val="false"/>
          <w:i w:val="false"/>
          <w:color w:val="000000"/>
          <w:sz w:val="28"/>
        </w:rPr>
        <w:t>
      Проведение приватизации посредством размещения акций квазигосударственных предприятий на отечественной фондовой бирже придаст мощный импульс развитию рынка ценных бумаг и станет катализатором для привлечения на рынок иностранных инвесторов. Такая приватизация обеспечит равные условия участия в торгах для всех участников торгов, конкуренцию между неограниченным количеством участников торгов, прозрачное и справедливое ценообразование на объекты приватизации.</w:t>
      </w:r>
    </w:p>
    <w:p>
      <w:pPr>
        <w:spacing w:after="0"/>
        <w:ind w:left="0"/>
        <w:jc w:val="both"/>
      </w:pPr>
      <w:r>
        <w:rPr>
          <w:rFonts w:ascii="Times New Roman"/>
          <w:b w:val="false"/>
          <w:i w:val="false"/>
          <w:color w:val="000000"/>
          <w:sz w:val="28"/>
        </w:rPr>
        <w:t>
      Важно предусмотреть условие по обеспечению вторичного обращения на отечественной фондовой бирже акций предприятий после проведения их приватизации, поскольку это повысит привлекательность объектов приватизации, в том числе для иностранных инвесторов, и обеспечит прозрачность их последующей деятельности.</w:t>
      </w:r>
    </w:p>
    <w:p>
      <w:pPr>
        <w:spacing w:after="0"/>
        <w:ind w:left="0"/>
        <w:jc w:val="both"/>
      </w:pPr>
      <w:r>
        <w:rPr>
          <w:rFonts w:ascii="Times New Roman"/>
          <w:b w:val="false"/>
          <w:i w:val="false"/>
          <w:color w:val="000000"/>
          <w:sz w:val="28"/>
        </w:rPr>
        <w:t>
      Также, в целях поддержания предложения на рынке ценных бумаг и сохранения его ликвидности на высоком уровне необходимо развивать институт маркет-мейкеров, которые должны поддерживать предложение на рынке с высокими объемами своих котировок и узкими спредами между такими котировками. При этом основные ресурсы маркет-мейкеров следует концентрировать на потенциально ликвидных финансовых инструментах.</w:t>
      </w:r>
    </w:p>
    <w:p>
      <w:pPr>
        <w:spacing w:after="0"/>
        <w:ind w:left="0"/>
        <w:jc w:val="both"/>
      </w:pPr>
      <w:r>
        <w:rPr>
          <w:rFonts w:ascii="Times New Roman"/>
          <w:b w:val="false"/>
          <w:i w:val="false"/>
          <w:color w:val="000000"/>
          <w:sz w:val="28"/>
        </w:rPr>
        <w:t>
      Одной из приоритетных задач также является частичное ограничение оттока эмитентов-резидентов Республики Казахстан для привлечения акционерного и заемного капитала на иностранных рынках ценных бумаг. В настоящее время характеристики эмитентов-резидентов Республики Казахстан, в отношении которых установлены требования по размещению среди отечественных инвесторов определенного количества ценных бумаг, планируемых к выпуску и размещению на территории иностранного государства, не позволяют в полной мере применять имеющиеся механизмы по контролю за выполнением эмитентами-резидентами законодательства Республики Казахстан.</w:t>
      </w:r>
    </w:p>
    <w:p>
      <w:pPr>
        <w:spacing w:after="0"/>
        <w:ind w:left="0"/>
        <w:jc w:val="both"/>
      </w:pPr>
      <w:r>
        <w:rPr>
          <w:rFonts w:ascii="Times New Roman"/>
          <w:b w:val="false"/>
          <w:i w:val="false"/>
          <w:color w:val="000000"/>
          <w:sz w:val="28"/>
        </w:rPr>
        <w:t>
      В целях совершенствования мониторинга деятельности эмитентов-резидентов Республики Казахстан для защиты интересов казахстанских инвесторов необходимо расширить полномочия уполномоченного органа по контролю за соблюдением требований законодательства Республики Казахстан. Данная мера будет реализована путем рассмотрения возможности предоставления ему права приостанавливать обращение ценных бумаг либо признавать размещение ценных бумаг недействительным в случае нарушения эмитентом условий размещения либо обращения его ценных бумаг на казахстанском или иностранных рынках.</w:t>
      </w:r>
    </w:p>
    <w:p>
      <w:pPr>
        <w:spacing w:after="0"/>
        <w:ind w:left="0"/>
        <w:jc w:val="both"/>
      </w:pPr>
      <w:r>
        <w:rPr>
          <w:rFonts w:ascii="Times New Roman"/>
          <w:b w:val="false"/>
          <w:i w:val="false"/>
          <w:color w:val="000000"/>
          <w:sz w:val="28"/>
        </w:rPr>
        <w:t>
      Система налогообложения является наиболее гибким инструментом государственного регулирования, позволяющим в случае необходимости обеспечить развитие секторов экономики, либо сдерживать их перегрев. Использование налоговых льгот и преференций является наиболее широко применяемым механизмом развития рынка ценных бумаг.</w:t>
      </w:r>
    </w:p>
    <w:p>
      <w:pPr>
        <w:spacing w:after="0"/>
        <w:ind w:left="0"/>
        <w:jc w:val="both"/>
      </w:pPr>
      <w:r>
        <w:rPr>
          <w:rFonts w:ascii="Times New Roman"/>
          <w:b w:val="false"/>
          <w:i w:val="false"/>
          <w:color w:val="000000"/>
          <w:sz w:val="28"/>
        </w:rPr>
        <w:t>
      В Республике Казахстан на сегодняшний день существуют налоговые льготы для инвесторов, выходящих на фондовую биржу, однако это является слабой мотивацией выхода на IPO и организованный рынок ценных бумаг корпоративных эмитентов акций.</w:t>
      </w:r>
    </w:p>
    <w:p>
      <w:pPr>
        <w:spacing w:after="0"/>
        <w:ind w:left="0"/>
        <w:jc w:val="both"/>
      </w:pPr>
      <w:r>
        <w:rPr>
          <w:rFonts w:ascii="Times New Roman"/>
          <w:b w:val="false"/>
          <w:i w:val="false"/>
          <w:color w:val="000000"/>
          <w:sz w:val="28"/>
        </w:rPr>
        <w:t>
      В этой связи будут проанализированы причины слабого роста количества IPO казахстанских эмитентов на отечественном рынке ценных бумаг и рассмотрен вопрос налогообложения на организованном рынке ценных бумаг.</w:t>
      </w:r>
    </w:p>
    <w:p>
      <w:pPr>
        <w:spacing w:after="0"/>
        <w:ind w:left="0"/>
        <w:jc w:val="both"/>
      </w:pPr>
      <w:r>
        <w:rPr>
          <w:rFonts w:ascii="Times New Roman"/>
          <w:b w:val="false"/>
          <w:i w:val="false"/>
          <w:color w:val="000000"/>
          <w:sz w:val="28"/>
        </w:rPr>
        <w:t>
      В свою очередь, в целях частичного ограничения оттока эмитентов-резидентов Республики Казахстан для привлечения акционерного и заемного капитала на иностранных рынках ценных бумаг целесообразным будет являться введение дополнительных налоговых сборов для эмитентов-резидентов, планирующих выпуск и размещение ценных бумаг на зарубежных рынках. Необходимо также поэтапное повышение для данных эмитентов минимального порогового значения объема ценных бумаг, которые они должны будут разместить на отечественном рынке ценных бумаг, перед тем как приступить к размещению на иностранных рынках ценных бумаг.</w:t>
      </w:r>
    </w:p>
    <w:p>
      <w:pPr>
        <w:spacing w:after="0"/>
        <w:ind w:left="0"/>
        <w:jc w:val="both"/>
      </w:pPr>
      <w:r>
        <w:rPr>
          <w:rFonts w:ascii="Times New Roman"/>
          <w:b w:val="false"/>
          <w:i w:val="false"/>
          <w:color w:val="000000"/>
          <w:sz w:val="28"/>
        </w:rPr>
        <w:t>
      В целях формирования и поддержания предложения на рынке ценных бумаг также необходимо привлекать внешних эмитентов на рынок ценных бумаг Республики Казахстан. Необходимо стимулировать предложения на рынке ценных бумаг не только в пределах Республики Казахстан, но и в других странах, в том числе в странах Центральной Азии, ЕЭП и ВТО посредством создания благоприятных условий для привлечения на отечественный рынок ценных бумаг иностранных эмитентов в целях первичного размещения их акций.</w:t>
      </w:r>
    </w:p>
    <w:p>
      <w:pPr>
        <w:spacing w:after="0"/>
        <w:ind w:left="0"/>
        <w:jc w:val="both"/>
      </w:pPr>
      <w:r>
        <w:rPr>
          <w:rFonts w:ascii="Times New Roman"/>
          <w:b w:val="false"/>
          <w:i w:val="false"/>
          <w:color w:val="000000"/>
          <w:sz w:val="28"/>
        </w:rPr>
        <w:t>
      Реализация данной задачи может быть осуществлена посредством дальнейшего развития РФЦА и его позиционирования в качестве регионального финансового хаба.</w:t>
      </w:r>
    </w:p>
    <w:p>
      <w:pPr>
        <w:spacing w:after="0"/>
        <w:ind w:left="0"/>
        <w:jc w:val="both"/>
      </w:pPr>
      <w:r>
        <w:rPr>
          <w:rFonts w:ascii="Times New Roman"/>
          <w:b w:val="false"/>
          <w:i w:val="false"/>
          <w:color w:val="000000"/>
          <w:sz w:val="28"/>
        </w:rPr>
        <w:t>
      Также требует рассмотрения вопрос обязательного включения в листинг на Казахстанской фондовой бирже ценных бумаг организаций, претендующих на получение соответствующих государственных субсидий в рамках реализуемых государством программ по поддержке отечественных предприятий.</w:t>
      </w:r>
    </w:p>
    <w:p>
      <w:pPr>
        <w:spacing w:after="0"/>
        <w:ind w:left="0"/>
        <w:jc w:val="both"/>
      </w:pPr>
      <w:r>
        <w:rPr>
          <w:rFonts w:ascii="Times New Roman"/>
          <w:b w:val="false"/>
          <w:i w:val="false"/>
          <w:color w:val="000000"/>
          <w:sz w:val="28"/>
        </w:rPr>
        <w:t>
      Помимо повышения предложения на рынке ценных бумаг, реализация данной меры обеспечит прозрачность данных организаций и облегчит мониторинг за их деятельностью.</w:t>
      </w:r>
    </w:p>
    <w:bookmarkStart w:name="z67" w:id="63"/>
    <w:p>
      <w:pPr>
        <w:spacing w:after="0"/>
        <w:ind w:left="0"/>
        <w:jc w:val="both"/>
      </w:pPr>
      <w:r>
        <w:rPr>
          <w:rFonts w:ascii="Times New Roman"/>
          <w:b w:val="false"/>
          <w:i w:val="false"/>
          <w:color w:val="000000"/>
          <w:sz w:val="28"/>
        </w:rPr>
        <w:t>
      5. Роль институтов развития.</w:t>
      </w:r>
    </w:p>
    <w:bookmarkEnd w:id="63"/>
    <w:p>
      <w:pPr>
        <w:spacing w:after="0"/>
        <w:ind w:left="0"/>
        <w:jc w:val="both"/>
      </w:pPr>
      <w:r>
        <w:rPr>
          <w:rFonts w:ascii="Times New Roman"/>
          <w:b w:val="false"/>
          <w:i w:val="false"/>
          <w:color w:val="000000"/>
          <w:sz w:val="28"/>
        </w:rPr>
        <w:t>
      Финансовые институты развития в условиях развивающейся экономики играют важную роль в становлении устойчивого финансового сектора. Государственное участие и поддержка через институты развития являются неотъемлемым условием долгосрочного и успешного развития финансового сектора.</w:t>
      </w:r>
    </w:p>
    <w:p>
      <w:pPr>
        <w:spacing w:after="0"/>
        <w:ind w:left="0"/>
        <w:jc w:val="both"/>
      </w:pPr>
      <w:r>
        <w:rPr>
          <w:rFonts w:ascii="Times New Roman"/>
          <w:b w:val="false"/>
          <w:i w:val="false"/>
          <w:color w:val="000000"/>
          <w:sz w:val="28"/>
        </w:rPr>
        <w:t>
      Акционерное общество "Национальный управляющий холдинг "Байтерек" и его дочерние организации (далее – холдинг) являются финансовым инструментом Правительства Республики Казахстан в финансировании государственных программ развития. Финансирование приоритетных отраслей экономики реализуется путем привлечения фондирования с локального и международного рынков капитала.</w:t>
      </w:r>
    </w:p>
    <w:p>
      <w:pPr>
        <w:spacing w:after="0"/>
        <w:ind w:left="0"/>
        <w:jc w:val="both"/>
      </w:pPr>
      <w:r>
        <w:rPr>
          <w:rFonts w:ascii="Times New Roman"/>
          <w:b w:val="false"/>
          <w:i w:val="false"/>
          <w:color w:val="000000"/>
          <w:sz w:val="28"/>
        </w:rPr>
        <w:t>
      За счет эффективного использования и распределения финансовых ресурсов холдингом на постоянной основе реализуются следующие задачи:</w:t>
      </w:r>
    </w:p>
    <w:p>
      <w:pPr>
        <w:spacing w:after="0"/>
        <w:ind w:left="0"/>
        <w:jc w:val="both"/>
      </w:pPr>
      <w:r>
        <w:rPr>
          <w:rFonts w:ascii="Times New Roman"/>
          <w:b w:val="false"/>
          <w:i w:val="false"/>
          <w:color w:val="000000"/>
          <w:sz w:val="28"/>
        </w:rPr>
        <w:t>
      1) своевременное обеспечение финансовыми ресурсами при реализации государственных программ развития;</w:t>
      </w:r>
    </w:p>
    <w:p>
      <w:pPr>
        <w:spacing w:after="0"/>
        <w:ind w:left="0"/>
        <w:jc w:val="both"/>
      </w:pPr>
      <w:r>
        <w:rPr>
          <w:rFonts w:ascii="Times New Roman"/>
          <w:b w:val="false"/>
          <w:i w:val="false"/>
          <w:color w:val="000000"/>
          <w:sz w:val="28"/>
        </w:rPr>
        <w:t>
      2) оптимальные условия привлекаемого финансирования;</w:t>
      </w:r>
    </w:p>
    <w:p>
      <w:pPr>
        <w:spacing w:after="0"/>
        <w:ind w:left="0"/>
        <w:jc w:val="both"/>
      </w:pPr>
      <w:r>
        <w:rPr>
          <w:rFonts w:ascii="Times New Roman"/>
          <w:b w:val="false"/>
          <w:i w:val="false"/>
          <w:color w:val="000000"/>
          <w:sz w:val="28"/>
        </w:rPr>
        <w:t>
      3) целевое назначение привлекаемого финансирования;</w:t>
      </w:r>
    </w:p>
    <w:p>
      <w:pPr>
        <w:spacing w:after="0"/>
        <w:ind w:left="0"/>
        <w:jc w:val="both"/>
      </w:pPr>
      <w:r>
        <w:rPr>
          <w:rFonts w:ascii="Times New Roman"/>
          <w:b w:val="false"/>
          <w:i w:val="false"/>
          <w:color w:val="000000"/>
          <w:sz w:val="28"/>
        </w:rPr>
        <w:t>
      4) сохранение финансовой устойчивости холдинга.</w:t>
      </w:r>
    </w:p>
    <w:p>
      <w:pPr>
        <w:spacing w:after="0"/>
        <w:ind w:left="0"/>
        <w:jc w:val="both"/>
      </w:pPr>
      <w:r>
        <w:rPr>
          <w:rFonts w:ascii="Times New Roman"/>
          <w:b w:val="false"/>
          <w:i w:val="false"/>
          <w:color w:val="000000"/>
          <w:sz w:val="28"/>
        </w:rPr>
        <w:t xml:space="preserve">
      В состав холдинга входят институты развития, которые непосредственно принимают активное участие в становлении финансового сектора и предоставлении необходимых инструментов финансирования в приоритетных отраслях экономики. При этом принимаются все усилия по обеспечению доходности на уровне или выше инфляции с высоким уровнем прозрачности и информированности участников. </w:t>
      </w:r>
    </w:p>
    <w:p>
      <w:pPr>
        <w:spacing w:after="0"/>
        <w:ind w:left="0"/>
        <w:jc w:val="both"/>
      </w:pPr>
      <w:r>
        <w:rPr>
          <w:rFonts w:ascii="Times New Roman"/>
          <w:b w:val="false"/>
          <w:i w:val="false"/>
          <w:color w:val="000000"/>
          <w:sz w:val="28"/>
        </w:rPr>
        <w:t>
      Так, входящий в группу холдинга Банк Развития Казахстана на постоянной основе проводит работу по совершенствованию имеющихся и предоставлению новых продуктов финансирования казахстанской экономики, в том числе путем взаимодействия с банками.</w:t>
      </w:r>
    </w:p>
    <w:p>
      <w:pPr>
        <w:spacing w:after="0"/>
        <w:ind w:left="0"/>
        <w:jc w:val="both"/>
      </w:pPr>
      <w:r>
        <w:rPr>
          <w:rFonts w:ascii="Times New Roman"/>
          <w:b w:val="false"/>
          <w:i w:val="false"/>
          <w:color w:val="000000"/>
          <w:sz w:val="28"/>
        </w:rPr>
        <w:t>
      Акционерное общество "Экспортно-кредитная страховая корпорация "КазЭкспортГарант" определена финансовым оператором по поддержке операций торгового финансирования и страхования экспортных торговых операций. Финансирование будет осуществляться путем предоставления обусловленного вклада банкам, которые на межбанковском рынке предоставляют заем иностранному банку для торгового финансирования. Кроме того, будет расширена линейка страховых продуктов, которые также будут реализовываться совместно с банками.</w:t>
      </w:r>
    </w:p>
    <w:p>
      <w:pPr>
        <w:spacing w:after="0"/>
        <w:ind w:left="0"/>
        <w:jc w:val="both"/>
      </w:pPr>
      <w:r>
        <w:rPr>
          <w:rFonts w:ascii="Times New Roman"/>
          <w:b w:val="false"/>
          <w:i w:val="false"/>
          <w:color w:val="000000"/>
          <w:sz w:val="28"/>
        </w:rPr>
        <w:t xml:space="preserve">
      Жилстройсбербанк Казахстана активно участвует в предоставлении целого спектра инструментов по обеспечению населения доступным жильем путем развития системы жилищных строительных сбережений и предоставления льготных ипотечных кредитов, в том числе социально ориентированных. </w:t>
      </w:r>
    </w:p>
    <w:p>
      <w:pPr>
        <w:spacing w:after="0"/>
        <w:ind w:left="0"/>
        <w:jc w:val="both"/>
      </w:pPr>
      <w:r>
        <w:rPr>
          <w:rFonts w:ascii="Times New Roman"/>
          <w:b w:val="false"/>
          <w:i w:val="false"/>
          <w:color w:val="000000"/>
          <w:sz w:val="28"/>
        </w:rPr>
        <w:t xml:space="preserve">
      Акционерное общество "Ипотечная организация "Казахстанская ипотечная компания" (далее – Казахстанская ипотечная компания) в рамках своей деятельности приобретает ипотечные портфели у банков за счет привлечения долгосрочных средств фондирования на внутреннем рынке. При этом Казахстанская ипотечная компания стремится удешевить заимствование в целях возможности снижения ипотечных ставок для банков. Деятельность Казахстанской ипотечной компании позволяет обеспечить банки необходимым долгосрочным фондированием и высвободить ресурсы для дальнейшего кредитования. </w:t>
      </w:r>
    </w:p>
    <w:p>
      <w:pPr>
        <w:spacing w:after="0"/>
        <w:ind w:left="0"/>
        <w:jc w:val="both"/>
      </w:pPr>
      <w:r>
        <w:rPr>
          <w:rFonts w:ascii="Times New Roman"/>
          <w:b w:val="false"/>
          <w:i w:val="false"/>
          <w:color w:val="000000"/>
          <w:sz w:val="28"/>
        </w:rPr>
        <w:t>
      Таким образом, институты развития вносят непосредственный вклад и принимают активное участие в совершенствовании финансовой инфраструктуры, повышении конкурентоспособности и устойчивости финансового сектора, поддержании сбалансированной экономической среды и снижении кредитных рисков в экономике. При этом, в целях системного расширения ресурсов роста финансового сектора, в том числе за счет развития институтов развития, необходимо обеспечить доступ ко всем возможным источникам долгосрочного финансирования. Диверсификация источников фондирования институтов развития позволит обеспечить приоритетные отрасли экономики долгосрочными источниками финансирования в тенге, реструктурировать и оздоровить проблемные проекты.</w:t>
      </w:r>
    </w:p>
    <w:p>
      <w:pPr>
        <w:spacing w:after="0"/>
        <w:ind w:left="0"/>
        <w:jc w:val="both"/>
      </w:pPr>
      <w:r>
        <w:rPr>
          <w:rFonts w:ascii="Times New Roman"/>
          <w:b w:val="false"/>
          <w:i w:val="false"/>
          <w:color w:val="000000"/>
          <w:sz w:val="28"/>
        </w:rPr>
        <w:t>
      При этом институты развития, обеспечивая предоставление долгосрочного финансирования экономике, не должны создавать конкуренцию частным инвестициям, в том числе банковскому кредитованию.</w:t>
      </w:r>
    </w:p>
    <w:bookmarkStart w:name="z68" w:id="64"/>
    <w:p>
      <w:pPr>
        <w:spacing w:after="0"/>
        <w:ind w:left="0"/>
        <w:jc w:val="left"/>
      </w:pPr>
      <w:r>
        <w:rPr>
          <w:rFonts w:ascii="Times New Roman"/>
          <w:b/>
          <w:i w:val="false"/>
          <w:color w:val="000000"/>
        </w:rPr>
        <w:t xml:space="preserve"> 6. Задача 5: поддержание сбалансированной экономической</w:t>
      </w:r>
      <w:r>
        <w:br/>
      </w:r>
      <w:r>
        <w:rPr>
          <w:rFonts w:ascii="Times New Roman"/>
          <w:b/>
          <w:i w:val="false"/>
          <w:color w:val="000000"/>
        </w:rPr>
        <w:t>среды и снижение кредитных рисков в экономике</w:t>
      </w:r>
    </w:p>
    <w:bookmarkEnd w:id="64"/>
    <w:bookmarkStart w:name="z69" w:id="65"/>
    <w:p>
      <w:pPr>
        <w:spacing w:after="0"/>
        <w:ind w:left="0"/>
        <w:jc w:val="both"/>
      </w:pPr>
      <w:r>
        <w:rPr>
          <w:rFonts w:ascii="Times New Roman"/>
          <w:b w:val="false"/>
          <w:i w:val="false"/>
          <w:color w:val="000000"/>
          <w:sz w:val="28"/>
        </w:rPr>
        <w:t>
      1. Повышение прозрачности реального сектора экономики.</w:t>
      </w:r>
    </w:p>
    <w:bookmarkEnd w:id="65"/>
    <w:p>
      <w:pPr>
        <w:spacing w:after="0"/>
        <w:ind w:left="0"/>
        <w:jc w:val="both"/>
      </w:pPr>
      <w:r>
        <w:rPr>
          <w:rFonts w:ascii="Times New Roman"/>
          <w:b w:val="false"/>
          <w:i w:val="false"/>
          <w:color w:val="000000"/>
          <w:sz w:val="28"/>
        </w:rPr>
        <w:t>
      Низкий уровень прозрачности, а также неразвитость корпоративного управления предприятий, осуществляющих деятельность на территории Республики Казахстан, влекут за собой увеличение уровня потенциальных кредитных рисков для финансовых институтов, сдерживают развитие фондового рынка, а также препятствуют эффективному осуществлению налоговой политики государства.</w:t>
      </w:r>
    </w:p>
    <w:p>
      <w:pPr>
        <w:spacing w:after="0"/>
        <w:ind w:left="0"/>
        <w:jc w:val="both"/>
      </w:pPr>
      <w:r>
        <w:rPr>
          <w:rFonts w:ascii="Times New Roman"/>
          <w:b w:val="false"/>
          <w:i w:val="false"/>
          <w:color w:val="000000"/>
          <w:sz w:val="28"/>
        </w:rPr>
        <w:t>
      При этом необходимы проведение не только проверочных процедур по полноте и своевременности уплаты налогов, но и повышение мотивированности предприятий в достоверном раскрытии информации через демонстрацию реальных выгод, получаемых бизнесом вследствие повышения прозрачности. Более того правильно выстроенное корпоративное управление может служить одним из инструментов снижения рисков в экономике.</w:t>
      </w:r>
    </w:p>
    <w:bookmarkStart w:name="z70" w:id="66"/>
    <w:p>
      <w:pPr>
        <w:spacing w:after="0"/>
        <w:ind w:left="0"/>
        <w:jc w:val="both"/>
      </w:pPr>
      <w:r>
        <w:rPr>
          <w:rFonts w:ascii="Times New Roman"/>
          <w:b w:val="false"/>
          <w:i w:val="false"/>
          <w:color w:val="000000"/>
          <w:sz w:val="28"/>
        </w:rPr>
        <w:t>
      2. Повышение рыночной дисциплины и совершенствование корпоративного управления со стороны субъектов финансового рынка.</w:t>
      </w:r>
    </w:p>
    <w:bookmarkEnd w:id="66"/>
    <w:p>
      <w:pPr>
        <w:spacing w:after="0"/>
        <w:ind w:left="0"/>
        <w:jc w:val="both"/>
      </w:pPr>
      <w:r>
        <w:rPr>
          <w:rFonts w:ascii="Times New Roman"/>
          <w:b w:val="false"/>
          <w:i w:val="false"/>
          <w:color w:val="000000"/>
          <w:sz w:val="28"/>
        </w:rPr>
        <w:t xml:space="preserve">
      Раскрытие информации участниками финансового рынка создаст для потребителей возможность самостоятельного выбора финансового института на основе его операционных и финансовых показателей, информации о подверженности риску, процессах оценки риска и, следовательно, достаточности капитала учреждения, что в будущем позитивно отразится на лояльности клиентов. </w:t>
      </w:r>
    </w:p>
    <w:p>
      <w:pPr>
        <w:spacing w:after="0"/>
        <w:ind w:left="0"/>
        <w:jc w:val="both"/>
      </w:pPr>
      <w:r>
        <w:rPr>
          <w:rFonts w:ascii="Times New Roman"/>
          <w:b w:val="false"/>
          <w:i w:val="false"/>
          <w:color w:val="000000"/>
          <w:sz w:val="28"/>
        </w:rPr>
        <w:t xml:space="preserve">
      Финансовые организации должны вести постоянный процесс совершенствования корпоративного управления. При этом банки обязаны иметь официальную политику раскрытия информации, утвержденную советом директоров, и описывающую подход банка к определению характера раскрываемой информации, а также внутренний контроль над процессом ее раскрытия. Кроме того, банки обязаны внедрить процесс оценки правомерности раскрытия информации, включая обоснование и периодичность раскрытия. </w:t>
      </w:r>
    </w:p>
    <w:p>
      <w:pPr>
        <w:spacing w:after="0"/>
        <w:ind w:left="0"/>
        <w:jc w:val="both"/>
      </w:pPr>
      <w:r>
        <w:rPr>
          <w:rFonts w:ascii="Times New Roman"/>
          <w:b w:val="false"/>
          <w:i w:val="false"/>
          <w:color w:val="000000"/>
          <w:sz w:val="28"/>
        </w:rPr>
        <w:t>
      Кроме того, по каждому виду риска банки должны иметь политику управления риском, включающую: стратегии и процессы; структуру и схему организации соответствующей функции управления риском; сферу и характер систем отчетности и/или измерения риска; политику хеджирования и/или снижения риска, а также стратегии и процессы постоянного отслеживания эффективности инструментов хеджирования или снижения риска.</w:t>
      </w:r>
    </w:p>
    <w:p>
      <w:pPr>
        <w:spacing w:after="0"/>
        <w:ind w:left="0"/>
        <w:jc w:val="both"/>
      </w:pPr>
      <w:r>
        <w:rPr>
          <w:rFonts w:ascii="Times New Roman"/>
          <w:b w:val="false"/>
          <w:i w:val="false"/>
          <w:color w:val="000000"/>
          <w:sz w:val="28"/>
        </w:rPr>
        <w:t>
      Раскрытие информации является эффективным средством информирования рынка о банковских рисках и обеспечивает механизм последовательного и понятного раскрытия информации, позволяющий более эффективно сопоставлять различные институты. Раскрытие информации позволит повысить моральную ответственность финансового института перед обществом.</w:t>
      </w:r>
    </w:p>
    <w:bookmarkStart w:name="z71" w:id="67"/>
    <w:p>
      <w:pPr>
        <w:spacing w:after="0"/>
        <w:ind w:left="0"/>
        <w:jc w:val="both"/>
      </w:pPr>
      <w:r>
        <w:rPr>
          <w:rFonts w:ascii="Times New Roman"/>
          <w:b w:val="false"/>
          <w:i w:val="false"/>
          <w:color w:val="000000"/>
          <w:sz w:val="28"/>
        </w:rPr>
        <w:t>
      3. Развитие института государственно-частного партнерства.</w:t>
      </w:r>
    </w:p>
    <w:bookmarkEnd w:id="67"/>
    <w:p>
      <w:pPr>
        <w:spacing w:after="0"/>
        <w:ind w:left="0"/>
        <w:jc w:val="both"/>
      </w:pPr>
      <w:r>
        <w:rPr>
          <w:rFonts w:ascii="Times New Roman"/>
          <w:b w:val="false"/>
          <w:i w:val="false"/>
          <w:color w:val="000000"/>
          <w:sz w:val="28"/>
        </w:rPr>
        <w:t>
      В целях достижения целей экономической политики по стимулированию развития частного бизнеса, а также повышению социальной ответственности бизнеса перед населением необходимо дальнейшее развитие института государственно-частного партнерства при жестком разграничении рисков каждого из участников, в том числе по следующим направлениям:</w:t>
      </w:r>
    </w:p>
    <w:p>
      <w:pPr>
        <w:spacing w:after="0"/>
        <w:ind w:left="0"/>
        <w:jc w:val="both"/>
      </w:pPr>
      <w:r>
        <w:rPr>
          <w:rFonts w:ascii="Times New Roman"/>
          <w:b w:val="false"/>
          <w:i w:val="false"/>
          <w:color w:val="000000"/>
          <w:sz w:val="28"/>
        </w:rPr>
        <w:t>
      государственная поддержка (в целях выполнения приоритетных программ развития государства, в том числе социальных программ, представляется целесообразным продолжение функционирования государственных программ, направленных на стимулирование кредитования реального сектора экономики, а также субсидирование ставок вознаграждения), в том числе с участием национальных управляющих холдингов: акционерного общества "Фонд национального благосостояния "Самрук-Казына", акционерного общества "Национальный управляющий холдинг "Байтерек";</w:t>
      </w:r>
    </w:p>
    <w:p>
      <w:pPr>
        <w:spacing w:after="0"/>
        <w:ind w:left="0"/>
        <w:jc w:val="both"/>
      </w:pPr>
      <w:r>
        <w:rPr>
          <w:rFonts w:ascii="Times New Roman"/>
          <w:b w:val="false"/>
          <w:i w:val="false"/>
          <w:color w:val="000000"/>
          <w:sz w:val="28"/>
        </w:rPr>
        <w:t>
      частная поддержка (необходимо создание крупными представителями отечественного и иностранного бизнеса венчурных фондов или дочерних компаний для предоставления долгосрочных инвестиций малому и среднему бизнесу в регионах Республики Казахстан);</w:t>
      </w:r>
    </w:p>
    <w:p>
      <w:pPr>
        <w:spacing w:after="0"/>
        <w:ind w:left="0"/>
        <w:jc w:val="both"/>
      </w:pPr>
      <w:r>
        <w:rPr>
          <w:rFonts w:ascii="Times New Roman"/>
          <w:b w:val="false"/>
          <w:i w:val="false"/>
          <w:color w:val="000000"/>
          <w:sz w:val="28"/>
        </w:rPr>
        <w:t>
      санация должников (с более активным вовлечением Правительства Республики Казахстан, так как существует проблема неплатежеспособности со стороны самих заемщиков, к примеру, сельское хозяйство);</w:t>
      </w:r>
    </w:p>
    <w:p>
      <w:pPr>
        <w:spacing w:after="0"/>
        <w:ind w:left="0"/>
        <w:jc w:val="both"/>
      </w:pPr>
      <w:r>
        <w:rPr>
          <w:rFonts w:ascii="Times New Roman"/>
          <w:b w:val="false"/>
          <w:i w:val="false"/>
          <w:color w:val="000000"/>
          <w:sz w:val="28"/>
        </w:rPr>
        <w:t>
      совершенствование на законодательном уровне внесудебного механизма взыскания долгов с учетом обеспечения баланса интересов кредиторов и заемщиков, что будет способствовать разгрузке работы судов и сократит сроки возвратности долгов без потери стоимости (в дополнение к судебному порядку, четко формализованному в документальном и процедурном плане, но с длительной продолжительностью исполнения обязательств по займам).</w:t>
      </w:r>
    </w:p>
    <w:bookmarkStart w:name="z72" w:id="68"/>
    <w:p>
      <w:pPr>
        <w:spacing w:after="0"/>
        <w:ind w:left="0"/>
        <w:jc w:val="both"/>
      </w:pPr>
      <w:r>
        <w:rPr>
          <w:rFonts w:ascii="Times New Roman"/>
          <w:b w:val="false"/>
          <w:i w:val="false"/>
          <w:color w:val="000000"/>
          <w:sz w:val="28"/>
        </w:rPr>
        <w:t>
      4. Усиление процесса оценки заемщика в процессе принятия кредитного решения.</w:t>
      </w:r>
    </w:p>
    <w:bookmarkEnd w:id="68"/>
    <w:p>
      <w:pPr>
        <w:spacing w:after="0"/>
        <w:ind w:left="0"/>
        <w:jc w:val="both"/>
      </w:pPr>
      <w:r>
        <w:rPr>
          <w:rFonts w:ascii="Times New Roman"/>
          <w:b w:val="false"/>
          <w:i w:val="false"/>
          <w:color w:val="000000"/>
          <w:sz w:val="28"/>
        </w:rPr>
        <w:t>
      В процессе принятия кредитного решения оценка состояния заемщика будет проводиться на основе оценки не только данных самого заемщика, но и будет включать в себя более широкий спектр оцениваемых факторов, к примеру, оценку экономической ситуации в отрасли, оценку конкурентоспособности и прочее.</w:t>
      </w:r>
    </w:p>
    <w:bookmarkStart w:name="z73" w:id="69"/>
    <w:p>
      <w:pPr>
        <w:spacing w:after="0"/>
        <w:ind w:left="0"/>
        <w:jc w:val="left"/>
      </w:pPr>
      <w:r>
        <w:rPr>
          <w:rFonts w:ascii="Times New Roman"/>
          <w:b/>
          <w:i w:val="false"/>
          <w:color w:val="000000"/>
        </w:rPr>
        <w:t xml:space="preserve"> 5. Ожидаемые результаты реализации Концепции развития</w:t>
      </w:r>
      <w:r>
        <w:br/>
      </w:r>
      <w:r>
        <w:rPr>
          <w:rFonts w:ascii="Times New Roman"/>
          <w:b/>
          <w:i w:val="false"/>
          <w:color w:val="000000"/>
        </w:rPr>
        <w:t>финансового сектора Республики Казахстан до 2030 года</w:t>
      </w:r>
    </w:p>
    <w:bookmarkEnd w:id="69"/>
    <w:p>
      <w:pPr>
        <w:spacing w:after="0"/>
        <w:ind w:left="0"/>
        <w:jc w:val="both"/>
      </w:pPr>
      <w:r>
        <w:rPr>
          <w:rFonts w:ascii="Times New Roman"/>
          <w:b w:val="false"/>
          <w:i w:val="false"/>
          <w:color w:val="000000"/>
          <w:sz w:val="28"/>
        </w:rPr>
        <w:t>
      По ключевым показателям развития финансового рынка планируется к 2020 году достичь следующих целевых ориентиров.</w:t>
      </w:r>
    </w:p>
    <w:p>
      <w:pPr>
        <w:spacing w:after="0"/>
        <w:ind w:left="0"/>
        <w:jc w:val="both"/>
      </w:pPr>
      <w:r>
        <w:rPr>
          <w:rFonts w:ascii="Times New Roman"/>
          <w:b w:val="false"/>
          <w:i w:val="false"/>
          <w:color w:val="000000"/>
          <w:sz w:val="28"/>
        </w:rPr>
        <w:t xml:space="preserve">
      Активы банков составят не менее 80 % от ненефтяного ВВП, ссудный портфель – не менее 60 % от ненефтяного ВВП, что предполагает расширение их участия в финансировании экономики, особенно в государственных программах развития. Данные значения оцениваются как минимально необходимые для ограничения масштабной экспансии зарубежных банков на казахстанский рынок, сохранения отечественной финансовой системы и снижения потерь отечественных банков от полной либерализации доступа на нее иностранных финансовых институтов. </w:t>
      </w:r>
    </w:p>
    <w:p>
      <w:pPr>
        <w:spacing w:after="0"/>
        <w:ind w:left="0"/>
        <w:jc w:val="both"/>
      </w:pPr>
      <w:r>
        <w:rPr>
          <w:rFonts w:ascii="Times New Roman"/>
          <w:b w:val="false"/>
          <w:i w:val="false"/>
          <w:color w:val="000000"/>
          <w:sz w:val="28"/>
        </w:rPr>
        <w:t>
      Однако риски того, что целевые ориентиры по банковскому сектору не будут достигнуты, связаны, прежде всего, с масштабными заимствованиями крупных отечественных предприятий, особенно с государственных участием, и институтов развития на внешних рынках. В результате отечественная банковская система остается востребованной только для малого и среднего бизнеса и населения, потенциал которых не позволит существенно повысить активность банков без надувания "мыльного пузыря".</w:t>
      </w:r>
    </w:p>
    <w:p>
      <w:pPr>
        <w:spacing w:after="0"/>
        <w:ind w:left="0"/>
        <w:jc w:val="both"/>
      </w:pPr>
      <w:r>
        <w:rPr>
          <w:rFonts w:ascii="Times New Roman"/>
          <w:b w:val="false"/>
          <w:i w:val="false"/>
          <w:color w:val="000000"/>
          <w:sz w:val="28"/>
        </w:rPr>
        <w:t>
      Объем страховых премий по рынку увеличится в 2-2,5 раза. Объем страховых премий будет увеличиваться за счет расширения охвата населения розничным добровольным страхованием, в том числе накопительным страхованием жизни. Рост страховых премий по обязательным видам страхования будет поддерживаться за счет повышения индекса потребительских цен и увеличения количества объектов страхования.</w:t>
      </w:r>
    </w:p>
    <w:p>
      <w:pPr>
        <w:spacing w:after="0"/>
        <w:ind w:left="0"/>
        <w:jc w:val="both"/>
      </w:pPr>
      <w:r>
        <w:rPr>
          <w:rFonts w:ascii="Times New Roman"/>
          <w:b w:val="false"/>
          <w:i w:val="false"/>
          <w:color w:val="000000"/>
          <w:sz w:val="28"/>
        </w:rPr>
        <w:t>
      Капитализация рынка акций к ВВП увеличится в два раза при условии реализации Программы "Народное IPO" и проведения новых IPO корпоративными эмитентами.</w:t>
      </w:r>
    </w:p>
    <w:p>
      <w:pPr>
        <w:spacing w:after="0"/>
        <w:ind w:left="0"/>
        <w:jc w:val="both"/>
      </w:pPr>
      <w:r>
        <w:rPr>
          <w:rFonts w:ascii="Times New Roman"/>
          <w:b w:val="false"/>
          <w:i w:val="false"/>
          <w:color w:val="000000"/>
          <w:sz w:val="28"/>
        </w:rPr>
        <w:t>
      Доля исламских банков составит 3-5 % от объема активов банковской системы Республики Казахстан.</w:t>
      </w:r>
    </w:p>
    <w:p>
      <w:pPr>
        <w:spacing w:after="0"/>
        <w:ind w:left="0"/>
        <w:jc w:val="both"/>
      </w:pPr>
      <w:r>
        <w:rPr>
          <w:rFonts w:ascii="Times New Roman"/>
          <w:b w:val="false"/>
          <w:i w:val="false"/>
          <w:color w:val="000000"/>
          <w:sz w:val="28"/>
        </w:rPr>
        <w:t>
      РФЦА войдет в группу десяти ведущих финансовых центров Азии.</w:t>
      </w:r>
    </w:p>
    <w:p>
      <w:pPr>
        <w:spacing w:after="0"/>
        <w:ind w:left="0"/>
        <w:jc w:val="both"/>
      </w:pPr>
      <w:r>
        <w:rPr>
          <w:rFonts w:ascii="Times New Roman"/>
          <w:b w:val="false"/>
          <w:i w:val="false"/>
          <w:color w:val="000000"/>
          <w:sz w:val="28"/>
        </w:rPr>
        <w:t xml:space="preserve">
      Ключевые целевые показатели развития финансового рынка, которые планируются к 2020 году, предполагают рост глубины финансового посредничества, масштаба и качества оказываемых потребителям финансовых услуг до уровней, позволяющих обеспечить необходимый уровень конкуренции с иностранными игроками в условиях открытия границ на основных сегментах финансового сектора. </w:t>
      </w:r>
    </w:p>
    <w:p>
      <w:pPr>
        <w:spacing w:after="0"/>
        <w:ind w:left="0"/>
        <w:jc w:val="both"/>
      </w:pPr>
      <w:r>
        <w:rPr>
          <w:rFonts w:ascii="Times New Roman"/>
          <w:b w:val="false"/>
          <w:i w:val="false"/>
          <w:color w:val="000000"/>
          <w:sz w:val="28"/>
        </w:rPr>
        <w:t>
      Установление конечных показателей развития финансовой системы до 2030 года будет базироваться на результатах предложенной финансовой модели. Поэтому установление соответствующих ориентиров должно базироваться на достижении результатов, планируемых к достижению в 2020 году.</w:t>
      </w:r>
    </w:p>
    <w:p>
      <w:pPr>
        <w:spacing w:after="0"/>
        <w:ind w:left="0"/>
        <w:jc w:val="both"/>
      </w:pPr>
      <w:r>
        <w:rPr>
          <w:rFonts w:ascii="Times New Roman"/>
          <w:b w:val="false"/>
          <w:i w:val="false"/>
          <w:color w:val="000000"/>
          <w:sz w:val="28"/>
        </w:rPr>
        <w:t>
      Принятие и реализация задач Концепции развития финансового сектора Республики Казахстан до 2030 года создадут основу для качественного развития сегментов финансового рынка после 2020 года в условиях открытия "финансовых границ" после вступления Республики Казахстан в ВТО и создания общего финансового рынка на территории ЕЭП. Будет обеспечен доступ к финансовым услугам широкого круга потребителей. Будут обеспечены повышение их финансовой грамотности, защищенность интересов и сохранность сбережений участников финансового рынка.</w:t>
      </w:r>
    </w:p>
    <w:p>
      <w:pPr>
        <w:spacing w:after="0"/>
        <w:ind w:left="0"/>
        <w:jc w:val="both"/>
      </w:pPr>
      <w:r>
        <w:rPr>
          <w:rFonts w:ascii="Times New Roman"/>
          <w:b w:val="false"/>
          <w:i w:val="false"/>
          <w:color w:val="000000"/>
          <w:sz w:val="28"/>
        </w:rPr>
        <w:t>
      Все это обеспечит дополнительные условия для вхождения Республики Казахстан в число 30-ти самых развитых стран мира.</w:t>
      </w:r>
    </w:p>
    <w:p>
      <w:pPr>
        <w:spacing w:after="0"/>
        <w:ind w:left="0"/>
        <w:jc w:val="both"/>
      </w:pPr>
      <w:r>
        <w:rPr>
          <w:rFonts w:ascii="Times New Roman"/>
          <w:b w:val="false"/>
          <w:i w:val="false"/>
          <w:color w:val="000000"/>
          <w:sz w:val="28"/>
        </w:rPr>
        <w:t>
      В заключении необходимо отметить, что Концепция развития финансового сектора Республики Казахстан до 2030 года будет корректироваться по мере развития механизмов финансового посредничества, в том числе передового мирового опыта.</w:t>
      </w:r>
    </w:p>
    <w:bookmarkStart w:name="z74" w:id="70"/>
    <w:p>
      <w:pPr>
        <w:spacing w:after="0"/>
        <w:ind w:left="0"/>
        <w:jc w:val="left"/>
      </w:pPr>
      <w:r>
        <w:rPr>
          <w:rFonts w:ascii="Times New Roman"/>
          <w:b/>
          <w:i w:val="false"/>
          <w:color w:val="000000"/>
        </w:rPr>
        <w:t xml:space="preserve"> 6. Перечень нормативных правовых актов и программных</w:t>
      </w:r>
      <w:r>
        <w:br/>
      </w:r>
      <w:r>
        <w:rPr>
          <w:rFonts w:ascii="Times New Roman"/>
          <w:b/>
          <w:i w:val="false"/>
          <w:color w:val="000000"/>
        </w:rPr>
        <w:t>документов, посредством которых предполагается реализация</w:t>
      </w:r>
      <w:r>
        <w:br/>
      </w:r>
      <w:r>
        <w:rPr>
          <w:rFonts w:ascii="Times New Roman"/>
          <w:b/>
          <w:i w:val="false"/>
          <w:color w:val="000000"/>
        </w:rPr>
        <w:t>Концепции развития финансового сектора</w:t>
      </w:r>
      <w:r>
        <w:br/>
      </w:r>
      <w:r>
        <w:rPr>
          <w:rFonts w:ascii="Times New Roman"/>
          <w:b/>
          <w:i w:val="false"/>
          <w:color w:val="000000"/>
        </w:rPr>
        <w:t>Республики Казахстан до 2030 года</w:t>
      </w:r>
    </w:p>
    <w:bookmarkEnd w:id="70"/>
    <w:p>
      <w:pPr>
        <w:spacing w:after="0"/>
        <w:ind w:left="0"/>
        <w:jc w:val="both"/>
      </w:pPr>
      <w:r>
        <w:rPr>
          <w:rFonts w:ascii="Times New Roman"/>
          <w:b w:val="false"/>
          <w:i w:val="false"/>
          <w:color w:val="000000"/>
          <w:sz w:val="28"/>
        </w:rPr>
        <w:t>
      Реализацию Концепции предполагается обеспечить посредством следующих нормативных правовых актов.</w:t>
      </w:r>
    </w:p>
    <w:bookmarkStart w:name="z75" w:id="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w:t>
      </w:r>
    </w:p>
    <w:bookmarkEnd w:id="71"/>
    <w:bookmarkStart w:name="z76" w:id="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w:t>
      </w:r>
    </w:p>
    <w:bookmarkEnd w:id="72"/>
    <w:bookmarkStart w:name="z77" w:id="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января 2001 года "Об административных правонарушениях". </w:t>
      </w:r>
    </w:p>
    <w:bookmarkEnd w:id="73"/>
    <w:bookmarkStart w:name="z78" w:id="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p>
    <w:bookmarkEnd w:id="74"/>
    <w:bookmarkStart w:name="z79" w:id="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w:t>
      </w:r>
    </w:p>
    <w:bookmarkEnd w:id="75"/>
    <w:bookmarkStart w:name="z80" w:id="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w:t>
      </w:r>
    </w:p>
    <w:bookmarkEnd w:id="76"/>
    <w:bookmarkStart w:name="z81" w:id="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w:t>
      </w:r>
    </w:p>
    <w:bookmarkEnd w:id="77"/>
    <w:bookmarkStart w:name="z82" w:id="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w:t>
      </w:r>
    </w:p>
    <w:bookmarkEnd w:id="78"/>
    <w:bookmarkStart w:name="z83" w:id="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w:t>
      </w:r>
    </w:p>
    <w:bookmarkEnd w:id="79"/>
    <w:bookmarkStart w:name="z84" w:id="8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w:t>
      </w:r>
    </w:p>
    <w:bookmarkEnd w:id="80"/>
    <w:bookmarkStart w:name="z85" w:id="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w:t>
      </w:r>
    </w:p>
    <w:bookmarkEnd w:id="81"/>
    <w:bookmarkStart w:name="z86" w:id="8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w:t>
      </w:r>
    </w:p>
    <w:bookmarkEnd w:id="82"/>
    <w:bookmarkStart w:name="z87" w:id="8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w:t>
      </w:r>
    </w:p>
    <w:bookmarkEnd w:id="83"/>
    <w:bookmarkStart w:name="z88" w:id="8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w:t>
      </w:r>
    </w:p>
    <w:bookmarkEnd w:id="84"/>
    <w:bookmarkStart w:name="z89" w:id="8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w:t>
      </w:r>
    </w:p>
    <w:bookmarkEnd w:id="85"/>
    <w:bookmarkStart w:name="z90" w:id="8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w:t>
      </w:r>
    </w:p>
    <w:bookmarkEnd w:id="86"/>
    <w:bookmarkStart w:name="z91" w:id="8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w:t>
      </w:r>
    </w:p>
    <w:bookmarkEnd w:id="87"/>
    <w:bookmarkStart w:name="z92" w:id="8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w:t>
      </w:r>
    </w:p>
    <w:bookmarkEnd w:id="88"/>
    <w:bookmarkStart w:name="z93" w:id="8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w:t>
      </w:r>
    </w:p>
    <w:bookmarkEnd w:id="89"/>
    <w:bookmarkStart w:name="z94" w:id="9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w:t>
      </w:r>
    </w:p>
    <w:bookmarkEnd w:id="90"/>
    <w:bookmarkStart w:name="z95" w:id="9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w:t>
      </w:r>
    </w:p>
    <w:bookmarkEnd w:id="91"/>
    <w:bookmarkStart w:name="z96" w:id="9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 </w:t>
      </w:r>
    </w:p>
    <w:bookmarkEnd w:id="92"/>
    <w:bookmarkStart w:name="z97" w:id="9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w:t>
      </w:r>
    </w:p>
    <w:bookmarkEnd w:id="93"/>
    <w:bookmarkStart w:name="z98" w:id="9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w:t>
      </w:r>
    </w:p>
    <w:bookmarkEnd w:id="94"/>
    <w:bookmarkStart w:name="z99" w:id="95"/>
    <w:p>
      <w:pPr>
        <w:spacing w:after="0"/>
        <w:ind w:left="0"/>
        <w:jc w:val="both"/>
      </w:pPr>
      <w:r>
        <w:rPr>
          <w:rFonts w:ascii="Times New Roman"/>
          <w:b w:val="false"/>
          <w:i w:val="false"/>
          <w:color w:val="000000"/>
          <w:sz w:val="28"/>
        </w:rPr>
        <w:t>
      25. Стратегический план Национального Банка Республики Казахстан, утвержденный на соответствующий период.</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