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5e99" w14:textId="d595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годовой финансовой отчетности (консолидированной и отдельной), порядка распределения чистого дохода, выплаты дивидендов по простым акциям и размера дивиденда в расчете на одну простую акцию акционерного общества "Фонд национального благосостояния "Самрук-Қазына" за 2013 год</w:t>
      </w:r>
    </w:p>
    <w:p>
      <w:pPr>
        <w:spacing w:after="0"/>
        <w:ind w:left="0"/>
        <w:jc w:val="both"/>
      </w:pPr>
      <w:r>
        <w:rPr>
          <w:rFonts w:ascii="Times New Roman"/>
          <w:b w:val="false"/>
          <w:i w:val="false"/>
          <w:color w:val="000000"/>
          <w:sz w:val="28"/>
        </w:rPr>
        <w:t>Постановление Правительства Республики Казахстан от 21 октября 2014 года № 1121.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2 статьи 7 Закона Республики Казахстан от 1 февраля 2012 года "О Фонде национального благосостояния"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w:t>
      </w:r>
    </w:p>
    <w:bookmarkEnd w:id="1"/>
    <w:bookmarkStart w:name="z477" w:id="2"/>
    <w:p>
      <w:pPr>
        <w:spacing w:after="0"/>
        <w:ind w:left="0"/>
        <w:jc w:val="both"/>
      </w:pPr>
      <w:r>
        <w:rPr>
          <w:rFonts w:ascii="Times New Roman"/>
          <w:b w:val="false"/>
          <w:i w:val="false"/>
          <w:color w:val="000000"/>
          <w:sz w:val="28"/>
        </w:rPr>
        <w:t>
      1) прилагаемую годовую финансовую отчетность (консолидированную и отдельную) акционерного общества "Фонд национального благосостояния "Самрук-Қазына" (далее – Фонд) за 2013 год;</w:t>
      </w:r>
    </w:p>
    <w:bookmarkEnd w:id="2"/>
    <w:bookmarkStart w:name="z478" w:id="3"/>
    <w:p>
      <w:pPr>
        <w:spacing w:after="0"/>
        <w:ind w:left="0"/>
        <w:jc w:val="both"/>
      </w:pPr>
      <w:r>
        <w:rPr>
          <w:rFonts w:ascii="Times New Roman"/>
          <w:b w:val="false"/>
          <w:i w:val="false"/>
          <w:color w:val="000000"/>
          <w:sz w:val="28"/>
        </w:rPr>
        <w:t>
      2) порядок распределения чистого дохода Фонда за 2013 год, составляющего 407246228638 (четыреста семь миллиардов двести сорок шесть миллионов двести двадцать восемь тысяч шестьсот тридцать восемь) тенге согласно финансовой отчетности Фонда, зарегистрированного по адресу: Республика Казахстан, 010000, город Астана, проспект Кабанбай батыра, 23; реквизиты: бизнес-идентификационный номер (БИН) – 081140000436, индивидуальный идентификационный код (ИИК) – KZ91125KZT1001300144, банковский идентификационный код (БИК) – NBRKKZKX в государственное учреждение "Национальный Банк Республики Казахстана", город Алматы:</w:t>
      </w:r>
    </w:p>
    <w:bookmarkEnd w:id="3"/>
    <w:p>
      <w:pPr>
        <w:spacing w:after="0"/>
        <w:ind w:left="0"/>
        <w:jc w:val="both"/>
      </w:pPr>
      <w:r>
        <w:rPr>
          <w:rFonts w:ascii="Times New Roman"/>
          <w:b w:val="false"/>
          <w:i w:val="false"/>
          <w:color w:val="000000"/>
          <w:sz w:val="28"/>
        </w:rPr>
        <w:t>
      направить на выплату дивидендов – 9077418000 (девять миллиардов семьдесят семь миллионов четыреста восемнадцать тысяч) тенге;</w:t>
      </w:r>
    </w:p>
    <w:p>
      <w:pPr>
        <w:spacing w:after="0"/>
        <w:ind w:left="0"/>
        <w:jc w:val="both"/>
      </w:pPr>
      <w:r>
        <w:rPr>
          <w:rFonts w:ascii="Times New Roman"/>
          <w:b w:val="false"/>
          <w:i w:val="false"/>
          <w:color w:val="000000"/>
          <w:sz w:val="28"/>
        </w:rPr>
        <w:t>
      оставить в распоряжении Фонда и его компаний для финансирования инвестиционных программ, погашения долговых обязательств и приобретения активов – 398168810638 (триста девяносто восемь миллиардов сто шестьдесят восемь миллионов восемьсот десять тысяч шестьсот тридцать восемь) тенге;</w:t>
      </w:r>
    </w:p>
    <w:bookmarkStart w:name="z479" w:id="4"/>
    <w:p>
      <w:pPr>
        <w:spacing w:after="0"/>
        <w:ind w:left="0"/>
        <w:jc w:val="both"/>
      </w:pPr>
      <w:r>
        <w:rPr>
          <w:rFonts w:ascii="Times New Roman"/>
          <w:b w:val="false"/>
          <w:i w:val="false"/>
          <w:color w:val="000000"/>
          <w:sz w:val="28"/>
        </w:rPr>
        <w:t>
      3) размер дивиденда за 2013 год в расчете на одну простую акцию Фонда – 2 (два) тенге 61 (шестьдесят один) тиын.</w:t>
      </w:r>
    </w:p>
    <w:bookmarkEnd w:id="4"/>
    <w:bookmarkStart w:name="z3" w:id="5"/>
    <w:p>
      <w:pPr>
        <w:spacing w:after="0"/>
        <w:ind w:left="0"/>
        <w:jc w:val="both"/>
      </w:pPr>
      <w:r>
        <w:rPr>
          <w:rFonts w:ascii="Times New Roman"/>
          <w:b w:val="false"/>
          <w:i w:val="false"/>
          <w:color w:val="000000"/>
          <w:sz w:val="28"/>
        </w:rPr>
        <w:t>
      2. Установить датой начала выплаты дивидендов дату подписания настоящего постановления.</w:t>
      </w:r>
    </w:p>
    <w:bookmarkEnd w:id="5"/>
    <w:bookmarkStart w:name="z4" w:id="6"/>
    <w:p>
      <w:pPr>
        <w:spacing w:after="0"/>
        <w:ind w:left="0"/>
        <w:jc w:val="both"/>
      </w:pPr>
      <w:r>
        <w:rPr>
          <w:rFonts w:ascii="Times New Roman"/>
          <w:b w:val="false"/>
          <w:i w:val="false"/>
          <w:color w:val="000000"/>
          <w:sz w:val="28"/>
        </w:rPr>
        <w:t>
      3. Выплату дивидендов произвести в течение 10 (десяти) рабочих дней в денежной форме путем безналичного перечисления в республиканский бюджет по коду бюджетной классификации "201301".</w:t>
      </w:r>
    </w:p>
    <w:bookmarkEnd w:id="6"/>
    <w:bookmarkStart w:name="z5" w:id="7"/>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октября 2014 года</w:t>
            </w:r>
            <w:r>
              <w:br/>
            </w:r>
            <w:r>
              <w:rPr>
                <w:rFonts w:ascii="Times New Roman"/>
                <w:b w:val="false"/>
                <w:i w:val="false"/>
                <w:color w:val="000000"/>
                <w:sz w:val="20"/>
              </w:rPr>
              <w:t>№ 1121</w:t>
            </w:r>
          </w:p>
        </w:tc>
      </w:tr>
    </w:tbl>
    <w:bookmarkStart w:name="z7" w:id="8"/>
    <w:p>
      <w:pPr>
        <w:spacing w:after="0"/>
        <w:ind w:left="0"/>
        <w:jc w:val="both"/>
      </w:pPr>
      <w:r>
        <w:rPr>
          <w:rFonts w:ascii="Times New Roman"/>
          <w:b w:val="false"/>
          <w:i w:val="false"/>
          <w:color w:val="000000"/>
          <w:sz w:val="28"/>
        </w:rPr>
        <w:t>
      АО "Фонд Национального Благосостояния</w:t>
      </w:r>
    </w:p>
    <w:bookmarkEnd w:id="8"/>
    <w:p>
      <w:pPr>
        <w:spacing w:after="0"/>
        <w:ind w:left="0"/>
        <w:jc w:val="both"/>
      </w:pPr>
      <w:r>
        <w:rPr>
          <w:rFonts w:ascii="Times New Roman"/>
          <w:b w:val="false"/>
          <w:i w:val="false"/>
          <w:color w:val="000000"/>
          <w:sz w:val="28"/>
        </w:rPr>
        <w:t>
      "Самрук-Қазына"</w:t>
      </w:r>
    </w:p>
    <w:p>
      <w:pPr>
        <w:spacing w:after="0"/>
        <w:ind w:left="0"/>
        <w:jc w:val="both"/>
      </w:pPr>
      <w:r>
        <w:rPr>
          <w:rFonts w:ascii="Times New Roman"/>
          <w:b w:val="false"/>
          <w:i w:val="false"/>
          <w:color w:val="000000"/>
          <w:sz w:val="28"/>
        </w:rPr>
        <w:t>
      Отдельная финансовая отчетность</w:t>
      </w:r>
    </w:p>
    <w:p>
      <w:pPr>
        <w:spacing w:after="0"/>
        <w:ind w:left="0"/>
        <w:jc w:val="both"/>
      </w:pPr>
      <w:r>
        <w:rPr>
          <w:rFonts w:ascii="Times New Roman"/>
          <w:b w:val="false"/>
          <w:i w:val="false"/>
          <w:color w:val="000000"/>
          <w:sz w:val="28"/>
        </w:rPr>
        <w:t>
      За год, закончившийся 31 декабря 2013 года</w:t>
      </w:r>
    </w:p>
    <w:p>
      <w:pPr>
        <w:spacing w:after="0"/>
        <w:ind w:left="0"/>
        <w:jc w:val="both"/>
      </w:pPr>
      <w:r>
        <w:rPr>
          <w:rFonts w:ascii="Times New Roman"/>
          <w:b w:val="false"/>
          <w:i w:val="false"/>
          <w:color w:val="000000"/>
          <w:sz w:val="28"/>
        </w:rPr>
        <w:t>
      с отчетом независимых аудиторов</w:t>
      </w:r>
    </w:p>
    <w:bookmarkStart w:name="z8" w:id="9"/>
    <w:p>
      <w:pPr>
        <w:spacing w:after="0"/>
        <w:ind w:left="0"/>
        <w:jc w:val="both"/>
      </w:pPr>
      <w:r>
        <w:rPr>
          <w:rFonts w:ascii="Times New Roman"/>
          <w:b w:val="false"/>
          <w:i w:val="false"/>
          <w:color w:val="000000"/>
          <w:sz w:val="28"/>
        </w:rPr>
        <w:t xml:space="preserve">
      </w:t>
      </w:r>
      <w:r>
        <w:rPr>
          <w:rFonts w:ascii="Times New Roman"/>
          <w:b/>
          <w:i w:val="false"/>
          <w:color w:val="000000"/>
          <w:sz w:val="28"/>
        </w:rPr>
        <w:t>Содержание:</w:t>
      </w:r>
    </w:p>
    <w:bookmarkEnd w:id="9"/>
    <w:p>
      <w:pPr>
        <w:spacing w:after="0"/>
        <w:ind w:left="0"/>
        <w:jc w:val="both"/>
      </w:pPr>
      <w:r>
        <w:rPr>
          <w:rFonts w:ascii="Times New Roman"/>
          <w:b w:val="false"/>
          <w:i w:val="false"/>
          <w:color w:val="000000"/>
          <w:sz w:val="28"/>
        </w:rPr>
        <w:t>
      Отчет независимых аудиторов</w:t>
      </w:r>
    </w:p>
    <w:bookmarkStart w:name="z9" w:id="10"/>
    <w:p>
      <w:pPr>
        <w:spacing w:after="0"/>
        <w:ind w:left="0"/>
        <w:jc w:val="both"/>
      </w:pPr>
      <w:r>
        <w:rPr>
          <w:rFonts w:ascii="Times New Roman"/>
          <w:b w:val="false"/>
          <w:i w:val="false"/>
          <w:color w:val="000000"/>
          <w:sz w:val="28"/>
        </w:rPr>
        <w:t xml:space="preserve">
      </w:t>
      </w:r>
      <w:r>
        <w:rPr>
          <w:rFonts w:ascii="Times New Roman"/>
          <w:b/>
          <w:i w:val="false"/>
          <w:color w:val="000000"/>
          <w:sz w:val="28"/>
        </w:rPr>
        <w:t>Отдельная финансовая отчетность</w:t>
      </w:r>
    </w:p>
    <w:bookmarkEnd w:id="10"/>
    <w:p>
      <w:pPr>
        <w:spacing w:after="0"/>
        <w:ind w:left="0"/>
        <w:jc w:val="both"/>
      </w:pPr>
      <w:r>
        <w:rPr>
          <w:rFonts w:ascii="Times New Roman"/>
          <w:b w:val="false"/>
          <w:i w:val="false"/>
          <w:color w:val="000000"/>
          <w:sz w:val="28"/>
        </w:rPr>
        <w:t>
      Отдельный бухгалтерский баланс</w:t>
      </w:r>
    </w:p>
    <w:p>
      <w:pPr>
        <w:spacing w:after="0"/>
        <w:ind w:left="0"/>
        <w:jc w:val="both"/>
      </w:pPr>
      <w:r>
        <w:rPr>
          <w:rFonts w:ascii="Times New Roman"/>
          <w:b w:val="false"/>
          <w:i w:val="false"/>
          <w:color w:val="000000"/>
          <w:sz w:val="28"/>
        </w:rPr>
        <w:t>
      Отдельный отчет о совокупном доходе</w:t>
      </w:r>
    </w:p>
    <w:p>
      <w:pPr>
        <w:spacing w:after="0"/>
        <w:ind w:left="0"/>
        <w:jc w:val="both"/>
      </w:pPr>
      <w:r>
        <w:rPr>
          <w:rFonts w:ascii="Times New Roman"/>
          <w:b w:val="false"/>
          <w:i w:val="false"/>
          <w:color w:val="000000"/>
          <w:sz w:val="28"/>
        </w:rPr>
        <w:t>
      Отдельный отчет о движении денежных средств</w:t>
      </w:r>
    </w:p>
    <w:p>
      <w:pPr>
        <w:spacing w:after="0"/>
        <w:ind w:left="0"/>
        <w:jc w:val="both"/>
      </w:pPr>
      <w:r>
        <w:rPr>
          <w:rFonts w:ascii="Times New Roman"/>
          <w:b w:val="false"/>
          <w:i w:val="false"/>
          <w:color w:val="000000"/>
          <w:sz w:val="28"/>
        </w:rPr>
        <w:t>
      Отдельный отчет об изменениях в капитале</w:t>
      </w:r>
    </w:p>
    <w:p>
      <w:pPr>
        <w:spacing w:after="0"/>
        <w:ind w:left="0"/>
        <w:jc w:val="both"/>
      </w:pPr>
      <w:r>
        <w:rPr>
          <w:rFonts w:ascii="Times New Roman"/>
          <w:b w:val="false"/>
          <w:i w:val="false"/>
          <w:color w:val="000000"/>
          <w:sz w:val="28"/>
        </w:rPr>
        <w:t>
      Примечания к отдельной финансовой отчетности</w:t>
      </w:r>
    </w:p>
    <w:bookmarkStart w:name="z10" w:id="11"/>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независимых аудиторов</w:t>
      </w:r>
    </w:p>
    <w:bookmarkEnd w:id="11"/>
    <w:p>
      <w:pPr>
        <w:spacing w:after="0"/>
        <w:ind w:left="0"/>
        <w:jc w:val="both"/>
      </w:pPr>
      <w:r>
        <w:rPr>
          <w:rFonts w:ascii="Times New Roman"/>
          <w:b w:val="false"/>
          <w:i w:val="false"/>
          <w:color w:val="000000"/>
          <w:sz w:val="28"/>
        </w:rPr>
        <w:t>
      Акционеру и Руководству АО "Фонд Национального Благосостояния "Самрук-Қазына":</w:t>
      </w:r>
    </w:p>
    <w:p>
      <w:pPr>
        <w:spacing w:after="0"/>
        <w:ind w:left="0"/>
        <w:jc w:val="both"/>
      </w:pPr>
      <w:r>
        <w:rPr>
          <w:rFonts w:ascii="Times New Roman"/>
          <w:b w:val="false"/>
          <w:i w:val="false"/>
          <w:color w:val="000000"/>
          <w:sz w:val="28"/>
        </w:rPr>
        <w:t>
      Мы провели аудит прилагаемой отдельной финансовой отчетности АО "Фонд Национального Благосостояния "Самрук-Қазына" (далее "Фонд"), которая включает отдельный бухгалтерский баланс по состоянию на 31 декабря 2013 года, отдельный отчет о совокупном доходе, отдельный отчет об изменениях в капитале и отдельный отчет о движении денежных средств за год, закончившийся на указанную дату, а также информацию о существенных аспектах учетной политики и другую пояснительную информацию.</w:t>
      </w:r>
    </w:p>
    <w:bookmarkStart w:name="z11" w:id="12"/>
    <w:p>
      <w:pPr>
        <w:spacing w:after="0"/>
        <w:ind w:left="0"/>
        <w:jc w:val="both"/>
      </w:pPr>
      <w:r>
        <w:rPr>
          <w:rFonts w:ascii="Times New Roman"/>
          <w:b w:val="false"/>
          <w:i w:val="false"/>
          <w:color w:val="000000"/>
          <w:sz w:val="28"/>
        </w:rPr>
        <w:t xml:space="preserve">
      </w:t>
      </w:r>
      <w:r>
        <w:rPr>
          <w:rFonts w:ascii="Times New Roman"/>
          <w:b/>
          <w:i w:val="false"/>
          <w:color w:val="000000"/>
          <w:sz w:val="28"/>
        </w:rPr>
        <w:t>Ответственность руководства в отношении отдельной финансовой отчетности</w:t>
      </w:r>
    </w:p>
    <w:bookmarkEnd w:id="12"/>
    <w:p>
      <w:pPr>
        <w:spacing w:after="0"/>
        <w:ind w:left="0"/>
        <w:jc w:val="both"/>
      </w:pPr>
      <w:r>
        <w:rPr>
          <w:rFonts w:ascii="Times New Roman"/>
          <w:b w:val="false"/>
          <w:i w:val="false"/>
          <w:color w:val="000000"/>
          <w:sz w:val="28"/>
        </w:rPr>
        <w:t>
      Руководство Фонда несет ответственность за подготовку и достоверное представление данной отдельной финансовой отчетности в соответствии с Международными стандартами финансовой отчетности, а также за процедуры внутреннего контроля, необходимые, по мнению руководства, для обеспечения подготовки отдельной финансовой отчетности, не содержащей существенных искажений вследствие недобросовестных действий или ошибки.</w:t>
      </w:r>
    </w:p>
    <w:bookmarkStart w:name="z12" w:id="13"/>
    <w:p>
      <w:pPr>
        <w:spacing w:after="0"/>
        <w:ind w:left="0"/>
        <w:jc w:val="both"/>
      </w:pPr>
      <w:r>
        <w:rPr>
          <w:rFonts w:ascii="Times New Roman"/>
          <w:b w:val="false"/>
          <w:i w:val="false"/>
          <w:color w:val="000000"/>
          <w:sz w:val="28"/>
        </w:rPr>
        <w:t xml:space="preserve">
      </w:t>
      </w:r>
      <w:r>
        <w:rPr>
          <w:rFonts w:ascii="Times New Roman"/>
          <w:b/>
          <w:i w:val="false"/>
          <w:color w:val="000000"/>
          <w:sz w:val="28"/>
        </w:rPr>
        <w:t>Ответственность аудиторов</w:t>
      </w:r>
    </w:p>
    <w:bookmarkEnd w:id="13"/>
    <w:p>
      <w:pPr>
        <w:spacing w:after="0"/>
        <w:ind w:left="0"/>
        <w:jc w:val="both"/>
      </w:pPr>
      <w:r>
        <w:rPr>
          <w:rFonts w:ascii="Times New Roman"/>
          <w:b w:val="false"/>
          <w:i w:val="false"/>
          <w:color w:val="000000"/>
          <w:sz w:val="28"/>
        </w:rPr>
        <w:t>
      Наша обязанность заключается в том, чтобы выразить мнение о данной отдельной финансовой отчетности на основе проведенного аудита. Мы провели аудит в соответствии с Международными стандартами аудита. Данные стандарты требуют, чтобы мы соблюдали этические нормы и спланировали и провели аудит с тем, чтобы получить достаточную уверенность в отсутствии существенного искажения отдельной финансовой отчетности.</w:t>
      </w:r>
    </w:p>
    <w:p>
      <w:pPr>
        <w:spacing w:after="0"/>
        <w:ind w:left="0"/>
        <w:jc w:val="both"/>
      </w:pPr>
      <w:r>
        <w:rPr>
          <w:rFonts w:ascii="Times New Roman"/>
          <w:b w:val="false"/>
          <w:i w:val="false"/>
          <w:color w:val="000000"/>
          <w:sz w:val="28"/>
        </w:rPr>
        <w:t>
      Аудит включает выполнение процедур, направленных на получение аудиторских доказательств в отношении сумм и информации, представленных в отдельной финансовой отчетности. Выбор процедур основывается на суждении аудитора, включая оценку риска существенного искажения отдельной финансовой отчетности вследствие недобросовестных действий или ошибки. При оценке этого риска аудитор рассматривает аспекты внутреннего контроля компании в отношении подготовки и достоверного представления отдельной финансовой отчетности с тем, чтобы определить процедуры аудита, необходимые в конкретных обстоятельствах, а не для выражения мнения об эффективности системы внутреннего контроля компании. Аудит также включает оценку уместности выбранной учетной политики и обоснованности бухгалтерских оценок, сделанных руководством, и оценку представления отдельной финансовой отчетности в целом.</w:t>
      </w:r>
    </w:p>
    <w:p>
      <w:pPr>
        <w:spacing w:after="0"/>
        <w:ind w:left="0"/>
        <w:jc w:val="both"/>
      </w:pPr>
      <w:r>
        <w:rPr>
          <w:rFonts w:ascii="Times New Roman"/>
          <w:b w:val="false"/>
          <w:i w:val="false"/>
          <w:color w:val="000000"/>
          <w:sz w:val="28"/>
        </w:rPr>
        <w:t>
      Мы считаем, что полученные нами аудиторские доказательства являются достаточными и надлежащими для выражения нашего мнения.</w:t>
      </w:r>
    </w:p>
    <w:bookmarkStart w:name="z13" w:id="14"/>
    <w:p>
      <w:pPr>
        <w:spacing w:after="0"/>
        <w:ind w:left="0"/>
        <w:jc w:val="both"/>
      </w:pPr>
      <w:r>
        <w:rPr>
          <w:rFonts w:ascii="Times New Roman"/>
          <w:b w:val="false"/>
          <w:i w:val="false"/>
          <w:color w:val="000000"/>
          <w:sz w:val="28"/>
        </w:rPr>
        <w:t xml:space="preserve">
      </w:t>
      </w:r>
      <w:r>
        <w:rPr>
          <w:rFonts w:ascii="Times New Roman"/>
          <w:b w:val="false"/>
          <w:i/>
          <w:color w:val="000000"/>
          <w:sz w:val="28"/>
        </w:rPr>
        <w:t>Мнение</w:t>
      </w:r>
    </w:p>
    <w:bookmarkEnd w:id="14"/>
    <w:p>
      <w:pPr>
        <w:spacing w:after="0"/>
        <w:ind w:left="0"/>
        <w:jc w:val="both"/>
      </w:pPr>
      <w:r>
        <w:rPr>
          <w:rFonts w:ascii="Times New Roman"/>
          <w:b w:val="false"/>
          <w:i w:val="false"/>
          <w:color w:val="000000"/>
          <w:sz w:val="28"/>
        </w:rPr>
        <w:t>
      По нашему мнению, отдельная финансовая отчетность во всех существенных аспектах достоверно отражает отдельное финансовое положение АО "Фонд Национального Благосостояния "Самрук-ҚҚазына" по состоянию на 31 декабря 2013 года, а также его отдельные финансовые результаты и движение денежных средств за год, закончившийся на указанную дату, в соответствии с Международными стандартами финансовой отчетности.</w:t>
      </w:r>
    </w:p>
    <w:bookmarkStart w:name="z14" w:id="15"/>
    <w:p>
      <w:pPr>
        <w:spacing w:after="0"/>
        <w:ind w:left="0"/>
        <w:jc w:val="both"/>
      </w:pPr>
      <w:r>
        <w:rPr>
          <w:rFonts w:ascii="Times New Roman"/>
          <w:b w:val="false"/>
          <w:i w:val="false"/>
          <w:color w:val="000000"/>
          <w:sz w:val="28"/>
        </w:rPr>
        <w:t xml:space="preserve">
      </w:t>
      </w:r>
      <w:r>
        <w:rPr>
          <w:rFonts w:ascii="Times New Roman"/>
          <w:b w:val="false"/>
          <w:i/>
          <w:color w:val="000000"/>
          <w:sz w:val="28"/>
        </w:rPr>
        <w:t>Консолидированная финансовая отчетность представлена отдельно</w:t>
      </w:r>
    </w:p>
    <w:bookmarkEnd w:id="15"/>
    <w:p>
      <w:pPr>
        <w:spacing w:after="0"/>
        <w:ind w:left="0"/>
        <w:jc w:val="both"/>
      </w:pPr>
      <w:r>
        <w:rPr>
          <w:rFonts w:ascii="Times New Roman"/>
          <w:b w:val="false"/>
          <w:i w:val="false"/>
          <w:color w:val="000000"/>
          <w:sz w:val="28"/>
        </w:rPr>
        <w:t>
      Не изменяя нашего мнения, мы обращаем внимание на Примечание 2 к отдельной финансовой отчетности, в котором раскрывается тот факт, что Фонд является материнской компанией группы АО "Фонд Национального Благосостояния "Самрук-Қазына", и консолидированная финансовая отчетность группы АО "Фонд Национального Благосостояния "Самрук-Қазына", подготовленная в соответствии с Международными стандартами финансовой отчетности, была выпущена отдельно. Мы провели аудит консолидированной финансовой отчетности группы АО "Фонд Национального Благосостояния "Самрук-Қазына" по состоянию на 31 декабря 2013 года и за год, закончившийся на указанную дату, и выразили мнение без оговорок о ней в своем аудиторском отчете от 25 апреля 2014 года.</w:t>
      </w:r>
    </w:p>
    <w:tbl>
      <w:tblPr>
        <w:tblW w:w="0" w:type="auto"/>
        <w:tblCellSpacing w:w="0" w:type="auto"/>
        <w:tblBorders>
          <w:top w:val="none"/>
          <w:left w:val="none"/>
          <w:bottom w:val="none"/>
          <w:right w:val="none"/>
          <w:insideH w:val="none"/>
          <w:insideV w:val="none"/>
        </w:tblBorders>
      </w:tblPr>
      <w:tblGrid>
        <w:gridCol w:w="7052"/>
        <w:gridCol w:w="5248"/>
      </w:tblGrid>
      <w:tr>
        <w:trPr>
          <w:trHeight w:val="30" w:hRule="atLeast"/>
        </w:trPr>
        <w:tc>
          <w:tcPr>
            <w:tcW w:w="70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Бахтиер Эшонкулов</w:t>
            </w:r>
          </w:p>
          <w:p>
            <w:pPr>
              <w:spacing w:after="20"/>
              <w:ind w:left="20"/>
              <w:jc w:val="both"/>
            </w:pPr>
            <w:r>
              <w:rPr>
                <w:rFonts w:ascii="Times New Roman"/>
                <w:b w:val="false"/>
                <w:i w:val="false"/>
                <w:color w:val="000000"/>
                <w:sz w:val="20"/>
              </w:rPr>
              <w:t>
</w:t>
            </w:r>
            <w:r>
              <w:rPr>
                <w:rFonts w:ascii="Times New Roman"/>
                <w:b w:val="false"/>
                <w:i/>
                <w:color w:val="000000"/>
                <w:sz w:val="20"/>
              </w:rPr>
              <w:t>Аудитор/партнер по аудиту</w:t>
            </w:r>
          </w:p>
        </w:tc>
        <w:tc>
          <w:tcPr>
            <w:tcW w:w="5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Евгений Жемалетдинов</w:t>
            </w:r>
          </w:p>
          <w:p>
            <w:pPr>
              <w:spacing w:after="20"/>
              <w:ind w:left="20"/>
              <w:jc w:val="both"/>
            </w:pPr>
            <w:r>
              <w:rPr>
                <w:rFonts w:ascii="Times New Roman"/>
                <w:b w:val="false"/>
                <w:i w:val="false"/>
                <w:color w:val="000000"/>
                <w:sz w:val="20"/>
              </w:rPr>
              <w:t>
</w:t>
            </w:r>
            <w:r>
              <w:rPr>
                <w:rFonts w:ascii="Times New Roman"/>
                <w:b w:val="false"/>
                <w:i/>
                <w:color w:val="000000"/>
                <w:sz w:val="20"/>
              </w:rPr>
              <w:t>Генеральный директор</w:t>
            </w:r>
          </w:p>
          <w:p>
            <w:pPr>
              <w:spacing w:after="20"/>
              <w:ind w:left="20"/>
              <w:jc w:val="both"/>
            </w:pPr>
            <w:r>
              <w:rPr>
                <w:rFonts w:ascii="Times New Roman"/>
                <w:b w:val="false"/>
                <w:i w:val="false"/>
                <w:color w:val="000000"/>
                <w:sz w:val="20"/>
              </w:rPr>
              <w:t>
</w:t>
            </w:r>
            <w:r>
              <w:rPr>
                <w:rFonts w:ascii="Times New Roman"/>
                <w:b w:val="false"/>
                <w:i/>
                <w:color w:val="000000"/>
                <w:sz w:val="20"/>
              </w:rPr>
              <w:t>ТОО "Эрнст энд Янг"</w:t>
            </w:r>
          </w:p>
        </w:tc>
      </w:tr>
      <w:tr>
        <w:trPr>
          <w:trHeight w:val="30" w:hRule="atLeast"/>
        </w:trPr>
        <w:tc>
          <w:tcPr>
            <w:tcW w:w="70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Квалификационное</w:t>
            </w:r>
          </w:p>
          <w:p>
            <w:pPr>
              <w:spacing w:after="20"/>
              <w:ind w:left="20"/>
              <w:jc w:val="both"/>
            </w:pPr>
            <w:r>
              <w:rPr>
                <w:rFonts w:ascii="Times New Roman"/>
                <w:b w:val="false"/>
                <w:i w:val="false"/>
                <w:color w:val="000000"/>
                <w:sz w:val="20"/>
              </w:rPr>
              <w:t>
</w:t>
            </w:r>
            <w:r>
              <w:rPr>
                <w:rFonts w:ascii="Times New Roman"/>
                <w:b w:val="false"/>
                <w:i/>
                <w:color w:val="000000"/>
                <w:sz w:val="20"/>
              </w:rPr>
              <w:t>свидетельство аудитора</w:t>
            </w:r>
          </w:p>
          <w:p>
            <w:pPr>
              <w:spacing w:after="20"/>
              <w:ind w:left="20"/>
              <w:jc w:val="both"/>
            </w:pPr>
            <w:r>
              <w:rPr>
                <w:rFonts w:ascii="Times New Roman"/>
                <w:b w:val="false"/>
                <w:i w:val="false"/>
                <w:color w:val="000000"/>
                <w:sz w:val="20"/>
              </w:rPr>
              <w:t>
</w:t>
            </w:r>
            <w:r>
              <w:rPr>
                <w:rFonts w:ascii="Times New Roman"/>
                <w:b w:val="false"/>
                <w:i/>
                <w:color w:val="000000"/>
                <w:sz w:val="20"/>
              </w:rPr>
              <w:t>№ МФ-0000099 от 27 августа</w:t>
            </w:r>
          </w:p>
          <w:p>
            <w:pPr>
              <w:spacing w:after="20"/>
              <w:ind w:left="20"/>
              <w:jc w:val="both"/>
            </w:pPr>
            <w:r>
              <w:rPr>
                <w:rFonts w:ascii="Times New Roman"/>
                <w:b w:val="false"/>
                <w:i w:val="false"/>
                <w:color w:val="000000"/>
                <w:sz w:val="20"/>
              </w:rPr>
              <w:t>
</w:t>
            </w:r>
            <w:r>
              <w:rPr>
                <w:rFonts w:ascii="Times New Roman"/>
                <w:b w:val="false"/>
                <w:i/>
                <w:color w:val="000000"/>
                <w:sz w:val="20"/>
              </w:rPr>
              <w:t>2012 года</w:t>
            </w:r>
          </w:p>
        </w:tc>
        <w:tc>
          <w:tcPr>
            <w:tcW w:w="5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Государственная лицензия на</w:t>
            </w:r>
          </w:p>
          <w:p>
            <w:pPr>
              <w:spacing w:after="20"/>
              <w:ind w:left="20"/>
              <w:jc w:val="both"/>
            </w:pPr>
            <w:r>
              <w:rPr>
                <w:rFonts w:ascii="Times New Roman"/>
                <w:b w:val="false"/>
                <w:i w:val="false"/>
                <w:color w:val="000000"/>
                <w:sz w:val="20"/>
              </w:rPr>
              <w:t>
</w:t>
            </w:r>
            <w:r>
              <w:rPr>
                <w:rFonts w:ascii="Times New Roman"/>
                <w:b w:val="false"/>
                <w:i/>
                <w:color w:val="000000"/>
                <w:sz w:val="20"/>
              </w:rPr>
              <w:t>занятие аудиторской</w:t>
            </w:r>
          </w:p>
          <w:p>
            <w:pPr>
              <w:spacing w:after="20"/>
              <w:ind w:left="20"/>
              <w:jc w:val="both"/>
            </w:pPr>
            <w:r>
              <w:rPr>
                <w:rFonts w:ascii="Times New Roman"/>
                <w:b w:val="false"/>
                <w:i w:val="false"/>
                <w:color w:val="000000"/>
                <w:sz w:val="20"/>
              </w:rPr>
              <w:t>
</w:t>
            </w:r>
            <w:r>
              <w:rPr>
                <w:rFonts w:ascii="Times New Roman"/>
                <w:b w:val="false"/>
                <w:i/>
                <w:color w:val="000000"/>
                <w:sz w:val="20"/>
              </w:rPr>
              <w:t>деятельностью на территории</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Казахстан серии</w:t>
            </w:r>
          </w:p>
          <w:p>
            <w:pPr>
              <w:spacing w:after="20"/>
              <w:ind w:left="20"/>
              <w:jc w:val="both"/>
            </w:pPr>
            <w:r>
              <w:rPr>
                <w:rFonts w:ascii="Times New Roman"/>
                <w:b w:val="false"/>
                <w:i w:val="false"/>
                <w:color w:val="000000"/>
                <w:sz w:val="20"/>
              </w:rPr>
              <w:t>
</w:t>
            </w:r>
            <w:r>
              <w:rPr>
                <w:rFonts w:ascii="Times New Roman"/>
                <w:b w:val="false"/>
                <w:i/>
                <w:color w:val="000000"/>
                <w:sz w:val="20"/>
              </w:rPr>
              <w:t>МФЮ-2</w:t>
            </w:r>
          </w:p>
          <w:p>
            <w:pPr>
              <w:spacing w:after="20"/>
              <w:ind w:left="20"/>
              <w:jc w:val="both"/>
            </w:pPr>
            <w:r>
              <w:rPr>
                <w:rFonts w:ascii="Times New Roman"/>
                <w:b w:val="false"/>
                <w:i w:val="false"/>
                <w:color w:val="000000"/>
                <w:sz w:val="20"/>
              </w:rPr>
              <w:t>
</w:t>
            </w:r>
            <w:r>
              <w:rPr>
                <w:rFonts w:ascii="Times New Roman"/>
                <w:b w:val="false"/>
                <w:i/>
                <w:color w:val="000000"/>
                <w:sz w:val="20"/>
              </w:rPr>
              <w:t>№ 0000003, выданная</w:t>
            </w:r>
          </w:p>
          <w:p>
            <w:pPr>
              <w:spacing w:after="20"/>
              <w:ind w:left="20"/>
              <w:jc w:val="both"/>
            </w:pPr>
            <w:r>
              <w:rPr>
                <w:rFonts w:ascii="Times New Roman"/>
                <w:b w:val="false"/>
                <w:i w:val="false"/>
                <w:color w:val="000000"/>
                <w:sz w:val="20"/>
              </w:rPr>
              <w:t>
</w:t>
            </w:r>
            <w:r>
              <w:rPr>
                <w:rFonts w:ascii="Times New Roman"/>
                <w:b w:val="false"/>
                <w:i/>
                <w:color w:val="000000"/>
                <w:sz w:val="20"/>
              </w:rPr>
              <w:t>Министерством финансов</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color w:val="000000"/>
                <w:sz w:val="20"/>
              </w:rPr>
              <w:t>15 июля 2005 года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апреля 2014 года</w:t>
      </w:r>
    </w:p>
    <w:p>
      <w:pPr>
        <w:spacing w:after="0"/>
        <w:ind w:left="0"/>
        <w:jc w:val="both"/>
      </w:pPr>
      <w:r>
        <w:rPr>
          <w:rFonts w:ascii="Times New Roman"/>
          <w:b w:val="false"/>
          <w:i w:val="false"/>
          <w:color w:val="000000"/>
          <w:sz w:val="28"/>
        </w:rPr>
        <w:t>
      АО "Фонд Национального Благосостояния "Самрук-Қазына"     Отдельная финансовая отчетность</w:t>
      </w:r>
    </w:p>
    <w:p>
      <w:pPr>
        <w:spacing w:after="0"/>
        <w:ind w:left="0"/>
        <w:jc w:val="both"/>
      </w:pPr>
      <w:r>
        <w:rPr>
          <w:rFonts w:ascii="Times New Roman"/>
          <w:b w:val="false"/>
          <w:i w:val="false"/>
          <w:color w:val="000000"/>
          <w:sz w:val="28"/>
        </w:rPr>
        <w:t>
      ОТДЕЛЬНЫЙ БУХГАЛТЕРСКИЙ БАЛАНС</w:t>
      </w:r>
    </w:p>
    <w:p>
      <w:pPr>
        <w:spacing w:after="0"/>
        <w:ind w:left="0"/>
        <w:jc w:val="both"/>
      </w:pPr>
      <w:r>
        <w:rPr>
          <w:rFonts w:ascii="Times New Roman"/>
          <w:b w:val="false"/>
          <w:i w:val="false"/>
          <w:color w:val="000000"/>
          <w:sz w:val="28"/>
        </w:rPr>
        <w:t>
      По состоянию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1339"/>
        <w:gridCol w:w="4209"/>
        <w:gridCol w:w="4209"/>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2.993.877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3.231.412</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ассоциированные компании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657.400</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361.780</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активы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124.194</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банковские депозиты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204.553</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по отсроченному подоходному налогу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4.189.182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4.602.431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корпоративному подоходному налогу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выданные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110.081</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финансовые активы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26.124</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связанные с опционами колл/пут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банковские депозиты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159.923</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активы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432.972</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765.233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850.962</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классифицированные как предназначенные для продажи</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и обязательства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инвестиций, имеющихся в наличии для продажи</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убыток</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(971.945)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(557.989)</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3.510.572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3.850.730</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1.255.978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1.295.007</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Правительства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185.704</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финансовым гарантиям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1.483.919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81.764</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Правительства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финансовым гарантиям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опционам колл/пут</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90.228</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02"/>
        <w:gridCol w:w="10798"/>
      </w:tblGrid>
      <w:tr>
        <w:trPr>
          <w:trHeight w:val="30" w:hRule="atLeast"/>
        </w:trPr>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Финансовый директор – член Правления</w:t>
            </w:r>
          </w:p>
        </w:tc>
        <w:tc>
          <w:tcPr>
            <w:tcW w:w="10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Нурлан Рахметов</w:t>
            </w:r>
          </w:p>
        </w:tc>
      </w:tr>
      <w:tr>
        <w:trPr>
          <w:trHeight w:val="30" w:hRule="atLeast"/>
        </w:trPr>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Главный бухгалтер</w:t>
            </w:r>
          </w:p>
        </w:tc>
        <w:tc>
          <w:tcPr>
            <w:tcW w:w="10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Алмаз Абдрахманова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ОТДЕЛЬНЫЙ ОТЧЕТ О СОВОКУПНОМ ДОХОДЕ</w:t>
      </w:r>
    </w:p>
    <w:p>
      <w:pPr>
        <w:spacing w:after="0"/>
        <w:ind w:left="0"/>
        <w:jc w:val="both"/>
      </w:pPr>
      <w:r>
        <w:rPr>
          <w:rFonts w:ascii="Times New Roman"/>
          <w:b w:val="false"/>
          <w:i w:val="false"/>
          <w:color w:val="000000"/>
          <w:sz w:val="28"/>
        </w:rPr>
        <w:t>
      За год, закончившийся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7"/>
        <w:gridCol w:w="2922"/>
        <w:gridCol w:w="2570"/>
        <w:gridCol w:w="2571"/>
      </w:tblGrid>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доходы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83.659</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61.510</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(91.423)</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дивидендов</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89.716</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341.520</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доходы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58.667</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 инвестиций в дочерние организации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(154.287)</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обесценения)/доход от восстановления убытка от обесценения займов выданных, банковских депозитов, средств в кредитных учреждениях и прочих текущих активов, нетто</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7, 8, 10, 11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279.377</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 активов, классифицированных как предназначенные для продажи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 инвестиций, имеющихся в наличии для продажи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(146.848)</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курсовой разницы, нетто</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(Убыток)/доход от изменения стоимости опционов, нетто</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выбытия финансовых активов</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(расходы)/доходы, нетто</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(Убыток)/прибыль до учета подоходного налога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(убыток)/прибыль за год</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(убыток)/доход за год, за вычетом подоходного налога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(убыток)/доход от переоценки инвестиций, имеющихся в наличии для продажи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(убыток)/доход за год, подлежащий перекласификации в состав прибыли или убытка в последующих периодах</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совокупный (убыток)/доход за год</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02"/>
        <w:gridCol w:w="10798"/>
      </w:tblGrid>
      <w:tr>
        <w:trPr>
          <w:trHeight w:val="30" w:hRule="atLeast"/>
        </w:trPr>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Финансовый директор – член Правления</w:t>
            </w:r>
          </w:p>
        </w:tc>
        <w:tc>
          <w:tcPr>
            <w:tcW w:w="10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Нурлан Рахметов</w:t>
            </w:r>
          </w:p>
        </w:tc>
      </w:tr>
      <w:tr>
        <w:trPr>
          <w:trHeight w:val="30" w:hRule="atLeast"/>
        </w:trPr>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Главный бухгалтер</w:t>
            </w:r>
          </w:p>
        </w:tc>
        <w:tc>
          <w:tcPr>
            <w:tcW w:w="10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Алмаз Абдрахманова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ОТДЕЛЬНЫЙ ОТЧЕТ О ДВИЖЕНИИ ДЕНЕЖНЫХ СРЕДСТВ</w:t>
      </w:r>
    </w:p>
    <w:p>
      <w:pPr>
        <w:spacing w:after="0"/>
        <w:ind w:left="0"/>
        <w:jc w:val="both"/>
      </w:pPr>
      <w:r>
        <w:rPr>
          <w:rFonts w:ascii="Times New Roman"/>
          <w:b w:val="false"/>
          <w:i w:val="false"/>
          <w:color w:val="000000"/>
          <w:sz w:val="28"/>
        </w:rPr>
        <w:t>
      За год, закончившийся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7"/>
        <w:gridCol w:w="2922"/>
        <w:gridCol w:w="2570"/>
        <w:gridCol w:w="2571"/>
      </w:tblGrid>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 операционной деятельности: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(Убыток)/прибыль до учета подоходного налога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350.212</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амортизацию</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 инвестиций в дочерние организации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154.287</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обесценения/(доход от восстановления убытка от обесценения) займов выданных, банковских депозитов, средств в кредитных учреждениях и прочих текущих активов, нетто</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7, 8, 10, 11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(279.377)</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доходы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(58.667)</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 активов, классифицированных как предназначенные для продажи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 инвестиций, имеющихся в наличии для продажи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146.848</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Убыток/(доход) от изменения стоимости опционов, нетто</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выбытия финансовых активов</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(доход)/убыток от курсовой разницы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корректировки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 операционной деятельности до изменений в оборотном капитале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298.164</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займах выданных</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(257.102)</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средствах в кредитных учреждениях</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(203.889)</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прочих активах</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займах и в средствах Правительства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117.444</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прочих текущих обязательствах</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 операционной деятельности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(70.329)</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Уплаченный подоходный налог</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полученные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50.687</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расходование денежных средств в операционной деятельности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 инвестиционной деятельности: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(Размещение)/изъятие банковских депозитов, нетто</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(152.367)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122.987</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дочерних организаций и ассоциированных компаний</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(277.653)</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и нематериальных активов</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реализации инвестиций в дочерние организации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150.035</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финансовых активов, нетто</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(расходование)/поступление денежных средств в инвестиционной деятельности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(477.515)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 финансовой деятельности: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выплаченные Акционеру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(159.113)</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распределения Акционеру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в уставный капитал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Правительства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143.196</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поступление/(расходование) денежных средств в финансовой деятельности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277.235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в денежных средствах и их эквивалентах</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(329.464)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на начало года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451.902</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на конец года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НЕДЕНЕЖНЫЕ ОПЕРАЦИИ</w:t>
      </w:r>
    </w:p>
    <w:p>
      <w:pPr>
        <w:spacing w:after="0"/>
        <w:ind w:left="0"/>
        <w:jc w:val="both"/>
      </w:pPr>
      <w:r>
        <w:rPr>
          <w:rFonts w:ascii="Times New Roman"/>
          <w:b w:val="false"/>
          <w:i w:val="false"/>
          <w:color w:val="000000"/>
          <w:sz w:val="28"/>
        </w:rPr>
        <w:t>
      Следующие значительные неденежные операции, включая указанные ниже, были исключены из отдельного отчета о движении денежных средств:</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Увеличение уставного капитала Фонда путем взноса Акционером в форме имущества и государственными пакетами акций (Примечание 13), и дальнейшая передача данных активов дочерним организациям Фонда (Примечание 5).</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Передача Акционеру дочерних организаций (Примечание </w:t>
      </w:r>
      <w:r>
        <w:rPr>
          <w:rFonts w:ascii="Times New Roman"/>
          <w:b w:val="false"/>
          <w:i/>
          <w:color w:val="000000"/>
          <w:sz w:val="28"/>
        </w:rPr>
        <w:t>5) и финансовых активов Фонда (Примечание 9). Данные операции с Акционером были отражены в отдельном отчете об изменениях в капитале (Примечание 13).</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Перевод инвестиций в дочерние организации в активы, классифицированные как предназначенные для продажи (Примечание 5).</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Признание дисконта по займам выданным и средствам Правительства (Примечания 7, 15).</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Операции с Акционером (Примечание 13).</w:t>
      </w:r>
    </w:p>
    <w:tbl>
      <w:tblPr>
        <w:tblW w:w="0" w:type="auto"/>
        <w:tblCellSpacing w:w="0" w:type="auto"/>
        <w:tblBorders>
          <w:top w:val="none"/>
          <w:left w:val="none"/>
          <w:bottom w:val="none"/>
          <w:right w:val="none"/>
          <w:insideH w:val="none"/>
          <w:insideV w:val="none"/>
        </w:tblBorders>
      </w:tblPr>
      <w:tblGrid>
        <w:gridCol w:w="1502"/>
        <w:gridCol w:w="10798"/>
      </w:tblGrid>
      <w:tr>
        <w:trPr>
          <w:trHeight w:val="30" w:hRule="atLeast"/>
        </w:trPr>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Финансовый директор – член Правления</w:t>
            </w:r>
          </w:p>
        </w:tc>
        <w:tc>
          <w:tcPr>
            <w:tcW w:w="10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Нурлан Рахметов</w:t>
            </w:r>
          </w:p>
        </w:tc>
      </w:tr>
      <w:tr>
        <w:trPr>
          <w:trHeight w:val="30" w:hRule="atLeast"/>
        </w:trPr>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Главный бухгалтер</w:t>
            </w:r>
          </w:p>
        </w:tc>
        <w:tc>
          <w:tcPr>
            <w:tcW w:w="10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Алмаз Абдрахманова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ОТДЕЛЬНЫЙ ОТЧЕТ ОБ ИЗМЕНЕНИЯХ В КАПИТАЛЕ</w:t>
      </w:r>
    </w:p>
    <w:p>
      <w:pPr>
        <w:spacing w:after="0"/>
        <w:ind w:left="0"/>
        <w:jc w:val="both"/>
      </w:pPr>
      <w:r>
        <w:rPr>
          <w:rFonts w:ascii="Times New Roman"/>
          <w:b w:val="false"/>
          <w:i w:val="false"/>
          <w:color w:val="000000"/>
          <w:sz w:val="28"/>
        </w:rPr>
        <w:t>
      За год, закончившийся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718"/>
        <w:gridCol w:w="2256"/>
        <w:gridCol w:w="2213"/>
        <w:gridCol w:w="2598"/>
        <w:gridCol w:w="2257"/>
      </w:tblGrid>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инвестиций, имеющихся в наличии для продажи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w:t>
            </w:r>
          </w:p>
          <w:p>
            <w:pPr>
              <w:spacing w:after="20"/>
              <w:ind w:left="20"/>
              <w:jc w:val="both"/>
            </w:pPr>
            <w:r>
              <w:rPr>
                <w:rFonts w:ascii="Times New Roman"/>
                <w:b w:val="false"/>
                <w:i w:val="false"/>
                <w:color w:val="000000"/>
                <w:sz w:val="20"/>
              </w:rPr>
              <w:t>
убыток</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2011 года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(1.116.293)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совокупный доход за год</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465.461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Взносы в уставный капитал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операций со средствами Правительства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394.267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394.267</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Акционером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Акционеру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распределения Акционеру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2012 года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убыток за год</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(123.634)</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убыток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совокупный убыток за год</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(125.198)</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в уставный капитал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операций со средствами Правительства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Акционером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Дивиденды Акционеру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распределения Акционеру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(119.933)</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2013 года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(971.945)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3.510.572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02"/>
        <w:gridCol w:w="10798"/>
      </w:tblGrid>
      <w:tr>
        <w:trPr>
          <w:trHeight w:val="30" w:hRule="atLeast"/>
        </w:trPr>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Финансовый директор – член Правления</w:t>
            </w:r>
          </w:p>
        </w:tc>
        <w:tc>
          <w:tcPr>
            <w:tcW w:w="10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Нурлан Рахметов</w:t>
            </w:r>
          </w:p>
        </w:tc>
      </w:tr>
      <w:tr>
        <w:trPr>
          <w:trHeight w:val="30" w:hRule="atLeast"/>
        </w:trPr>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Главный бухгалтер</w:t>
            </w:r>
          </w:p>
        </w:tc>
        <w:tc>
          <w:tcPr>
            <w:tcW w:w="10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Алмаз Абдрахманова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К ОТДЕЛЬНОЙ ФИНАНСОВОЙ ОТЧЕТНОСТИ</w:t>
      </w:r>
    </w:p>
    <w:p>
      <w:pPr>
        <w:spacing w:after="0"/>
        <w:ind w:left="0"/>
        <w:jc w:val="both"/>
      </w:pPr>
      <w:r>
        <w:rPr>
          <w:rFonts w:ascii="Times New Roman"/>
          <w:b w:val="false"/>
          <w:i w:val="false"/>
          <w:color w:val="000000"/>
          <w:sz w:val="28"/>
        </w:rPr>
        <w:t>
      За год, закончившийся 31 декабря 2013 года</w:t>
      </w:r>
    </w:p>
    <w:bookmarkStart w:name="z15" w:id="16"/>
    <w:p>
      <w:pPr>
        <w:spacing w:after="0"/>
        <w:ind w:left="0"/>
        <w:jc w:val="both"/>
      </w:pPr>
      <w:r>
        <w:rPr>
          <w:rFonts w:ascii="Times New Roman"/>
          <w:b w:val="false"/>
          <w:i w:val="false"/>
          <w:color w:val="000000"/>
          <w:sz w:val="28"/>
        </w:rPr>
        <w:t xml:space="preserve">
      </w:t>
      </w:r>
      <w:r>
        <w:rPr>
          <w:rFonts w:ascii="Times New Roman"/>
          <w:b/>
          <w:i w:val="false"/>
          <w:color w:val="000000"/>
          <w:sz w:val="28"/>
        </w:rPr>
        <w:t>1. Общая информация</w:t>
      </w:r>
    </w:p>
    <w:bookmarkEnd w:id="16"/>
    <w:p>
      <w:pPr>
        <w:spacing w:after="0"/>
        <w:ind w:left="0"/>
        <w:jc w:val="both"/>
      </w:pPr>
      <w:r>
        <w:rPr>
          <w:rFonts w:ascii="Times New Roman"/>
          <w:b w:val="false"/>
          <w:i w:val="false"/>
          <w:color w:val="000000"/>
          <w:sz w:val="28"/>
        </w:rPr>
        <w:t>
      Акционерное общество "Фонд Национального Благосостояния "Самрук-Қазына" (далее "Фонд" или "Самрук-Казына") было образовано 3 ноября 2008 года в соответствии с Указом Президента Республики Казахстан от 13 октября 2008 года и постановлением Правительства Республики Казахстан от 17 октября 2008 года. Фонд был создан посредством слияния АО "Фонд Устойчивого Развития "Қазына" (далее "Қазына") и АО "Казахстанский Холдинг по Управлению Государственными Активами "Самрук" (далее "Самрук") и дополнительной передачи государством Фонду своего права собственности в некоторых предприятиях, принадлежащих Правительству Республики Казахстан (далее "Государство" или "Правительство"). Учредителем Фонда является Правительство, в лице Комитета государственного имущества и приватизации Министерства финансов Республики Казахстан. Правительство является единственным акционером Фонда (далее "Акционер").</w:t>
      </w:r>
    </w:p>
    <w:p>
      <w:pPr>
        <w:spacing w:after="0"/>
        <w:ind w:left="0"/>
        <w:jc w:val="both"/>
      </w:pPr>
      <w:r>
        <w:rPr>
          <w:rFonts w:ascii="Times New Roman"/>
          <w:b w:val="false"/>
          <w:i w:val="false"/>
          <w:color w:val="000000"/>
          <w:sz w:val="28"/>
        </w:rPr>
        <w:t>
      Основной целью Правительства при слиянии "Қазына" и "Самрук" является повышение эффективности менеджмента и оптимизация организационных структур в дочерних организациях Фонда, с целью успешного выполнения их стратегических задач, установленных в соответствующих программах Правительства и планах развития компаний.</w:t>
      </w:r>
    </w:p>
    <w:p>
      <w:pPr>
        <w:spacing w:after="0"/>
        <w:ind w:left="0"/>
        <w:jc w:val="both"/>
      </w:pPr>
      <w:r>
        <w:rPr>
          <w:rFonts w:ascii="Times New Roman"/>
          <w:b w:val="false"/>
          <w:i w:val="false"/>
          <w:color w:val="000000"/>
          <w:sz w:val="28"/>
        </w:rPr>
        <w:t xml:space="preserve">
      Деятельность Фонда до 22-го февраля 2012 года регулировалась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 № 134-4 от 13 февраля 2009 года и была направлена на содействие в обеспечении устойчивого развития экономики страны; модернизации и диверсификации экономики; повышение эффективности деятельности компаний Фонда. 1 февраля 2012 года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Фонде национального благосостояния" № 550-IV, в соответствии с которым деятельность Фонда должна быть сфокусирована на повышении национального благосостояния Республики Казахстан посредством увеличения долгосрочной стоимости (ценности) организаций, входящих в группу Фонда, и эффективного управления активами, входящими в группу Фонда.</w:t>
      </w:r>
    </w:p>
    <w:p>
      <w:pPr>
        <w:spacing w:after="0"/>
        <w:ind w:left="0"/>
        <w:jc w:val="both"/>
      </w:pPr>
      <w:r>
        <w:rPr>
          <w:rFonts w:ascii="Times New Roman"/>
          <w:b w:val="false"/>
          <w:i w:val="false"/>
          <w:color w:val="000000"/>
          <w:sz w:val="28"/>
        </w:rPr>
        <w:t xml:space="preserve">
      Фонд является холдингом, владеющим инвестициями в ряде государственных предприятий, перечисленных в </w:t>
      </w:r>
      <w:r>
        <w:rPr>
          <w:rFonts w:ascii="Times New Roman"/>
          <w:b w:val="false"/>
          <w:i/>
          <w:color w:val="000000"/>
          <w:sz w:val="28"/>
        </w:rPr>
        <w:t>Примечаниях 5 и 6.</w:t>
      </w:r>
    </w:p>
    <w:p>
      <w:pPr>
        <w:spacing w:after="0"/>
        <w:ind w:left="0"/>
        <w:jc w:val="both"/>
      </w:pPr>
      <w:r>
        <w:rPr>
          <w:rFonts w:ascii="Times New Roman"/>
          <w:b w:val="false"/>
          <w:i w:val="false"/>
          <w:color w:val="000000"/>
          <w:sz w:val="28"/>
        </w:rPr>
        <w:t>
      Административный адрес Фонда: г. Астана, ул. Кунаева, 8, Республика Казахстан.</w:t>
      </w:r>
    </w:p>
    <w:p>
      <w:pPr>
        <w:spacing w:after="0"/>
        <w:ind w:left="0"/>
        <w:jc w:val="both"/>
      </w:pPr>
      <w:r>
        <w:rPr>
          <w:rFonts w:ascii="Times New Roman"/>
          <w:b w:val="false"/>
          <w:i w:val="false"/>
          <w:color w:val="000000"/>
          <w:sz w:val="28"/>
        </w:rPr>
        <w:t>
      Данная отдельная финансовая отчетность была утверждена к выпуску Финансовым директором – членом Правления и Главным Бухгалтером Фонда 25 апреля 2014 года.</w:t>
      </w:r>
    </w:p>
    <w:bookmarkStart w:name="z16"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План стабилизации      </w:t>
      </w:r>
    </w:p>
    <w:bookmarkEnd w:id="17"/>
    <w:p>
      <w:pPr>
        <w:spacing w:after="0"/>
        <w:ind w:left="0"/>
        <w:jc w:val="both"/>
      </w:pPr>
      <w:r>
        <w:rPr>
          <w:rFonts w:ascii="Times New Roman"/>
          <w:b w:val="false"/>
          <w:i w:val="false"/>
          <w:color w:val="000000"/>
          <w:sz w:val="28"/>
        </w:rPr>
        <w:t xml:space="preserve">
      В целях обеспечения стабильности экономики и финансовой системы страны в условиях мирового финансового кризиса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1085 от 25 ноября 2008 года был утвержден План совместных действий Правительства, Национального Банка и Агентства по регулированию по надзору финансового рынка и финансовых организаций Республики Казахстан по стабилизации экономики и финансовой системы на 2009-2010 годы (далее "План стабилизации"). План стабилизации предусматривал ряд мероприятий, направленных на следующие цели:</w:t>
      </w:r>
    </w:p>
    <w:p>
      <w:pPr>
        <w:spacing w:after="0"/>
        <w:ind w:left="0"/>
        <w:jc w:val="both"/>
      </w:pPr>
      <w:r>
        <w:rPr>
          <w:rFonts w:ascii="Times New Roman"/>
          <w:b w:val="false"/>
          <w:i w:val="false"/>
          <w:color w:val="000000"/>
          <w:sz w:val="28"/>
        </w:rPr>
        <w:t>
      - Стабилизация финансового сектора;</w:t>
      </w:r>
    </w:p>
    <w:p>
      <w:pPr>
        <w:spacing w:after="0"/>
        <w:ind w:left="0"/>
        <w:jc w:val="both"/>
      </w:pPr>
      <w:r>
        <w:rPr>
          <w:rFonts w:ascii="Times New Roman"/>
          <w:b w:val="false"/>
          <w:i w:val="false"/>
          <w:color w:val="000000"/>
          <w:sz w:val="28"/>
        </w:rPr>
        <w:t>
      - Решение проблем на рынке недвижимости;</w:t>
      </w:r>
    </w:p>
    <w:p>
      <w:pPr>
        <w:spacing w:after="0"/>
        <w:ind w:left="0"/>
        <w:jc w:val="both"/>
      </w:pPr>
      <w:r>
        <w:rPr>
          <w:rFonts w:ascii="Times New Roman"/>
          <w:b w:val="false"/>
          <w:i w:val="false"/>
          <w:color w:val="000000"/>
          <w:sz w:val="28"/>
        </w:rPr>
        <w:t>
      - Поддержка малого и среднего бизнеса;</w:t>
      </w:r>
    </w:p>
    <w:p>
      <w:pPr>
        <w:spacing w:after="0"/>
        <w:ind w:left="0"/>
        <w:jc w:val="both"/>
      </w:pPr>
      <w:r>
        <w:rPr>
          <w:rFonts w:ascii="Times New Roman"/>
          <w:b w:val="false"/>
          <w:i w:val="false"/>
          <w:color w:val="000000"/>
          <w:sz w:val="28"/>
        </w:rPr>
        <w:t>
      - Развитие агропромышленного комплекса;</w:t>
      </w:r>
    </w:p>
    <w:p>
      <w:pPr>
        <w:spacing w:after="0"/>
        <w:ind w:left="0"/>
        <w:jc w:val="both"/>
      </w:pPr>
      <w:r>
        <w:rPr>
          <w:rFonts w:ascii="Times New Roman"/>
          <w:b w:val="false"/>
          <w:i w:val="false"/>
          <w:color w:val="000000"/>
          <w:sz w:val="28"/>
        </w:rPr>
        <w:t>
      - Реализация инновационных, индустриальных и инфраструктурных проектов.</w:t>
      </w:r>
    </w:p>
    <w:p>
      <w:pPr>
        <w:spacing w:after="0"/>
        <w:ind w:left="0"/>
        <w:jc w:val="both"/>
      </w:pPr>
      <w:r>
        <w:rPr>
          <w:rFonts w:ascii="Times New Roman"/>
          <w:b w:val="false"/>
          <w:i w:val="false"/>
          <w:color w:val="000000"/>
          <w:sz w:val="28"/>
        </w:rPr>
        <w:t>
      Фонд выступает основным оператором Правительства по реализации Плана стабилизации.</w:t>
      </w:r>
    </w:p>
    <w:bookmarkStart w:name="z17" w:id="18"/>
    <w:p>
      <w:pPr>
        <w:spacing w:after="0"/>
        <w:ind w:left="0"/>
        <w:jc w:val="both"/>
      </w:pPr>
      <w:r>
        <w:rPr>
          <w:rFonts w:ascii="Times New Roman"/>
          <w:b w:val="false"/>
          <w:i w:val="false"/>
          <w:color w:val="000000"/>
          <w:sz w:val="28"/>
        </w:rPr>
        <w:t xml:space="preserve">
      </w:t>
      </w:r>
      <w:r>
        <w:rPr>
          <w:rFonts w:ascii="Times New Roman"/>
          <w:b/>
          <w:i w:val="false"/>
          <w:color w:val="000000"/>
          <w:sz w:val="28"/>
        </w:rPr>
        <w:t>Передача институтов развития и прочих дочерних организаций</w:t>
      </w:r>
    </w:p>
    <w:bookmarkEnd w:id="18"/>
    <w:p>
      <w:pPr>
        <w:spacing w:after="0"/>
        <w:ind w:left="0"/>
        <w:jc w:val="both"/>
      </w:pPr>
      <w:r>
        <w:rPr>
          <w:rFonts w:ascii="Times New Roman"/>
          <w:b w:val="false"/>
          <w:i w:val="false"/>
          <w:color w:val="000000"/>
          <w:sz w:val="28"/>
        </w:rPr>
        <w:t xml:space="preserve">
      В соответствии с протоколом совещания с участием Президента Республики Казахстан от 23 января 2013 года № 01-7.1 "Об итогах социально-экономического развития Республики Казахстан за 2012 год и задачах по реализации </w:t>
      </w:r>
      <w:r>
        <w:rPr>
          <w:rFonts w:ascii="Times New Roman"/>
          <w:b w:val="false"/>
          <w:i w:val="false"/>
          <w:color w:val="000000"/>
          <w:sz w:val="28"/>
        </w:rPr>
        <w:t>Стратегии</w:t>
      </w:r>
      <w:r>
        <w:rPr>
          <w:rFonts w:ascii="Times New Roman"/>
          <w:b w:val="false"/>
          <w:i w:val="false"/>
          <w:color w:val="000000"/>
          <w:sz w:val="28"/>
        </w:rPr>
        <w:t xml:space="preserve"> "Казахстан-2050" Правительству Республики Казахстан было поручено осуществить передачу институтов развития и финансовых организаций (АО "Банк Развития Казахстана", АО "Kazyna Capital Management", АО "Экспортно-кредитная страховая корпорация "КазЭкспортГарант", АО "Фонд развития предпринимательства "Даму", АО "Инвестиционный Фонд Казахстана") вновь созданной организации, владельцем 100 % акций которой будет Правительство, и передачу ТОО "СК-Фармация" в Министерство здравоохранения Республики Казахстан.</w:t>
      </w:r>
    </w:p>
    <w:p>
      <w:pPr>
        <w:spacing w:after="0"/>
        <w:ind w:left="0"/>
        <w:jc w:val="both"/>
      </w:pPr>
      <w:r>
        <w:rPr>
          <w:rFonts w:ascii="Times New Roman"/>
          <w:b w:val="false"/>
          <w:i w:val="false"/>
          <w:color w:val="000000"/>
          <w:sz w:val="28"/>
        </w:rPr>
        <w:t xml:space="preserve">
      В апреле 2013 года Фонд в соответствии с договорами доверительного управления с правом полного контроля передал пакеты акций дочерних организаций государственным учреждениям: Министерству регионального развития Республики Казахстан – АО "Фонд развития предпринимательства "Даму", Министерству индустрии и новых технологий Республики Казахстан – АО "Банк Развития Казахстана", АО "Kazyna Capital Management", АО "Экспортно-кредитная страховая корпорация "КазЭкспортГарант", АО "Инвестиционный Фонд Казахстана", Министерству здравоохранения Республики Казахстан – ТОО "СК-Фармация". В мае 2013 года вышеуказанные договоры доверительного управления с государственными учреждениями были аннулированы и на основании договора мены акции институтов развития и финансовых организаций были переданы Фондом в собственность Комитета государственного имущества и приватизации Министерства финансов Республики Казахстан, который в последующем передал их АО "Национальный управляющий холдинг "Байтерек", созданному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516 от 25 мая 2013 года "О мерах по реализации Указа Президента Республики Казахстан № 571 от 22 мая 2013 года "О некоторых мерах по оптимизации системы управления институтами развития, финансовыми организациями и развития национальной экономики" (далее "постановление Правительства").</w:t>
      </w:r>
    </w:p>
    <w:p>
      <w:pPr>
        <w:spacing w:after="0"/>
        <w:ind w:left="0"/>
        <w:jc w:val="both"/>
      </w:pPr>
      <w:r>
        <w:rPr>
          <w:rFonts w:ascii="Times New Roman"/>
          <w:b w:val="false"/>
          <w:i w:val="false"/>
          <w:color w:val="000000"/>
          <w:sz w:val="28"/>
        </w:rPr>
        <w:t>
      В июле 2013 года во исполнение постановления Правительства Фонд и Комитет государственного имущества и приватизации Министерства финансов Республики Казахстан подписали договор мены, согласно которому права собственности на пакеты акций и долю участия во всех вышеперечисленных дочерних организациях и АО "Национальная геологоразведочная компания "Казгеология" передаются в республиканскую собственность в обмен на республиканское имущество в соответствии с перечнем, указанном в постановлении Правительства. Как уже было раскрыто выше, эффективный контроль над данными дочерними организациями был изначально передан определенным государственным организациям, и впоследствии АО "Национальный управляющий холдинг "Байтерек", на основании договоров доверительного управления.</w:t>
      </w:r>
    </w:p>
    <w:bookmarkStart w:name="z18" w:id="19"/>
    <w:p>
      <w:pPr>
        <w:spacing w:after="0"/>
        <w:ind w:left="0"/>
        <w:jc w:val="both"/>
      </w:pPr>
      <w:r>
        <w:rPr>
          <w:rFonts w:ascii="Times New Roman"/>
          <w:b w:val="false"/>
          <w:i w:val="false"/>
          <w:color w:val="000000"/>
          <w:sz w:val="28"/>
        </w:rPr>
        <w:t xml:space="preserve">
      </w:t>
      </w:r>
      <w:r>
        <w:rPr>
          <w:rFonts w:ascii="Times New Roman"/>
          <w:b/>
          <w:i w:val="false"/>
          <w:color w:val="000000"/>
          <w:sz w:val="28"/>
        </w:rPr>
        <w:t>Реструктуризация обязательств АО "БТА Банк"</w:t>
      </w:r>
    </w:p>
    <w:bookmarkEnd w:id="19"/>
    <w:p>
      <w:pPr>
        <w:spacing w:after="0"/>
        <w:ind w:left="0"/>
        <w:jc w:val="both"/>
      </w:pPr>
      <w:r>
        <w:rPr>
          <w:rFonts w:ascii="Times New Roman"/>
          <w:b w:val="false"/>
          <w:i w:val="false"/>
          <w:color w:val="000000"/>
          <w:sz w:val="28"/>
        </w:rPr>
        <w:t>
      В декабре 2012 года была осуществлена вторая реструктуризация обязательств АО "БТА Банк" (далее "БТА"). В рамках плана реструктуризации Фондом был принят ряд мер, направленный на поддержку реструктуризации БТА, в частности: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акций</w:t>
      </w:r>
    </w:p>
    <w:p>
      <w:pPr>
        <w:spacing w:after="0"/>
        <w:ind w:left="0"/>
        <w:jc w:val="both"/>
      </w:pPr>
      <w:r>
        <w:rPr>
          <w:rFonts w:ascii="Times New Roman"/>
          <w:b w:val="false"/>
          <w:i w:val="false"/>
          <w:color w:val="000000"/>
          <w:sz w:val="28"/>
        </w:rPr>
        <w:t>
      21 декабря 2012 года Фонд приобрел дополнительно выпущенные простые акции БТА на сумму 176.376 миллионов тенге, за счет частичного изъятия средств, размещенных на депозите и текущем счете в данном банке. В результате приобретения Фонд увеличил свою долю владения в БТА с 81,48% до 97,28%. Кроме того, по вышеупомянутому депозиту, остаток средств на котором по состоянию на 31 декабря 2012 года составил 89.894 миллиона тенге, была уменьшена процентная ставка с 11% до 7%.</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Предоставление Займа</w:t>
      </w:r>
    </w:p>
    <w:p>
      <w:pPr>
        <w:spacing w:after="0"/>
        <w:ind w:left="0"/>
        <w:jc w:val="both"/>
      </w:pPr>
      <w:r>
        <w:rPr>
          <w:rFonts w:ascii="Times New Roman"/>
          <w:b w:val="false"/>
          <w:i w:val="false"/>
          <w:color w:val="000000"/>
          <w:sz w:val="28"/>
        </w:rPr>
        <w:t>
      19 декабря 2012 года Фонд предоставил займ БТА в размере 239.771 миллион тенге, со сроком погашения до 2024 года и ставкой вознаграждения 4%. Финансирование займа было осуществлено за счет выпуска облигаций на общую сумму 143.196 миллионов тенге и имеющихся собственных средств Фонда в размере 96.575 миллионов тенге (Примечание 8).</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Пересмотр условий выпуска облигаций</w:t>
      </w:r>
    </w:p>
    <w:p>
      <w:pPr>
        <w:spacing w:after="0"/>
        <w:ind w:left="0"/>
        <w:jc w:val="both"/>
      </w:pPr>
      <w:r>
        <w:rPr>
          <w:rFonts w:ascii="Times New Roman"/>
          <w:b w:val="false"/>
          <w:i w:val="false"/>
          <w:color w:val="000000"/>
          <w:sz w:val="28"/>
        </w:rPr>
        <w:t xml:space="preserve">
      В соответствии с изменениями в проспекте по ранее выпущенным облигациям Фонда, приобретенным БТА, ставка купона была увеличена с 4% до 6% (Примечание 14).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Пересмотр условий по гарантии</w:t>
      </w:r>
    </w:p>
    <w:p>
      <w:pPr>
        <w:spacing w:after="0"/>
        <w:ind w:left="0"/>
        <w:jc w:val="both"/>
      </w:pPr>
      <w:r>
        <w:rPr>
          <w:rFonts w:ascii="Times New Roman"/>
          <w:b w:val="false"/>
          <w:i w:val="false"/>
          <w:color w:val="000000"/>
          <w:sz w:val="28"/>
        </w:rPr>
        <w:t>
      20 декабря 2012 года Фонд пересмотрел размер комиссии за гарантию, предоставленную кредиторам БТА. В соответствии с пересмотренными условиями размер комиссии был снижен с 2,0% до 0,125% годовых, начиная с 1 сентября 2012 года.</w:t>
      </w:r>
    </w:p>
    <w:bookmarkStart w:name="z19" w:id="20"/>
    <w:p>
      <w:pPr>
        <w:spacing w:after="0"/>
        <w:ind w:left="0"/>
        <w:jc w:val="both"/>
      </w:pPr>
      <w:r>
        <w:rPr>
          <w:rFonts w:ascii="Times New Roman"/>
          <w:b w:val="false"/>
          <w:i w:val="false"/>
          <w:color w:val="000000"/>
          <w:sz w:val="28"/>
        </w:rPr>
        <w:t xml:space="preserve">
      </w:t>
      </w:r>
      <w:r>
        <w:rPr>
          <w:rFonts w:ascii="Times New Roman"/>
          <w:b/>
          <w:i w:val="false"/>
          <w:color w:val="000000"/>
          <w:sz w:val="28"/>
        </w:rPr>
        <w:t>Планируемая реализация акций БТА</w:t>
      </w:r>
    </w:p>
    <w:bookmarkEnd w:id="20"/>
    <w:p>
      <w:pPr>
        <w:spacing w:after="0"/>
        <w:ind w:left="0"/>
        <w:jc w:val="both"/>
      </w:pPr>
      <w:r>
        <w:rPr>
          <w:rFonts w:ascii="Times New Roman"/>
          <w:b w:val="false"/>
          <w:i w:val="false"/>
          <w:color w:val="000000"/>
          <w:sz w:val="28"/>
        </w:rPr>
        <w:t>
      Согласно ряду документов, подписанным Фондом с АО "Казкоммерцбанк" (далее "ККБ") и г-ном Ракишевым Кеңесом Хамителы в декабре 2013 года и январе 2014 года, ККБ и г-н Ракишев приобретают по 46,5% акций БТА каждый, с целью дальнейшего объединения БТА и ККБ в единый банк. Оставшаяся доля Фонда в БТА в размере 4,26% будет передана в доверительное управление ККБ, в результате чего ККБ будет управлять контрольным пакетом акций в БТА до их объединения.</w:t>
      </w:r>
    </w:p>
    <w:p>
      <w:pPr>
        <w:spacing w:after="0"/>
        <w:ind w:left="0"/>
        <w:jc w:val="both"/>
      </w:pPr>
      <w:r>
        <w:rPr>
          <w:rFonts w:ascii="Times New Roman"/>
          <w:b w:val="false"/>
          <w:i w:val="false"/>
          <w:color w:val="000000"/>
          <w:sz w:val="28"/>
        </w:rPr>
        <w:t>
      Возмещение по сделке, определенное как 0,5 от собственного капитала БТА на 30 сентября 2013 года, составило 144.150 миллионов тенге, из которых 69.750 миллионов тенге будут уплачены до закрытия сделки, а 74.400 миллионов тенге в течение 3 (трех) лет после закрытия сделки. Справедливая стоимость возмещения с учетом дисконтирования отсроченных платежей составила 132.088 миллионов тенге. Оплата первой части платежа производится денежными средствами, а также 100%-м пакетом акций АО "Шалкия Цинк" со стороны г. Ракишева. Сделка не будет считаться завершенной до выполнения сторонами ряда отлагательных условий, включающих получение разрешений соответствующих органов корпоративного управления сторон и государственных регулирующих органов, а также внесение изменений в текущее банковское законодательство Республики Казахстан, разрешающих ККБ осуществление инвестиций свыше 10% от собственного капитала. В дополнение, стороны договорились о взаимодействии по возврату проблемных активов БТА. Завершение сделки планируется во втором квартале 2014 года.</w:t>
      </w:r>
    </w:p>
    <w:p>
      <w:pPr>
        <w:spacing w:after="0"/>
        <w:ind w:left="0"/>
        <w:jc w:val="both"/>
      </w:pPr>
      <w:r>
        <w:rPr>
          <w:rFonts w:ascii="Times New Roman"/>
          <w:b w:val="false"/>
          <w:i w:val="false"/>
          <w:color w:val="000000"/>
          <w:sz w:val="28"/>
        </w:rPr>
        <w:t>
      Принимая во внимание вышеуказанное, а также то, что Правительство и Национальный Банк Республики Казахстан согласно Меморандуму о взаимопонимании окажут содействие сторонам для решения некоторых критических отлагательных условий, инвестиции в БТА были классифицированы в данной отдельной финансовой отчетности Фонда как актив, предназначенный для продажи, в соответствии с требованиями МСФО 5.</w:t>
      </w:r>
    </w:p>
    <w:bookmarkStart w:name="z20" w:id="21"/>
    <w:p>
      <w:pPr>
        <w:spacing w:after="0"/>
        <w:ind w:left="0"/>
        <w:jc w:val="both"/>
      </w:pPr>
      <w:r>
        <w:rPr>
          <w:rFonts w:ascii="Times New Roman"/>
          <w:b w:val="false"/>
          <w:i w:val="false"/>
          <w:color w:val="000000"/>
          <w:sz w:val="28"/>
        </w:rPr>
        <w:t xml:space="preserve">
      </w:t>
      </w:r>
      <w:r>
        <w:rPr>
          <w:rFonts w:ascii="Times New Roman"/>
          <w:b/>
          <w:i w:val="false"/>
          <w:color w:val="000000"/>
          <w:sz w:val="28"/>
        </w:rPr>
        <w:t>Планируемая реализация акций АО "Темірбанк" и АО "Альянс Банк"</w:t>
      </w:r>
    </w:p>
    <w:bookmarkEnd w:id="21"/>
    <w:p>
      <w:pPr>
        <w:spacing w:after="0"/>
        <w:ind w:left="0"/>
        <w:jc w:val="both"/>
      </w:pPr>
      <w:r>
        <w:rPr>
          <w:rFonts w:ascii="Times New Roman"/>
          <w:b w:val="false"/>
          <w:i w:val="false"/>
          <w:color w:val="000000"/>
          <w:sz w:val="28"/>
        </w:rPr>
        <w:t>
      В декабре 2013 года между Фондом и г-ном Утемуратовым Булатом Джамитовичем подписаны соглашения о продаже Фондом 79,88% акций АО "Темірбанк" (далее "Темирбанк") и 16% простых и привилегированных акций АО "Альянс Банк" (далее "Альянс Банк"), с целью последующего объединения Темирбанк и Альянс Банк в единый банк. Завершение сделки планируется до конца 2014 года. Эта сделка тоже зависит от ряда отлагательных условий, включающих принятие необходимых корпоративных решений, внесение изменений в текущее банковское законодательство Республики Казахстан, уточняющих процедуру реорганизации банков, получение необходимых разрешений Национального Банка Республики Казахстан и других государственных органов. Руководство оценивает вероятность завершения данных сделок как высокую, и, учитывая, что весь имеющийся пакет простых акций Темирбанка находится в наличии для немедленной продажи в его настоящем состоянии исключительно на обычных и общепринятых условиях, которые характерны для сделок продажи инвестиций в банки, инвестиции в данную дочернюю организацию были классифицированы как актив, предназначенный для продажи. Инвестиции в Альянс Банк не отвечают требованиям МСФО 5 в отношении классификации как актив, предназначенный для продажи, по состоянию на 31 декабря 2013 года, поскольку контрольный пакет акций (51% простых и привилегированных акций) пока остается во владении Фонда. Справедливая стоимость ожидаемого возмещения за акции Темирбанка превышает текущую балансовую стоимость инвестиций Фонда в данную дочернюю организацию.</w:t>
      </w:r>
    </w:p>
    <w:bookmarkStart w:name="z21" w:id="22"/>
    <w:p>
      <w:pPr>
        <w:spacing w:after="0"/>
        <w:ind w:left="0"/>
        <w:jc w:val="both"/>
      </w:pPr>
      <w:r>
        <w:rPr>
          <w:rFonts w:ascii="Times New Roman"/>
          <w:b w:val="false"/>
          <w:i w:val="false"/>
          <w:color w:val="000000"/>
          <w:sz w:val="28"/>
        </w:rPr>
        <w:t xml:space="preserve">
      </w:t>
      </w:r>
      <w:r>
        <w:rPr>
          <w:rFonts w:ascii="Times New Roman"/>
          <w:b/>
          <w:i w:val="false"/>
          <w:color w:val="000000"/>
          <w:sz w:val="28"/>
        </w:rPr>
        <w:t>2. ОСНОВА ПОДГОТОВКИ ФИНАНСОВОЙ ОТЧЕТНОСТИ</w:t>
      </w:r>
    </w:p>
    <w:bookmarkEnd w:id="22"/>
    <w:p>
      <w:pPr>
        <w:spacing w:after="0"/>
        <w:ind w:left="0"/>
        <w:jc w:val="both"/>
      </w:pPr>
      <w:r>
        <w:rPr>
          <w:rFonts w:ascii="Times New Roman"/>
          <w:b w:val="false"/>
          <w:i w:val="false"/>
          <w:color w:val="000000"/>
          <w:sz w:val="28"/>
        </w:rPr>
        <w:t>
      Данная отдельная финансовая отчетность была подготовлена в соответствии с принципом оценки по первоначальной стоимости, за исключением раскрытого в учетной политике и примечаниях к данной отдельной финансовой отчетности. Фонд ведет бухгалтерский учет в казахстанских тенге (далее "тенге"). Все значения в данной отдельной финансовой отчетности округлены до миллиона, за исключением специально оговоренных случаев.</w:t>
      </w:r>
    </w:p>
    <w:p>
      <w:pPr>
        <w:spacing w:after="0"/>
        <w:ind w:left="0"/>
        <w:jc w:val="both"/>
      </w:pPr>
      <w:r>
        <w:rPr>
          <w:rFonts w:ascii="Times New Roman"/>
          <w:b w:val="false"/>
          <w:i w:val="false"/>
          <w:color w:val="000000"/>
          <w:sz w:val="28"/>
        </w:rPr>
        <w:t>
      Данная отдельная финансовая отчетность подготовлена согласно требованиям законодательства Республики Казахстан.</w:t>
      </w:r>
    </w:p>
    <w:p>
      <w:pPr>
        <w:spacing w:after="0"/>
        <w:ind w:left="0"/>
        <w:jc w:val="both"/>
      </w:pPr>
      <w:r>
        <w:rPr>
          <w:rFonts w:ascii="Times New Roman"/>
          <w:b w:val="false"/>
          <w:i w:val="false"/>
          <w:color w:val="000000"/>
          <w:sz w:val="28"/>
        </w:rPr>
        <w:t>
      Данная отдельная финансовая отчетность была подготовлена в дополнение к консолидированной финансовой отчетности за год, закончившийся 31 декабря 2013 года. Консолидированная финансовая отчетность была утверждена к выпуску Финансовым директором – членом Правления и Главным Бухгалтером Фонда 25 апреля 2014 года.</w:t>
      </w:r>
    </w:p>
    <w:bookmarkStart w:name="z22" w:id="23"/>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 о соответствии</w:t>
      </w:r>
    </w:p>
    <w:bookmarkEnd w:id="23"/>
    <w:p>
      <w:pPr>
        <w:spacing w:after="0"/>
        <w:ind w:left="0"/>
        <w:jc w:val="both"/>
      </w:pPr>
      <w:r>
        <w:rPr>
          <w:rFonts w:ascii="Times New Roman"/>
          <w:b w:val="false"/>
          <w:i w:val="false"/>
          <w:color w:val="000000"/>
          <w:sz w:val="28"/>
        </w:rPr>
        <w:t>
      Данная отдельная финансовая отчетность Фонда подготовлена в соответствии с Международными стандартами финансовой отчетности (далее "МСФО") в редакции, утвержденной Советом по Международным стандартам финансовой отчетности (далее "Совет по МСФО").</w:t>
      </w:r>
    </w:p>
    <w:p>
      <w:pPr>
        <w:spacing w:after="0"/>
        <w:ind w:left="0"/>
        <w:jc w:val="both"/>
      </w:pPr>
      <w:r>
        <w:rPr>
          <w:rFonts w:ascii="Times New Roman"/>
          <w:b w:val="false"/>
          <w:i w:val="false"/>
          <w:color w:val="000000"/>
          <w:sz w:val="28"/>
        </w:rPr>
        <w:t>
      Подготовка отдельной финансовой отчетности в соответствии с МСФО требует использования определенных важных бухгалтерских оценок. Сферы применения, включающие в себя повышенный уровень сложности или применение допущений, а также области, в которых применение оценок и допущений является существенным для отдельной финансовой отчетности, раскрыты в Примечании 4.</w:t>
      </w:r>
    </w:p>
    <w:bookmarkStart w:name="z23" w:id="24"/>
    <w:p>
      <w:pPr>
        <w:spacing w:after="0"/>
        <w:ind w:left="0"/>
        <w:jc w:val="both"/>
      </w:pPr>
      <w:r>
        <w:rPr>
          <w:rFonts w:ascii="Times New Roman"/>
          <w:b w:val="false"/>
          <w:i w:val="false"/>
          <w:color w:val="000000"/>
          <w:sz w:val="28"/>
        </w:rPr>
        <w:t xml:space="preserve">
      </w:t>
      </w:r>
      <w:r>
        <w:rPr>
          <w:rFonts w:ascii="Times New Roman"/>
          <w:b/>
          <w:i w:val="false"/>
          <w:color w:val="000000"/>
          <w:sz w:val="28"/>
        </w:rPr>
        <w:t>Пересчет иностранной валюты</w:t>
      </w:r>
    </w:p>
    <w:bookmarkEnd w:id="24"/>
    <w:p>
      <w:pPr>
        <w:spacing w:after="0"/>
        <w:ind w:left="0"/>
        <w:jc w:val="both"/>
      </w:pPr>
      <w:r>
        <w:rPr>
          <w:rFonts w:ascii="Times New Roman"/>
          <w:b w:val="false"/>
          <w:i w:val="false"/>
          <w:color w:val="000000"/>
          <w:sz w:val="28"/>
        </w:rPr>
        <w:t xml:space="preserve">
      </w:t>
      </w:r>
      <w:r>
        <w:rPr>
          <w:rFonts w:ascii="Times New Roman"/>
          <w:b w:val="false"/>
          <w:i/>
          <w:color w:val="000000"/>
          <w:sz w:val="28"/>
        </w:rPr>
        <w:t>Функциональная валюта и валюта представления</w:t>
      </w:r>
    </w:p>
    <w:p>
      <w:pPr>
        <w:spacing w:after="0"/>
        <w:ind w:left="0"/>
        <w:jc w:val="both"/>
      </w:pPr>
      <w:r>
        <w:rPr>
          <w:rFonts w:ascii="Times New Roman"/>
          <w:b w:val="false"/>
          <w:i w:val="false"/>
          <w:color w:val="000000"/>
          <w:sz w:val="28"/>
        </w:rPr>
        <w:t>
      Данная отдельная финансовая отчетность представлена в тенге, который является функциональной валютой и валютой представления отдельной финансовой отчетности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Операции и сальдо счетов</w:t>
      </w:r>
    </w:p>
    <w:p>
      <w:pPr>
        <w:spacing w:after="0"/>
        <w:ind w:left="0"/>
        <w:jc w:val="both"/>
      </w:pPr>
      <w:r>
        <w:rPr>
          <w:rFonts w:ascii="Times New Roman"/>
          <w:b w:val="false"/>
          <w:i w:val="false"/>
          <w:color w:val="000000"/>
          <w:sz w:val="28"/>
        </w:rPr>
        <w:t>
      Операции в иностранной валюте первоначально учитываются в функциональной валюте по курсу, действующему на дату операции. Монетарные активы и обязательства, выраженные в иностранной валюте, пересчитываются по официальному рыночному курсу функциональной валюты, действующему на отчетную дату. Все курсовые разницы включаются в отдельный отчет о совокупном доходе. Немонетарные статьи, которые оцениваются на основе исторической стоимости в иностранной валюте, пересчитываются по курсам, действовавшим на дату совершения первоначальных сделок. Немонетарные статьи, которые оцениваются по справедливой стоимости в иностранной валюте, пересчитываются по курсам на дату определения справедливой стоимости.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Курсы обмена валют</w:t>
      </w:r>
    </w:p>
    <w:p>
      <w:pPr>
        <w:spacing w:after="0"/>
        <w:ind w:left="0"/>
        <w:jc w:val="both"/>
      </w:pPr>
      <w:r>
        <w:rPr>
          <w:rFonts w:ascii="Times New Roman"/>
          <w:b w:val="false"/>
          <w:i w:val="false"/>
          <w:color w:val="000000"/>
          <w:sz w:val="28"/>
        </w:rPr>
        <w:t>
      Средневзвешенные курсы обмена, установленные на Казахстанской фондовой бирже (далее "КФБ"), используются в Казахстане в качестве официальных рыночных курсов обмена иностранной валюты.</w:t>
      </w:r>
    </w:p>
    <w:p>
      <w:pPr>
        <w:spacing w:after="0"/>
        <w:ind w:left="0"/>
        <w:jc w:val="both"/>
      </w:pPr>
      <w:r>
        <w:rPr>
          <w:rFonts w:ascii="Times New Roman"/>
          <w:b w:val="false"/>
          <w:i w:val="false"/>
          <w:color w:val="000000"/>
          <w:sz w:val="28"/>
        </w:rPr>
        <w:t>
      На 31 декабря 2013 и 2012 годов обменный курс КФБ тенге к доллару США составлял 154,06 и 150,74 тенге за 1 доллар США, соответственно. Эти курсы использовались для пересчета монетарных активов и обязательств, выраженных в долларах США на 31 декабря 2013 и 2012 годов. Обменный курс КФБ на 25 апреля 2014 года составлял 182,01 тенге за 1 доллар США.</w:t>
      </w:r>
    </w:p>
    <w:bookmarkStart w:name="z24" w:id="25"/>
    <w:p>
      <w:pPr>
        <w:spacing w:after="0"/>
        <w:ind w:left="0"/>
        <w:jc w:val="both"/>
      </w:pPr>
      <w:r>
        <w:rPr>
          <w:rFonts w:ascii="Times New Roman"/>
          <w:b w:val="false"/>
          <w:i w:val="false"/>
          <w:color w:val="000000"/>
          <w:sz w:val="28"/>
        </w:rPr>
        <w:t xml:space="preserve">
      </w:t>
      </w:r>
      <w:r>
        <w:rPr>
          <w:rFonts w:ascii="Times New Roman"/>
          <w:b/>
          <w:i w:val="false"/>
          <w:color w:val="000000"/>
          <w:sz w:val="28"/>
        </w:rPr>
        <w:t>3. ОБЗОР СУЩЕСТВЕННЫХ АСПЕКТОВ УЧЕТНОЙ ПОЛИТИКИ</w:t>
      </w:r>
    </w:p>
    <w:bookmarkEnd w:id="25"/>
    <w:bookmarkStart w:name="z25" w:id="26"/>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Изменения в учетной политике и принципах раскрытия информации</w:t>
      </w:r>
    </w:p>
    <w:bookmarkEnd w:id="26"/>
    <w:p>
      <w:pPr>
        <w:spacing w:after="0"/>
        <w:ind w:left="0"/>
        <w:jc w:val="both"/>
      </w:pPr>
      <w:r>
        <w:rPr>
          <w:rFonts w:ascii="Times New Roman"/>
          <w:b w:val="false"/>
          <w:i w:val="false"/>
          <w:color w:val="000000"/>
          <w:sz w:val="28"/>
        </w:rPr>
        <w:t>
      Учетная политика, применяемая при подготовке данной отдельной финансовой отчетности, соответствует той, которая использовалась при подготовке отдельной финансовой отчетности за год, закончившийся 31 декабря 2012 года, за исключением принятия приведенных ниже новых и пересмотренных Стандартов.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МСФО 10 "Консолидированная финансовая отчетность", МСБУ 27 "Отдельная финансовая отчетность"</w:t>
      </w:r>
    </w:p>
    <w:p>
      <w:pPr>
        <w:spacing w:after="0"/>
        <w:ind w:left="0"/>
        <w:jc w:val="both"/>
      </w:pPr>
      <w:r>
        <w:rPr>
          <w:rFonts w:ascii="Times New Roman"/>
          <w:b w:val="false"/>
          <w:i w:val="false"/>
          <w:color w:val="000000"/>
          <w:sz w:val="28"/>
        </w:rPr>
        <w:t xml:space="preserve">
      МСФО 10 предусматривает единую модель контроля, которая применяется в отношении всех компаний, включая компании специального назначения. МСФО 10 заменяет ту часть МСБУ 27 "Консолидированная и отдельная финансовая отчетность", в которой содержались требования к консолидированной финансовой отчетности. Стандарт также содержит указания по вопросам, которые рассматривались в Интерпретации </w:t>
      </w:r>
    </w:p>
    <w:p>
      <w:pPr>
        <w:spacing w:after="0"/>
        <w:ind w:left="0"/>
        <w:jc w:val="both"/>
      </w:pPr>
      <w:r>
        <w:rPr>
          <w:rFonts w:ascii="Times New Roman"/>
          <w:b w:val="false"/>
          <w:i w:val="false"/>
          <w:color w:val="000000"/>
          <w:sz w:val="28"/>
        </w:rPr>
        <w:t>
      ПКИ-12 "Консолидация – компании специального назначения". МСФО 10 изменяет определение "контроль" таким образом, что считается, что инвестор контролирует объект инвестиций, если он имеет право на переменную отдачу от инвестиции или подвержен риску, связанному с ее изменением, и может влиять на данную отдачу вследствие своих полномочий в отношении объекта инвестиций. Согласно определению контроля в МСФО 10 инвестор контролирует объект инвестиций только в том случае, если выполняются следующие условия: (a) наличие у инвестора полномочий в отношении объекта инвестиций; (б) наличие у инвестора права на переменную отдачу от инвестиции или подверженность риску, связанному с ее изменением; (в) наличие у инвестора возможности использования своих полномочий в отношении объекта инвестиций с целью влияния на переменную отдачу от инвестиции. МСФО 10 не оказал влияния на отдельную финансовую отчетность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МСФО 11 "Соглашения о совместной деятельности" и МСБУ 28 "Инвестиции в ассоциированные компании и совместные предприятия"</w:t>
      </w:r>
    </w:p>
    <w:p>
      <w:pPr>
        <w:spacing w:after="0"/>
        <w:ind w:left="0"/>
        <w:jc w:val="both"/>
      </w:pPr>
      <w:r>
        <w:rPr>
          <w:rFonts w:ascii="Times New Roman"/>
          <w:b w:val="false"/>
          <w:i w:val="false"/>
          <w:color w:val="000000"/>
          <w:sz w:val="28"/>
        </w:rPr>
        <w:t>
      МСФО 11 заменяет МСБУ 31 "Участие в совместной деятельности" и Интерпретацию ПКИ-13 "Совместно контролируемые компании – немонетарные вклады участников". МСФО 11 исключает возможность учета совместно контролируемых компаний методом пропорциональной консолидации. Вместо этого совместно контролируемые компании, удовлетворяющие определению совместных предприятий согласно МСФО 11, учитываются по методу долевого участия. МСФО 11 не оказал влияния на отдельную финансовую отчетность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МСФО 12 "Раскрытие информации о долях участия в других компаниях"</w:t>
      </w:r>
    </w:p>
    <w:p>
      <w:pPr>
        <w:spacing w:after="0"/>
        <w:ind w:left="0"/>
        <w:jc w:val="both"/>
      </w:pPr>
      <w:r>
        <w:rPr>
          <w:rFonts w:ascii="Times New Roman"/>
          <w:b w:val="false"/>
          <w:i w:val="false"/>
          <w:color w:val="000000"/>
          <w:sz w:val="28"/>
        </w:rPr>
        <w:t>
      МСФО 12 содержит требования к раскрытию информации, которая относится к долям участия компании в дочерних организациях, соглашениях о совместной деятельности, ассоциированных и структурированных компаниях. Требования МСФО 12 являются более обширными, чем ранее применявшиеся требования в отношении раскрытия информации о дочерних организациях. МСФО 12 не оказал влияния на отдельную финансовую отчетность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МСФО 13 "Оценка справедливой стоимости"</w:t>
      </w:r>
    </w:p>
    <w:p>
      <w:pPr>
        <w:spacing w:after="0"/>
        <w:ind w:left="0"/>
        <w:jc w:val="both"/>
      </w:pPr>
      <w:r>
        <w:rPr>
          <w:rFonts w:ascii="Times New Roman"/>
          <w:b w:val="false"/>
          <w:i w:val="false"/>
          <w:color w:val="000000"/>
          <w:sz w:val="28"/>
        </w:rPr>
        <w:t>
      МСФО 13 объединяет в одном стандарте все указания относительно оценки справедливой стоимости согласно МСФО. МСФО 13 не вносит изменений в определение того, когда компании должны использовать справедливую стоимость, а предоставляет указания относительно оценки справедливой стоимости согласно МСФО, когда ее использование требуется или разрешается другими стандартами в составе МСФО. МСФО 13 определяет справедливую стоимость как цену выхода. Согласно указаниям в МСФО 13 Фонд повторно проанализировал свою политику в отношении оценки справедливой стоимости, в частности, используемые исходные данные для оценки, такие, как например риск неисполнения обязательств, учитываемые при оценке обязательств по справедливой стоимости. МСФО 13 также требует раскрытия дополнительной информации.</w:t>
      </w:r>
    </w:p>
    <w:p>
      <w:pPr>
        <w:spacing w:after="0"/>
        <w:ind w:left="0"/>
        <w:jc w:val="both"/>
      </w:pPr>
      <w:r>
        <w:rPr>
          <w:rFonts w:ascii="Times New Roman"/>
          <w:b w:val="false"/>
          <w:i w:val="false"/>
          <w:color w:val="000000"/>
          <w:sz w:val="28"/>
        </w:rPr>
        <w:t>
      Применение МСФО 13 не оказало существенного влияния на оценки справедливой стоимости, определяемой Фондом. Там, где это необходимо, дополнительная информация раскрывается в отдельных примечаниях по активам и обязательствам, для которых определялась справедливая стоимость.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Поправки к МСБУ 1 "Представление статей прочего совокупного дохода"</w:t>
      </w:r>
    </w:p>
    <w:p>
      <w:pPr>
        <w:spacing w:after="0"/>
        <w:ind w:left="0"/>
        <w:jc w:val="both"/>
      </w:pPr>
      <w:r>
        <w:rPr>
          <w:rFonts w:ascii="Times New Roman"/>
          <w:b w:val="false"/>
          <w:i w:val="false"/>
          <w:color w:val="000000"/>
          <w:sz w:val="28"/>
        </w:rPr>
        <w:t>
      Поправки к МСБУ 1 изменяют группировку статей, представляемых в составе прочего совокупного дохода. Статьи, которые могут быть переклассифицированы в состав прибыли или убытка в определенный момент в будущем (например, чистый доход от хеджирования чистых инвестиций, курсовые разницы при пересчете отчетности зарубежных подразделений, чистое изменение хеджирования денежных потоков и чистые расходы или доходы по финансовым активам, имеющимся в наличии для продажи), должны представляться отдельно от статей, которые никогда не будут переклассифицированы (например, актуарные доходы и расходы по планам с установленными выплатами и переоценка земли и зданий). Поправка оказывает влияние исключительно на представление информации в отдельной финансовой отчетности и не затрагивает отдельное финансовое положение или финансовые результаты деятельности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Поправка к МСБУ 1 "Разъяснение требований в отношении сравнительной информации"</w:t>
      </w:r>
    </w:p>
    <w:p>
      <w:pPr>
        <w:spacing w:after="0"/>
        <w:ind w:left="0"/>
        <w:jc w:val="both"/>
      </w:pPr>
      <w:r>
        <w:rPr>
          <w:rFonts w:ascii="Times New Roman"/>
          <w:b w:val="false"/>
          <w:i w:val="false"/>
          <w:color w:val="000000"/>
          <w:sz w:val="28"/>
        </w:rPr>
        <w:t>
      Данная поправка разъясняет разницу между добровольным раскрытием дополнительной сравнительной информации и минимумом необходимой сравнительной информации. Компания должна включить сравнительную информацию в соответствующие примечания к финансовой отчетности, когда она на добровольной основе предоставляет сравнительную информацию сверх минимума данных за один сравнительный период. Поправка разъясняет, что соответствующие примечания к вступительному бухгалтерскому балансу по состоянию на 1 января 2012 года, представляемому в случаях, когда Компания ретроспективно применяет учетную политику, осуществляет ретроспективный перерасчет и переклассифицирует статьи финансовой отчетности, представлять не требуется. Поправка оказывает влияние исключительно на представление информации в финансовой отчетности и не изменяет отдельное финансовое положение или финансовые результаты деятельности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МСБУ 19 "Вознаграждения работникам" (в редакции 2011 года)</w:t>
      </w:r>
    </w:p>
    <w:p>
      <w:pPr>
        <w:spacing w:after="0"/>
        <w:ind w:left="0"/>
        <w:jc w:val="both"/>
      </w:pPr>
      <w:r>
        <w:rPr>
          <w:rFonts w:ascii="Times New Roman"/>
          <w:b w:val="false"/>
          <w:i w:val="false"/>
          <w:color w:val="000000"/>
          <w:sz w:val="28"/>
        </w:rPr>
        <w:t>
      Совет по МСФО опубликовал несколько поправок к МСФО 19. Они варьируются от фундаментальных изменений (например, исключение механизма коридора и понятия ожидаемой доходности активов плана) до простых разъяснений и изменений формулировки. Изменения в МСФО 19 не оказали влияния на отдельную финансовую отчетность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Поправка к МСБУ 16 "Обесценение активов" – "Раскрытие информации о возмещаемой стоимости для нефинансовых активов"</w:t>
      </w:r>
    </w:p>
    <w:p>
      <w:pPr>
        <w:spacing w:after="0"/>
        <w:ind w:left="0"/>
        <w:jc w:val="both"/>
      </w:pPr>
      <w:r>
        <w:rPr>
          <w:rFonts w:ascii="Times New Roman"/>
          <w:b w:val="false"/>
          <w:i w:val="false"/>
          <w:color w:val="000000"/>
          <w:sz w:val="28"/>
        </w:rPr>
        <w:t>
      Данные поправки устраняют нежелательные последствия для раскрытия информации согласно МСБУ 36, связанные с вступлением в силу МСФО 13. Кроме того, данные поправки требуют раскрытия информации о возмещаемой стоимости активов или ПГДП, по которым в течение отчетного периода был признан или восстановлен убыток от обесценения. Данные поправки применяются ретроспективно в отношении годовых отчетных периодов, начинающихся с 1 января 2014 года или после этой даты, при этом допускается досрочное применение при условии применения МСФО 13. Фонд досрочно применил данные поправки к МСБУ 36 в текущем отчетном периоде, поскольку раскрытие измененной/дополнительной информации является полезным, как и предполагалось Советом по МСФО.</w:t>
      </w:r>
    </w:p>
    <w:p>
      <w:pPr>
        <w:spacing w:after="0"/>
        <w:ind w:left="0"/>
        <w:jc w:val="both"/>
      </w:pPr>
      <w:r>
        <w:rPr>
          <w:rFonts w:ascii="Times New Roman"/>
          <w:b w:val="false"/>
          <w:i w:val="false"/>
          <w:color w:val="000000"/>
          <w:sz w:val="28"/>
        </w:rPr>
        <w:t>
      Фонд не применял досрочно какие-либо другие стандарты, интерпретации или поправки, которые были выпущены, но еще не вступили в силу.</w:t>
      </w:r>
    </w:p>
    <w:bookmarkStart w:name="z26" w:id="27"/>
    <w:p>
      <w:pPr>
        <w:spacing w:after="0"/>
        <w:ind w:left="0"/>
        <w:jc w:val="both"/>
      </w:pPr>
      <w:r>
        <w:rPr>
          <w:rFonts w:ascii="Times New Roman"/>
          <w:b w:val="false"/>
          <w:i w:val="false"/>
          <w:color w:val="000000"/>
          <w:sz w:val="28"/>
        </w:rPr>
        <w:t xml:space="preserve">
      </w:t>
      </w:r>
      <w:r>
        <w:rPr>
          <w:rFonts w:ascii="Times New Roman"/>
          <w:b/>
          <w:i w:val="false"/>
          <w:color w:val="000000"/>
          <w:sz w:val="28"/>
        </w:rPr>
        <w:t>Выпущенные, но еще не вступившие в силу стандарты и интерпретации</w:t>
      </w:r>
    </w:p>
    <w:bookmarkEnd w:id="27"/>
    <w:p>
      <w:pPr>
        <w:spacing w:after="0"/>
        <w:ind w:left="0"/>
        <w:jc w:val="both"/>
      </w:pPr>
      <w:r>
        <w:rPr>
          <w:rFonts w:ascii="Times New Roman"/>
          <w:b w:val="false"/>
          <w:i w:val="false"/>
          <w:color w:val="000000"/>
          <w:sz w:val="28"/>
        </w:rPr>
        <w:t>
      Ниже приводятся стандарты и интерпретации, которые были выпущены, но еще не вступили в силу на дату выпуска отдельной финансовой отчетности Фонда. Фонд намерен применить эти стандарты с даты их вступления в силу.</w:t>
      </w:r>
    </w:p>
    <w:bookmarkStart w:name="z27" w:id="28"/>
    <w:p>
      <w:pPr>
        <w:spacing w:after="0"/>
        <w:ind w:left="0"/>
        <w:jc w:val="both"/>
      </w:pPr>
      <w:r>
        <w:rPr>
          <w:rFonts w:ascii="Times New Roman"/>
          <w:b w:val="false"/>
          <w:i w:val="false"/>
          <w:color w:val="000000"/>
          <w:sz w:val="28"/>
        </w:rPr>
        <w:t xml:space="preserve">
      </w:t>
      </w:r>
      <w:r>
        <w:rPr>
          <w:rFonts w:ascii="Times New Roman"/>
          <w:b/>
          <w:i w:val="false"/>
          <w:color w:val="000000"/>
          <w:sz w:val="28"/>
        </w:rPr>
        <w:t>Выпущенные, но еще не вступившие в силу стандарты и интерпретации (продолжение)</w:t>
      </w:r>
    </w:p>
    <w:bookmarkEnd w:id="28"/>
    <w:p>
      <w:pPr>
        <w:spacing w:after="0"/>
        <w:ind w:left="0"/>
        <w:jc w:val="both"/>
      </w:pPr>
      <w:r>
        <w:rPr>
          <w:rFonts w:ascii="Times New Roman"/>
          <w:b w:val="false"/>
          <w:i w:val="false"/>
          <w:color w:val="000000"/>
          <w:sz w:val="28"/>
        </w:rPr>
        <w:t xml:space="preserve">
      </w:t>
      </w:r>
      <w:r>
        <w:rPr>
          <w:rFonts w:ascii="Times New Roman"/>
          <w:b w:val="false"/>
          <w:i/>
          <w:color w:val="000000"/>
          <w:sz w:val="28"/>
        </w:rPr>
        <w:t>МСФО (IFRS) 9 "Финансовые инструменты"</w:t>
      </w:r>
    </w:p>
    <w:p>
      <w:pPr>
        <w:spacing w:after="0"/>
        <w:ind w:left="0"/>
        <w:jc w:val="both"/>
      </w:pPr>
      <w:r>
        <w:rPr>
          <w:rFonts w:ascii="Times New Roman"/>
          <w:b w:val="false"/>
          <w:i w:val="false"/>
          <w:color w:val="000000"/>
          <w:sz w:val="28"/>
        </w:rPr>
        <w:t>
      МСФО (IFRS) 9 в текущей редакции, отражающий результаты первого этапа проекта Совета по МСФО по замене МСФО (IAS) 39, применяется в отношении классификации и оценки финансовых активов и финансовых обязательств, как они определены в МСФО (IAS) 39. Первоначально предполагалось, что стандарт вступит в силу в отношении годовых отчетных периодов, начинающихся 1 января 2013 года или после этой даты, но в результате выпуска Поправок к МСФО (IFRS) 9 "Дата обязательного применения МСФО (IFRS) 9 и переходные требования к раскрытию информации", опубликованных в декабре 2011 года, дата обязательного применения была перенесена на 1 января 2015 года. В ходе последующих этапов Совет по МСФО рассмотрит учет хеджирования и обесценение финансовых активов. Фонд оценит влияние этого стандарта на суммы, раскрываемые в отдельной финансовой отчетности в увязке с другими этапами проекта после публикации окончательной редакции стандарта, включающей в себя все этапы.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"Инвестиционные компании" (Поправки к МСФО (IFRS) 10, МСФО (IFRS) 12 и МСФО (IAS) 27)</w:t>
      </w:r>
    </w:p>
    <w:p>
      <w:pPr>
        <w:spacing w:after="0"/>
        <w:ind w:left="0"/>
        <w:jc w:val="both"/>
      </w:pPr>
      <w:r>
        <w:rPr>
          <w:rFonts w:ascii="Times New Roman"/>
          <w:b w:val="false"/>
          <w:i w:val="false"/>
          <w:color w:val="000000"/>
          <w:sz w:val="28"/>
        </w:rPr>
        <w:t>
      Данные поправки вступают в силу для годовых отчетных периодов, начинающихся 1 января 2014 года или после этой даты, и предусматривают исключение из требований о консолидации для компаний, которые отвечают определению инвестиционной компании согласно МСФО (IFRS) 10. Исключение из требований о консолидации требует, чтобы инвестиционные компании учитывали дочерние организации по справедливой стоимости через прибыль или убыток. Фонд не ожидает, что данная поправка будет применима, поскольку ни одна из дочерних организаций Фонда не отвечает определению инвестиционной компании согласно МСФО (IFRS) 10.</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Поправки к МСФО (IAS) 32 "Взаимозачет финансовых активов и финансовых обязательств"</w:t>
      </w:r>
    </w:p>
    <w:p>
      <w:pPr>
        <w:spacing w:after="0"/>
        <w:ind w:left="0"/>
        <w:jc w:val="both"/>
      </w:pPr>
      <w:r>
        <w:rPr>
          <w:rFonts w:ascii="Times New Roman"/>
          <w:b w:val="false"/>
          <w:i w:val="false"/>
          <w:color w:val="000000"/>
          <w:sz w:val="28"/>
        </w:rPr>
        <w:t>
      В рамках данных поправок разъясняется значение фразы "в настоящий момент обладает юридическим закрепленным правом на осуществление взаимозачета". Поправки также описывают, как следует правильно применять критерии взаимозачета в МСФО (IAS) 32 в отношении систем расчетов (таких, как системы единого клирингового центра), в рамках которых используются механизмы неодновременных валовых платежей. Поправки вступают в силу в отношении годовых отчетных периодов, начинающихся 1 января 2014 года или после этой даты. Предполагается, что данные поправки не окажут влияние на отдельное финансовое положение или финансовые результаты деятельности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Интерпретация IFRIC 21 "Обязательные платежи"</w:t>
      </w:r>
    </w:p>
    <w:p>
      <w:pPr>
        <w:spacing w:after="0"/>
        <w:ind w:left="0"/>
        <w:jc w:val="both"/>
      </w:pPr>
      <w:r>
        <w:rPr>
          <w:rFonts w:ascii="Times New Roman"/>
          <w:b w:val="false"/>
          <w:i w:val="false"/>
          <w:color w:val="000000"/>
          <w:sz w:val="28"/>
        </w:rPr>
        <w:t>
      В Интерпретации IFRIC 21 разъясняется, что компания признает обязательство в отношении обязательных платежей тогда, когда происходит действие, влекущее за собой их уплату. В случае обязательного платежа, выплата которого требуется в случае достижения минимального порогового значения, в интерпретации устанавливается запрет на признание предполагаемого обязательства до достижения установленного минимального порогового значения. Интерпретация IFRIC 21 вступает в силу для годовых отчетных периодов, начинающихся 1 января 2014 года или после этой даты. Предполагается, что Интерпретация IFRIC 21 не окажет влияние на отдельное финансовое положение или финансовые результаты деятельности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Поправки к МСФО (IAS) 39 "Новация производных инструментов и продолжение учета хеджирования"</w:t>
      </w:r>
    </w:p>
    <w:p>
      <w:pPr>
        <w:spacing w:after="0"/>
        <w:ind w:left="0"/>
        <w:jc w:val="both"/>
      </w:pPr>
      <w:r>
        <w:rPr>
          <w:rFonts w:ascii="Times New Roman"/>
          <w:b w:val="false"/>
          <w:i w:val="false"/>
          <w:color w:val="000000"/>
          <w:sz w:val="28"/>
        </w:rPr>
        <w:t>
      В данных поправках предусматривается исключение из требования о прекращении учета хеджирования в случае, когда новация производного инструмента, определенного как инструмент хеджирования, отвечает установленным критериям. Данные поправки вступают в силу для годовых отчетных периодов, начинающихся 1 января 2014 года или после этой даты. Данные поправки будут приняты во внимание при рассмотрении будущих операций.</w:t>
      </w:r>
    </w:p>
    <w:bookmarkStart w:name="z28" w:id="29"/>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Инвестиции в дочерние организации, совместные предприятия и ассоциированные компании</w:t>
      </w:r>
    </w:p>
    <w:bookmarkEnd w:id="29"/>
    <w:p>
      <w:pPr>
        <w:spacing w:after="0"/>
        <w:ind w:left="0"/>
        <w:jc w:val="both"/>
      </w:pPr>
      <w:r>
        <w:rPr>
          <w:rFonts w:ascii="Times New Roman"/>
          <w:b w:val="false"/>
          <w:i w:val="false"/>
          <w:color w:val="000000"/>
          <w:sz w:val="28"/>
        </w:rPr>
        <w:t>
      Инвестиции Фонда в его дочерние организации, совместные предприятия и ассоциированные компании учитываются по первоначальной стоимости за минусом обесценения. Ассоциированная компания – это компания, на которую Фонд имеет существенное влияние, но которая не является ни дочерней организацией, ни совместным предприятием.</w:t>
      </w:r>
    </w:p>
    <w:bookmarkStart w:name="z29" w:id="30"/>
    <w:p>
      <w:pPr>
        <w:spacing w:after="0"/>
        <w:ind w:left="0"/>
        <w:jc w:val="both"/>
      </w:pPr>
      <w:r>
        <w:rPr>
          <w:rFonts w:ascii="Times New Roman"/>
          <w:b w:val="false"/>
          <w:i w:val="false"/>
          <w:color w:val="000000"/>
          <w:sz w:val="28"/>
        </w:rPr>
        <w:t xml:space="preserve">
      </w:t>
      </w:r>
      <w:r>
        <w:rPr>
          <w:rFonts w:ascii="Times New Roman"/>
          <w:b/>
          <w:i w:val="false"/>
          <w:color w:val="000000"/>
          <w:sz w:val="28"/>
        </w:rPr>
        <w:t>Обесценение нефинансовых активов</w:t>
      </w:r>
    </w:p>
    <w:bookmarkEnd w:id="30"/>
    <w:p>
      <w:pPr>
        <w:spacing w:after="0"/>
        <w:ind w:left="0"/>
        <w:jc w:val="both"/>
      </w:pPr>
      <w:r>
        <w:rPr>
          <w:rFonts w:ascii="Times New Roman"/>
          <w:b w:val="false"/>
          <w:i w:val="false"/>
          <w:color w:val="000000"/>
          <w:sz w:val="28"/>
        </w:rPr>
        <w:t xml:space="preserve">
      На каждую отчетную дату Фонд определяет, имеются ли признаки возможного обесценения актива. Если такие признаки имеют место, или если требуется проведение ежегодной проверки актива на обесценение, Фонд производит оценку возмещаемой стоимости актива. Возмещаемая стоимость актива – это наибольшая из следующих величин: справедливая стоимость актива и ценность от использования актива. Возмещаемая стоимость определяется для отдельного актива, за исключением случаев, когда актив не генерирует притоки денежных средств, которые, в основном, независимы от притоков, генерируемых другими активами или группами активов. Если текущая стоимость актива превышает его возмещаемую стоимость, актив считается обесцененным и списывается до возмещаемой стоимости. При оценке ценности от использования, будущие денежные потоки дисконтируются до приведенной стоимости по ставке дисконтирования до налогообложения, которая отражает текущую рыночную оценку временной стоимости денег и риски, присущие активу. </w:t>
      </w:r>
    </w:p>
    <w:p>
      <w:pPr>
        <w:spacing w:after="0"/>
        <w:ind w:left="0"/>
        <w:jc w:val="both"/>
      </w:pPr>
      <w:r>
        <w:rPr>
          <w:rFonts w:ascii="Times New Roman"/>
          <w:b w:val="false"/>
          <w:i w:val="false"/>
          <w:color w:val="000000"/>
          <w:sz w:val="28"/>
        </w:rPr>
        <w:t>
      Для активов на каждую отчетную дату оценивается наличие признаков того, что ранее признанные убытки от обесценения больше не существуют или сократились. Если такой признак имеется, Фонд рассчитывает возмещаемую стоимость актива. Ранее признанные убытки от обесценения восстанавливаются только в том случае, если имело место изменение в допущении, которое использовалась для определения возмещаемой стоимости актива, со времени последнего признания убытка от обесценения. В случае восстановления, текущая стоимость актива не может превышать возмещаемую стоимость актива, а также текущую стоимость (за вычетом амортизации), по которой данный актив признавался бы в случае, если в предыдущие годы не был бы признан убыток от обесценения по активу. Такое восстановление признается в отдельном отчете о совокупном доходе.</w:t>
      </w:r>
    </w:p>
    <w:p>
      <w:pPr>
        <w:spacing w:after="0"/>
        <w:ind w:left="0"/>
        <w:jc w:val="both"/>
      </w:pPr>
      <w:r>
        <w:rPr>
          <w:rFonts w:ascii="Times New Roman"/>
          <w:b w:val="false"/>
          <w:i w:val="false"/>
          <w:color w:val="000000"/>
          <w:sz w:val="28"/>
        </w:rPr>
        <w:t>
      Также применяются следующие критерии при оценке обесценения конкретных активов: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Инвестиции в дочерние организации, совместные предприятия и ассоциированные компании</w:t>
      </w:r>
    </w:p>
    <w:p>
      <w:pPr>
        <w:spacing w:after="0"/>
        <w:ind w:left="0"/>
        <w:jc w:val="both"/>
      </w:pPr>
      <w:r>
        <w:rPr>
          <w:rFonts w:ascii="Times New Roman"/>
          <w:b w:val="false"/>
          <w:i w:val="false"/>
          <w:color w:val="000000"/>
          <w:sz w:val="28"/>
        </w:rPr>
        <w:t>
      На каждую отчетную дату Фонд определяет наличие объективных свидетельств обесценения инвестиций в дочерние организации, совместные предприятия и ассоциированные компании. Если существуют объективные индикаторы обесценения, Фонд проводит тест на обесценение и рассчитывает сумму обесценения как разницу между возмещаемой стоимостью и балансовой стоимостью инвестиции.</w:t>
      </w:r>
    </w:p>
    <w:bookmarkStart w:name="z30" w:id="31"/>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Финансовые активы</w:t>
      </w:r>
    </w:p>
    <w:bookmarkEnd w:id="31"/>
    <w:p>
      <w:pPr>
        <w:spacing w:after="0"/>
        <w:ind w:left="0"/>
        <w:jc w:val="both"/>
      </w:pPr>
      <w:r>
        <w:rPr>
          <w:rFonts w:ascii="Times New Roman"/>
          <w:b w:val="false"/>
          <w:i w:val="false"/>
          <w:color w:val="000000"/>
          <w:sz w:val="28"/>
        </w:rPr>
        <w:t>
      Финансовые активы, находящиеся в сфере действия МСБУ 39, классифицируются соответственно как финансовые активы, переоцениваемые по справедливой стоимости через прибыль или убыток; займы выданные и дебиторская задолженность; финансовые активы, удерживаемые до погашения; финансовые активы, имеющиеся в наличии для продажи; производные инструменты. Фонд классифицирует свои финансовые активы при их первоначальном признании.</w:t>
      </w:r>
    </w:p>
    <w:p>
      <w:pPr>
        <w:spacing w:after="0"/>
        <w:ind w:left="0"/>
        <w:jc w:val="both"/>
      </w:pPr>
      <w:r>
        <w:rPr>
          <w:rFonts w:ascii="Times New Roman"/>
          <w:b w:val="false"/>
          <w:i w:val="false"/>
          <w:color w:val="000000"/>
          <w:sz w:val="28"/>
        </w:rPr>
        <w:t>
      Финансовые активы первоначально признаются по справедливой стоимости, увеличенной в случае инвестиций, не переоцениваемых по справедливой стоимости через прибыль либо убыток, на непосредственно связанные с ними затраты по сделке.</w:t>
      </w:r>
    </w:p>
    <w:p>
      <w:pPr>
        <w:spacing w:after="0"/>
        <w:ind w:left="0"/>
        <w:jc w:val="both"/>
      </w:pPr>
      <w:r>
        <w:rPr>
          <w:rFonts w:ascii="Times New Roman"/>
          <w:b w:val="false"/>
          <w:i w:val="false"/>
          <w:color w:val="000000"/>
          <w:sz w:val="28"/>
        </w:rPr>
        <w:t>
      Все сделки по покупке или продаже финансовых активов, требующие поставку активов в срок, устанавливаемый законодательством или правилами, принятыми на определенном рынке (торговля на "стандартных условиях") признаются на дату заключения сделки, то есть на дату, когда Фонд принимает на себя обязательство купить или продать актив.</w:t>
      </w:r>
    </w:p>
    <w:p>
      <w:pPr>
        <w:spacing w:after="0"/>
        <w:ind w:left="0"/>
        <w:jc w:val="both"/>
      </w:pPr>
      <w:r>
        <w:rPr>
          <w:rFonts w:ascii="Times New Roman"/>
          <w:b w:val="false"/>
          <w:i w:val="false"/>
          <w:color w:val="000000"/>
          <w:sz w:val="28"/>
        </w:rPr>
        <w:t>
      Финансовые активы Фонда включают денежные средства и их эквиваленты, банковские депозиты, торговую и прочую дебиторскую задолженность, займы выданные, средства в кредитных учреждениях, инвестиции, имеющиеся в наличие для продажи, и прочие суммы к получению. Последующая оценка финансовых активов следующим образом зависит от их классификации: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Средства в кредитных учреждениях, займы выданные и прочая дебиторская задолженность</w:t>
      </w:r>
    </w:p>
    <w:p>
      <w:pPr>
        <w:spacing w:after="0"/>
        <w:ind w:left="0"/>
        <w:jc w:val="both"/>
      </w:pPr>
      <w:r>
        <w:rPr>
          <w:rFonts w:ascii="Times New Roman"/>
          <w:b w:val="false"/>
          <w:i w:val="false"/>
          <w:color w:val="000000"/>
          <w:sz w:val="28"/>
        </w:rPr>
        <w:t>
      Средства в кредитных учреждениях, займы выданные и дебиторская задолженность представляют собой непроизводные финансовые активы с установленными или определяемыми выплатами, которые не котируются на активном рынке. После первоначального признания финансовые активы такого рода оцениваются по амортизированной стоимости, определяемой с использованием метода эффективной процентной ставки, за вычетом убытков от обесценения. Амортизированная стоимость рассчитывается с учетом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на основе эффективной процентной ставки включается в состав процентных доходов в отдельном отчете о совокупном доходе. Убытки, обусловленные обесценением, отражаются в отдельной строке в отдельном отчете о совокупном доходе.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Инвестиции, удерживаемые до погашения</w:t>
      </w:r>
    </w:p>
    <w:p>
      <w:pPr>
        <w:spacing w:after="0"/>
        <w:ind w:left="0"/>
        <w:jc w:val="both"/>
      </w:pPr>
      <w:r>
        <w:rPr>
          <w:rFonts w:ascii="Times New Roman"/>
          <w:b w:val="false"/>
          <w:i w:val="false"/>
          <w:color w:val="000000"/>
          <w:sz w:val="28"/>
        </w:rPr>
        <w:t>
      Непроизводные финансовые активы с фиксированными или определяемыми платежами и фиксированным сроком погашения классифицируются как инвестиции, удерживаемые до погашения, когда Фонд твердо намерен и способен удерживать их до срока погашения. После первоначальной оценки инвестиции, удерживаемые до погашения, оцениваются по амортизированной стоимости, определяемой с использованием метода эффективной процентной ставки, за вычетом убытков от обесценения. Амортизированная стоимость рассчитывается с учетом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на основе использования эффективной процентной ставки включается в состав процентных доходов в отдельном отчете о совокупном доходе. Убытки, обусловленные обесценением, отражаются в отдельной строке в отдельном отчете о совокупном доходе.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инвестиции, имеющиеся в наличии для продажи</w:t>
      </w:r>
    </w:p>
    <w:p>
      <w:pPr>
        <w:spacing w:after="0"/>
        <w:ind w:left="0"/>
        <w:jc w:val="both"/>
      </w:pPr>
      <w:r>
        <w:rPr>
          <w:rFonts w:ascii="Times New Roman"/>
          <w:b w:val="false"/>
          <w:i w:val="false"/>
          <w:color w:val="000000"/>
          <w:sz w:val="28"/>
        </w:rPr>
        <w:t>
      Имеющиеся в наличии для продажи финансовые инвестиции включают в себя долевые и долговые ценные бумаги. Долевые инвестиции, классифицированные в качестве имеющихся в наличии для продажи – это такие инвестиции, которые не были классифицированы ни как предназначенные для торговли, ни как переоцениваемые по справедливой стоимости через прибыль или убыток. Долговые ценные бумаги в данной категории – это такие ценные бумаги, которые компания намеревается удерживать в течение неопределенного периода времени и которые могут быть проданы для целей обеспечения ликвидности или в ответ на изменение рыночных условий.</w:t>
      </w:r>
    </w:p>
    <w:p>
      <w:pPr>
        <w:spacing w:after="0"/>
        <w:ind w:left="0"/>
        <w:jc w:val="both"/>
      </w:pPr>
      <w:r>
        <w:rPr>
          <w:rFonts w:ascii="Times New Roman"/>
          <w:b w:val="false"/>
          <w:i w:val="false"/>
          <w:color w:val="000000"/>
          <w:sz w:val="28"/>
        </w:rPr>
        <w:t>
      После первоначальной оценки финансовые инвестиции, имеющиеся в наличии для продажи, оцениваются по справедливой стоимости, а нереализованные доходы или убытки по ним признаются в качестве прочего совокупного дохода в составе резерва по переоценке инвестиций, имеющихся в наличии для продажи, вплоть до момента прекращения признания инвестиции, при котором накопленные доходы или убытки переклассифицируются из резерва по переоценке инвестиций, имеющихся в наличии для продажи, в состав прочего операционного дохода, или признается обесценение, а накопленный убыток переклассифицируется из резерва по переоценке инвестиций, имеющихся в наличии для продажи, в состав убытка по обесценению в отдельном отчете о совокупном доходе.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Определение справедливой стоимости</w:t>
      </w:r>
    </w:p>
    <w:p>
      <w:pPr>
        <w:spacing w:after="0"/>
        <w:ind w:left="0"/>
        <w:jc w:val="both"/>
      </w:pPr>
      <w:r>
        <w:rPr>
          <w:rFonts w:ascii="Times New Roman"/>
          <w:b w:val="false"/>
          <w:i w:val="false"/>
          <w:color w:val="000000"/>
          <w:sz w:val="28"/>
        </w:rPr>
        <w:t>
      Справедливая стоимость финансовых инструментов, торговля которыми на отчетную дату осуществляется на активном рынке, определяется на основании рыночных котировок или котировок дилеров (котировки на покупку для длинных позиций и котировки на продажу для коротких позиций), без вычета затрат по сделке.</w:t>
      </w:r>
    </w:p>
    <w:p>
      <w:pPr>
        <w:spacing w:after="0"/>
        <w:ind w:left="0"/>
        <w:jc w:val="both"/>
      </w:pPr>
      <w:r>
        <w:rPr>
          <w:rFonts w:ascii="Times New Roman"/>
          <w:b w:val="false"/>
          <w:i w:val="false"/>
          <w:color w:val="000000"/>
          <w:sz w:val="28"/>
        </w:rPr>
        <w:t>
      Справедливая стоимость прочих финансовых инструментов, торговля которыми не осуществляется на активном рынке, определяется с использованием применимых методик оценки. Методики оценки включают модель на основе чистой приведенной стоимости, сравнение с аналогичными инструментами, на которые существуют цены на наблюдаемом рынке, модели оценки опционов и другие модели оценки.</w:t>
      </w:r>
    </w:p>
    <w:bookmarkStart w:name="z31" w:id="32"/>
    <w:p>
      <w:pPr>
        <w:spacing w:after="0"/>
        <w:ind w:left="0"/>
        <w:jc w:val="both"/>
      </w:pPr>
      <w:r>
        <w:rPr>
          <w:rFonts w:ascii="Times New Roman"/>
          <w:b w:val="false"/>
          <w:i w:val="false"/>
          <w:color w:val="000000"/>
          <w:sz w:val="28"/>
        </w:rPr>
        <w:t xml:space="preserve">
      </w:t>
      </w:r>
      <w:r>
        <w:rPr>
          <w:rFonts w:ascii="Times New Roman"/>
          <w:b/>
          <w:i w:val="false"/>
          <w:color w:val="000000"/>
          <w:sz w:val="28"/>
        </w:rPr>
        <w:t>Прекращение признания</w:t>
      </w:r>
    </w:p>
    <w:bookmarkEnd w:id="32"/>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активы</w:t>
      </w:r>
    </w:p>
    <w:p>
      <w:pPr>
        <w:spacing w:after="0"/>
        <w:ind w:left="0"/>
        <w:jc w:val="both"/>
      </w:pPr>
      <w:r>
        <w:rPr>
          <w:rFonts w:ascii="Times New Roman"/>
          <w:b w:val="false"/>
          <w:i w:val="false"/>
          <w:color w:val="000000"/>
          <w:sz w:val="28"/>
        </w:rPr>
        <w:t>
      Финансовый актив (или, где применимо – часть финансового актива или часть группы аналогичных финансовых активов) прекращает признаваться в отдельном бухгалтерском балансе, если:</w:t>
      </w:r>
    </w:p>
    <w:p>
      <w:pPr>
        <w:spacing w:after="0"/>
        <w:ind w:left="0"/>
        <w:jc w:val="both"/>
      </w:pPr>
      <w:r>
        <w:rPr>
          <w:rFonts w:ascii="Times New Roman"/>
          <w:b w:val="false"/>
          <w:i w:val="false"/>
          <w:color w:val="000000"/>
          <w:sz w:val="28"/>
        </w:rPr>
        <w:t>
      - срок действия прав на получение денежных потоков от актива истек;</w:t>
      </w:r>
    </w:p>
    <w:p>
      <w:pPr>
        <w:spacing w:after="0"/>
        <w:ind w:left="0"/>
        <w:jc w:val="both"/>
      </w:pPr>
      <w:r>
        <w:rPr>
          <w:rFonts w:ascii="Times New Roman"/>
          <w:b w:val="false"/>
          <w:i w:val="false"/>
          <w:color w:val="000000"/>
          <w:sz w:val="28"/>
        </w:rPr>
        <w:t>
      - Фонд передал свои права на получение денежных потоков от актива либо взял на себя обязательство по выплате третьей стороне получаемых денежных потоков в полном объеме и без существенной задержки по "транзитному" соглашению; и либо (a) Фонд передал практически все риски и выгоды от актива, либо (б) Фонд не передал, но и не сохраняет за собой практически все риски и выгоды от актива, но передал контроль над данным активом.</w:t>
      </w:r>
    </w:p>
    <w:p>
      <w:pPr>
        <w:spacing w:after="0"/>
        <w:ind w:left="0"/>
        <w:jc w:val="both"/>
      </w:pPr>
      <w:r>
        <w:rPr>
          <w:rFonts w:ascii="Times New Roman"/>
          <w:b w:val="false"/>
          <w:i w:val="false"/>
          <w:color w:val="000000"/>
          <w:sz w:val="28"/>
        </w:rPr>
        <w:t>
      Если Фонд передал все свои права на получение денежных потоков от актива, либо заключил транзитное соглашение и при этом не передал, но и не сохранил за собой практически все риски и выгоды от актива, а также не передал контроль над активом, новый актив признается в той степени, в которой Фонд продолжает свое участие в переданном активе.</w:t>
      </w:r>
    </w:p>
    <w:p>
      <w:pPr>
        <w:spacing w:after="0"/>
        <w:ind w:left="0"/>
        <w:jc w:val="both"/>
      </w:pPr>
      <w:r>
        <w:rPr>
          <w:rFonts w:ascii="Times New Roman"/>
          <w:b w:val="false"/>
          <w:i w:val="false"/>
          <w:color w:val="000000"/>
          <w:sz w:val="28"/>
        </w:rPr>
        <w:t>
      В этом случае Фонд также признает соответствующее обязательство. Переданный актив и соответствующее обязательство оцениваются на основе, которая отражает права и обязательства, сохраненные Фондом.</w:t>
      </w:r>
    </w:p>
    <w:p>
      <w:pPr>
        <w:spacing w:after="0"/>
        <w:ind w:left="0"/>
        <w:jc w:val="both"/>
      </w:pPr>
      <w:r>
        <w:rPr>
          <w:rFonts w:ascii="Times New Roman"/>
          <w:b w:val="false"/>
          <w:i w:val="false"/>
          <w:color w:val="000000"/>
          <w:sz w:val="28"/>
        </w:rPr>
        <w:t>
      Продолжающееся участие, которое принимает форму гарантии по переданному активу, признается по наименьшей из следующих величин: первоначальной балансовой стоимости актива или максимальной суммы, выплата которой может быть потребована от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обязательства</w:t>
      </w:r>
    </w:p>
    <w:p>
      <w:pPr>
        <w:spacing w:after="0"/>
        <w:ind w:left="0"/>
        <w:jc w:val="both"/>
      </w:pPr>
      <w:r>
        <w:rPr>
          <w:rFonts w:ascii="Times New Roman"/>
          <w:b w:val="false"/>
          <w:i w:val="false"/>
          <w:color w:val="000000"/>
          <w:sz w:val="28"/>
        </w:rPr>
        <w:t>
      Финансовое обязательство прекращает признаваться в случае, если обязательство погашено, аннулировано или срок его действия истек.</w:t>
      </w:r>
    </w:p>
    <w:bookmarkStart w:name="z32" w:id="33"/>
    <w:p>
      <w:pPr>
        <w:spacing w:after="0"/>
        <w:ind w:left="0"/>
        <w:jc w:val="both"/>
      </w:pPr>
      <w:r>
        <w:rPr>
          <w:rFonts w:ascii="Times New Roman"/>
          <w:b w:val="false"/>
          <w:i w:val="false"/>
          <w:color w:val="000000"/>
          <w:sz w:val="28"/>
        </w:rPr>
        <w:t xml:space="preserve">
      </w:t>
      </w:r>
      <w:r>
        <w:rPr>
          <w:rFonts w:ascii="Times New Roman"/>
          <w:b/>
          <w:i w:val="false"/>
          <w:color w:val="000000"/>
          <w:sz w:val="28"/>
        </w:rPr>
        <w:t>Обесценение финансовых активов</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Средства в кредитных учреждениях, займы клиентам и банковские депозиты</w:t>
      </w:r>
    </w:p>
    <w:p>
      <w:pPr>
        <w:spacing w:after="0"/>
        <w:ind w:left="0"/>
        <w:jc w:val="both"/>
      </w:pPr>
      <w:r>
        <w:rPr>
          <w:rFonts w:ascii="Times New Roman"/>
          <w:b w:val="false"/>
          <w:i w:val="false"/>
          <w:color w:val="000000"/>
          <w:sz w:val="28"/>
        </w:rPr>
        <w:t xml:space="preserve">
      В отношении средств в кредитных учреждениях, займов выданных и банковских депозитов, учет которых производится по амортизированной стоимости, Фонд первоначально оценивает на индивидуальной основе наличие объективных признаков обесценения для отдельно значимых финансовых активов, и на индивидуальной основе или в совокупности для финансовых активов, которые не являются отдельно значимыми. Если Фонд определяет, что по финансовому активу, оцененному на индивидуальной основе, не существует объективных признаков обесценения, независимо от того, является ли он значимым, Фонд включает этот актив в группу финансовых активов с аналогичными характеристиками кредитного риска и оценивает их на предмет обесценения на совокупной основе. Активы, которые оцениваются на предмет обесценения на индивидуальной основе, в отношении которых признаются убытки от обесценения, не должны оцениваться на предмет обесценения на совокупной основе. </w:t>
      </w:r>
    </w:p>
    <w:p>
      <w:pPr>
        <w:spacing w:after="0"/>
        <w:ind w:left="0"/>
        <w:jc w:val="both"/>
      </w:pPr>
      <w:r>
        <w:rPr>
          <w:rFonts w:ascii="Times New Roman"/>
          <w:b w:val="false"/>
          <w:i w:val="false"/>
          <w:color w:val="000000"/>
          <w:sz w:val="28"/>
        </w:rPr>
        <w:t xml:space="preserve">
      В случае наличия объективных свидетельств возникновения убытков от обесценения, сумма убытка представляет собой разницу между балансовой стоимостью актива и приведенной стоимостью оцененных будущих потоков денежных средств (которая не учитывает будущие ожидаемые убытки по займам выданным, которые еще не были понесены). </w:t>
      </w:r>
    </w:p>
    <w:p>
      <w:pPr>
        <w:spacing w:after="0"/>
        <w:ind w:left="0"/>
        <w:jc w:val="both"/>
      </w:pPr>
      <w:r>
        <w:rPr>
          <w:rFonts w:ascii="Times New Roman"/>
          <w:b w:val="false"/>
          <w:i w:val="false"/>
          <w:color w:val="000000"/>
          <w:sz w:val="28"/>
        </w:rPr>
        <w:t>
      Стоимость расчетных будущих денежных потоков дисконтируется по первоначальной эффективной процентной ставке по финансовому активу. Если процентная ставка по финансовому активу является переменной, ставка дисконтирования для оценки убытка от обесценения представляет собой текущую эффективную ставку процента.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Средства в кредитных учреждениях, займы клиентам и банковские депозиты (продолжение)</w:t>
      </w:r>
    </w:p>
    <w:p>
      <w:pPr>
        <w:spacing w:after="0"/>
        <w:ind w:left="0"/>
        <w:jc w:val="both"/>
      </w:pPr>
      <w:r>
        <w:rPr>
          <w:rFonts w:ascii="Times New Roman"/>
          <w:b w:val="false"/>
          <w:i w:val="false"/>
          <w:color w:val="000000"/>
          <w:sz w:val="28"/>
        </w:rPr>
        <w:t>
      Балансовая стоимость актива снижается за счет использования счета резерва, и сумма убытка признается в отдельном отчете о совокупном доходе. Процентные доходы продолжают начисляться по сниженной балансовой стоимости, на основании первоначальной эффективной процентной ставки по активу. Процентный доход отражается как часть доходов в отдельной строке отдельного отчета о совокупном доходе. Займы выданные и соответствующий резерв списываются в том случае, когда не имеется реальных перспектив возмещения, и все обеспечение было реализовано или передано Фонду. Если в следующем году сумма оцененных убытков от обесценения увеличивается или уменьшается в связи с событием, произошедшим после того, когда были признаны убытки от обесценения, ранее признанная сумма убытков от обесценения увеличивается или уменьшается посредством корректировки счета резерва. Если списанные ранее суммы позднее восстанавливаются, то сумма восстановления отражается в прибылях и убытках в отдельном отчете о совокупном доходе.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Инвестиции, имеющиеся в наличии для продажи</w:t>
      </w:r>
    </w:p>
    <w:p>
      <w:pPr>
        <w:spacing w:after="0"/>
        <w:ind w:left="0"/>
        <w:jc w:val="both"/>
      </w:pPr>
      <w:r>
        <w:rPr>
          <w:rFonts w:ascii="Times New Roman"/>
          <w:b w:val="false"/>
          <w:i w:val="false"/>
          <w:color w:val="000000"/>
          <w:sz w:val="28"/>
        </w:rPr>
        <w:t xml:space="preserve">
      При наличии объективных свидетельств того, что первоначальная стоимость может не быть возмещена, долевая ценная бумага, имеющаяся в наличии для продажи, считается обесцененной. Объективные свидетельства того, что первоначальная стоимость может не быть возмещена, в дополнение к качественным критериям обесценения, включают значительное или продолжительное снижение справедливой стоимости ниже величины первоначальной стоимости. </w:t>
      </w:r>
    </w:p>
    <w:p>
      <w:pPr>
        <w:spacing w:after="0"/>
        <w:ind w:left="0"/>
        <w:jc w:val="both"/>
      </w:pPr>
      <w:r>
        <w:rPr>
          <w:rFonts w:ascii="Times New Roman"/>
          <w:b w:val="false"/>
          <w:i w:val="false"/>
          <w:color w:val="000000"/>
          <w:sz w:val="28"/>
        </w:rPr>
        <w:t>
      Если долевая ценная бумага, имеющаяся в наличии для продажи, обесценивается согласно качественным или количественным критериям обесценения, установленным Фондом, последующее снижение справедливой стоимости на последующие отчетные даты признается как обесценение. Таким образом, в каждом отчетном периоде в отношении долевой ценной бумаги, которая была определена как подвергнувшаяся обесценению согласно критериям обесценения Фонда, обесценение признается в размере разницы между справедливой стоимостью и первоначальной стоимостью за вычетом ранее признанного обесценения.</w:t>
      </w:r>
    </w:p>
    <w:bookmarkStart w:name="z33" w:id="34"/>
    <w:p>
      <w:pPr>
        <w:spacing w:after="0"/>
        <w:ind w:left="0"/>
        <w:jc w:val="both"/>
      </w:pPr>
      <w:r>
        <w:rPr>
          <w:rFonts w:ascii="Times New Roman"/>
          <w:b w:val="false"/>
          <w:i w:val="false"/>
          <w:color w:val="000000"/>
          <w:sz w:val="28"/>
        </w:rPr>
        <w:t xml:space="preserve">
      </w:t>
      </w:r>
      <w:r>
        <w:rPr>
          <w:rFonts w:ascii="Times New Roman"/>
          <w:b/>
          <w:i w:val="false"/>
          <w:color w:val="000000"/>
          <w:sz w:val="28"/>
        </w:rPr>
        <w:t>Долгосрочные активы, классифицируемые как удерживаемые для передачи Акционеру</w:t>
      </w:r>
    </w:p>
    <w:bookmarkEnd w:id="34"/>
    <w:p>
      <w:pPr>
        <w:spacing w:after="0"/>
        <w:ind w:left="0"/>
        <w:jc w:val="both"/>
      </w:pPr>
      <w:r>
        <w:rPr>
          <w:rFonts w:ascii="Times New Roman"/>
          <w:b w:val="false"/>
          <w:i w:val="false"/>
          <w:color w:val="000000"/>
          <w:sz w:val="28"/>
        </w:rPr>
        <w:t>
      Активы классифицируются как долгосрочные активы, удерживаемые для передачи Акционеру, если они соответствуют следующим критериям:</w:t>
      </w:r>
    </w:p>
    <w:p>
      <w:pPr>
        <w:spacing w:after="0"/>
        <w:ind w:left="0"/>
        <w:jc w:val="both"/>
      </w:pPr>
      <w:r>
        <w:rPr>
          <w:rFonts w:ascii="Times New Roman"/>
          <w:b w:val="false"/>
          <w:i w:val="false"/>
          <w:color w:val="000000"/>
          <w:sz w:val="28"/>
        </w:rPr>
        <w:t>
      - Имеются в наличии для немедленной передачи в их текущем состоянии;</w:t>
      </w:r>
    </w:p>
    <w:p>
      <w:pPr>
        <w:spacing w:after="0"/>
        <w:ind w:left="0"/>
        <w:jc w:val="both"/>
      </w:pPr>
      <w:r>
        <w:rPr>
          <w:rFonts w:ascii="Times New Roman"/>
          <w:b w:val="false"/>
          <w:i w:val="false"/>
          <w:color w:val="000000"/>
          <w:sz w:val="28"/>
        </w:rPr>
        <w:t>
      - Существует твердое намерение осуществить планируемую передачу;</w:t>
      </w:r>
    </w:p>
    <w:p>
      <w:pPr>
        <w:spacing w:after="0"/>
        <w:ind w:left="0"/>
        <w:jc w:val="both"/>
      </w:pPr>
      <w:r>
        <w:rPr>
          <w:rFonts w:ascii="Times New Roman"/>
          <w:b w:val="false"/>
          <w:i w:val="false"/>
          <w:color w:val="000000"/>
          <w:sz w:val="28"/>
        </w:rPr>
        <w:t>
      - Предпринимаются активные действия для завершения плана;</w:t>
      </w:r>
    </w:p>
    <w:p>
      <w:pPr>
        <w:spacing w:after="0"/>
        <w:ind w:left="0"/>
        <w:jc w:val="both"/>
      </w:pPr>
      <w:r>
        <w:rPr>
          <w:rFonts w:ascii="Times New Roman"/>
          <w:b w:val="false"/>
          <w:i w:val="false"/>
          <w:color w:val="000000"/>
          <w:sz w:val="28"/>
        </w:rPr>
        <w:t>
      - Существует высокая вероятность осуществления передачи, и ожидается, что передача будет завершена в течение 1 (одного) года с момента классификации.</w:t>
      </w:r>
    </w:p>
    <w:p>
      <w:pPr>
        <w:spacing w:after="0"/>
        <w:ind w:left="0"/>
        <w:jc w:val="both"/>
      </w:pPr>
      <w:r>
        <w:rPr>
          <w:rFonts w:ascii="Times New Roman"/>
          <w:b w:val="false"/>
          <w:i w:val="false"/>
          <w:color w:val="000000"/>
          <w:sz w:val="28"/>
        </w:rPr>
        <w:t>
      Долгосрочные активы, классифицируемые как удерживаемые для передачи Акционеру, представлены отдельно в отдельной финансовой отчетности в категории текущих активов в отдельном бухгалтерском балансе.</w:t>
      </w:r>
    </w:p>
    <w:p>
      <w:pPr>
        <w:spacing w:after="0"/>
        <w:ind w:left="0"/>
        <w:jc w:val="both"/>
      </w:pPr>
      <w:r>
        <w:rPr>
          <w:rFonts w:ascii="Times New Roman"/>
          <w:b w:val="false"/>
          <w:i w:val="false"/>
          <w:color w:val="000000"/>
          <w:sz w:val="28"/>
        </w:rPr>
        <w:t>
      Долгосрочные активы (и группы выбытия), классифицируемые как удерживаемые для передачи Акционеру, учитываются по наименьшей из балансовой стоимости активов и справедливой стоимости, за вычетом затрат на передачу.</w:t>
      </w:r>
    </w:p>
    <w:p>
      <w:pPr>
        <w:spacing w:after="0"/>
        <w:ind w:left="0"/>
        <w:jc w:val="both"/>
      </w:pPr>
      <w:r>
        <w:rPr>
          <w:rFonts w:ascii="Times New Roman"/>
          <w:b w:val="false"/>
          <w:i w:val="false"/>
          <w:color w:val="000000"/>
          <w:sz w:val="28"/>
        </w:rPr>
        <w:t>
      Долгосрочный актив, который перестает классифицироваться как удерживаемый для передачи Акционеру, оценивается по наименьшему значению из:</w:t>
      </w:r>
    </w:p>
    <w:p>
      <w:pPr>
        <w:spacing w:after="0"/>
        <w:ind w:left="0"/>
        <w:jc w:val="both"/>
      </w:pPr>
      <w:r>
        <w:rPr>
          <w:rFonts w:ascii="Times New Roman"/>
          <w:b w:val="false"/>
          <w:i w:val="false"/>
          <w:color w:val="000000"/>
          <w:sz w:val="28"/>
        </w:rPr>
        <w:t>
      - его балансовой стоимости до того, как актив (или группа выбытия) был классифицирован как предназначенный для передачи Акционеру, с корректировкой на любую амортизацию или переоценку, которая была бы признана, если бы данный актив (или группа выбытия) не был классифицирован как предназначенный для передачи Акционеру, и</w:t>
      </w:r>
    </w:p>
    <w:p>
      <w:pPr>
        <w:spacing w:after="0"/>
        <w:ind w:left="0"/>
        <w:jc w:val="both"/>
      </w:pPr>
      <w:r>
        <w:rPr>
          <w:rFonts w:ascii="Times New Roman"/>
          <w:b w:val="false"/>
          <w:i w:val="false"/>
          <w:color w:val="000000"/>
          <w:sz w:val="28"/>
        </w:rPr>
        <w:t>
      - его возмещаемой суммы на дату последующего решения об отказе от передачи.</w:t>
      </w:r>
    </w:p>
    <w:bookmarkStart w:name="z34" w:id="35"/>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 на добавленную стоимость (НДС)</w:t>
      </w:r>
    </w:p>
    <w:bookmarkEnd w:id="35"/>
    <w:p>
      <w:pPr>
        <w:spacing w:after="0"/>
        <w:ind w:left="0"/>
        <w:jc w:val="both"/>
      </w:pPr>
      <w:r>
        <w:rPr>
          <w:rFonts w:ascii="Times New Roman"/>
          <w:b w:val="false"/>
          <w:i w:val="false"/>
          <w:color w:val="000000"/>
          <w:sz w:val="28"/>
        </w:rPr>
        <w:t>
      Налоговые органы позволяют производить погашение НДС по продажам и приобретениям на нетто основе, НДС к возмещению представляет собой НДС по приобретениям на внутреннем рынке, за вычетом НДС по продажам на внутреннем рынке. Продажи на экспорт облагаются по нулевой ставке.</w:t>
      </w:r>
    </w:p>
    <w:bookmarkStart w:name="z35" w:id="36"/>
    <w:p>
      <w:pPr>
        <w:spacing w:after="0"/>
        <w:ind w:left="0"/>
        <w:jc w:val="both"/>
      </w:pPr>
      <w:r>
        <w:rPr>
          <w:rFonts w:ascii="Times New Roman"/>
          <w:b w:val="false"/>
          <w:i w:val="false"/>
          <w:color w:val="000000"/>
          <w:sz w:val="28"/>
        </w:rPr>
        <w:t xml:space="preserve">
      </w:t>
      </w:r>
      <w:r>
        <w:rPr>
          <w:rFonts w:ascii="Times New Roman"/>
          <w:b/>
          <w:i w:val="false"/>
          <w:color w:val="000000"/>
          <w:sz w:val="28"/>
        </w:rPr>
        <w:t>Денежные средства и их эквиваленты</w:t>
      </w:r>
    </w:p>
    <w:bookmarkEnd w:id="36"/>
    <w:p>
      <w:pPr>
        <w:spacing w:after="0"/>
        <w:ind w:left="0"/>
        <w:jc w:val="both"/>
      </w:pPr>
      <w:r>
        <w:rPr>
          <w:rFonts w:ascii="Times New Roman"/>
          <w:b w:val="false"/>
          <w:i w:val="false"/>
          <w:color w:val="000000"/>
          <w:sz w:val="28"/>
        </w:rPr>
        <w:t>
      Денежные средства и их эквиваленты включают в себя наличность в кассе, средства, находящиеся на вкладах до востребования, прочие краткосрочные высоколиквидные инвестиции с первоначальным сроком погашения не более 3 (трех) месяцев.</w:t>
      </w:r>
    </w:p>
    <w:bookmarkStart w:name="z36" w:id="37"/>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Финансовые обязательства</w:t>
      </w:r>
    </w:p>
    <w:bookmarkEnd w:id="37"/>
    <w:p>
      <w:pPr>
        <w:spacing w:after="0"/>
        <w:ind w:left="0"/>
        <w:jc w:val="both"/>
      </w:pPr>
      <w:r>
        <w:rPr>
          <w:rFonts w:ascii="Times New Roman"/>
          <w:b w:val="false"/>
          <w:i w:val="false"/>
          <w:color w:val="000000"/>
          <w:sz w:val="28"/>
        </w:rPr>
        <w:t xml:space="preserve">
      </w:t>
      </w:r>
      <w:r>
        <w:rPr>
          <w:rFonts w:ascii="Times New Roman"/>
          <w:b w:val="false"/>
          <w:i/>
          <w:color w:val="000000"/>
          <w:sz w:val="28"/>
        </w:rPr>
        <w:t>Первоначальное признание и оценка</w:t>
      </w:r>
    </w:p>
    <w:p>
      <w:pPr>
        <w:spacing w:after="0"/>
        <w:ind w:left="0"/>
        <w:jc w:val="both"/>
      </w:pPr>
      <w:r>
        <w:rPr>
          <w:rFonts w:ascii="Times New Roman"/>
          <w:b w:val="false"/>
          <w:i w:val="false"/>
          <w:color w:val="000000"/>
          <w:sz w:val="28"/>
        </w:rPr>
        <w:t xml:space="preserve">
      Финансовые обязательства, находящиеся в сфере действия МСФО 39, классифицируются соответственно как финансовые обязательства, переоцениваемые по справедливой стоимости через прибыль или убыток и кредиты и заимствования. Фонд классифицирует свои финансовые обязательства при их первоначальном признании. </w:t>
      </w:r>
    </w:p>
    <w:p>
      <w:pPr>
        <w:spacing w:after="0"/>
        <w:ind w:left="0"/>
        <w:jc w:val="both"/>
      </w:pPr>
      <w:r>
        <w:rPr>
          <w:rFonts w:ascii="Times New Roman"/>
          <w:b w:val="false"/>
          <w:i w:val="false"/>
          <w:color w:val="000000"/>
          <w:sz w:val="28"/>
        </w:rPr>
        <w:t>
      Финансовые обязательства первоначально признаются по справедливой стоимости, увеличенной в случае займов и кредитов на непосредственно связанные с ними затраты по сделке. Финансовые обязательства Фонда включают торговую и прочую кредиторскую задолженность, займы, средства Правительства, договоры финансовой гарантии и прочие обязательства.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Последующая оценка</w:t>
      </w:r>
    </w:p>
    <w:p>
      <w:pPr>
        <w:spacing w:after="0"/>
        <w:ind w:left="0"/>
        <w:jc w:val="both"/>
      </w:pPr>
      <w:r>
        <w:rPr>
          <w:rFonts w:ascii="Times New Roman"/>
          <w:b w:val="false"/>
          <w:i w:val="false"/>
          <w:color w:val="000000"/>
          <w:sz w:val="28"/>
        </w:rPr>
        <w:t>
      Последующая оценка финансовых обязательств зависит от их классификации следующим образом: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Займы и средства Правительства</w:t>
      </w:r>
    </w:p>
    <w:p>
      <w:pPr>
        <w:spacing w:after="0"/>
        <w:ind w:left="0"/>
        <w:jc w:val="both"/>
      </w:pPr>
      <w:r>
        <w:rPr>
          <w:rFonts w:ascii="Times New Roman"/>
          <w:b w:val="false"/>
          <w:i w:val="false"/>
          <w:color w:val="000000"/>
          <w:sz w:val="28"/>
        </w:rPr>
        <w:t>
      После первоначального признания процентные кредиты и займы оцениваются по амортизированной стоимости с использованием метода эффективной процентной ставки. Доходы и расходы по таким финансовым обязательствам признаются в отдельном отчете о совокупном доходе при прекращении их признания, а также по мере начисления амортизации с использованием эффективной процентной ставки. Амортизированная стоимость рассчитывается с учетом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эффективной процентной ставки включается в состав процентных расходов в отдельном отчете о совокупном доходе.</w:t>
      </w:r>
    </w:p>
    <w:p>
      <w:pPr>
        <w:spacing w:after="0"/>
        <w:ind w:left="0"/>
        <w:jc w:val="both"/>
      </w:pPr>
      <w:r>
        <w:rPr>
          <w:rFonts w:ascii="Times New Roman"/>
          <w:b w:val="false"/>
          <w:i w:val="false"/>
          <w:color w:val="000000"/>
          <w:sz w:val="28"/>
        </w:rPr>
        <w:t>
      Выпущенные финансовые инструменты или их компоненты, классифицируются как обязательства, если в результате договорного соглашения Фонд имеет обязательство либо поставить денежные средства или иные финансовые активы, либо исполнить обязательство иным образом, чем посредством обмена фиксированной суммы денежных средств или других финансовых активов на фиксированное число собственных долевых инструментов. Такие инструменты включают средства Правительства и займы, полученные от кредитных учреждений, которые первоначально учитываются по справедливой стоимости полученных средств за вычетом затрат, непосредственно связанных со сделкой.</w:t>
      </w:r>
    </w:p>
    <w:p>
      <w:pPr>
        <w:spacing w:after="0"/>
        <w:ind w:left="0"/>
        <w:jc w:val="both"/>
      </w:pPr>
      <w:r>
        <w:rPr>
          <w:rFonts w:ascii="Times New Roman"/>
          <w:b w:val="false"/>
          <w:i w:val="false"/>
          <w:color w:val="000000"/>
          <w:sz w:val="28"/>
        </w:rPr>
        <w:t>
      Впоследствии, полученные средства отражаются по амортизированной стоимости, и соответствующая разница между чистой величиной полученных средств и стоимостью погашения признаются в отдельном отчете о совокупном доходе за период заимствования с использованием метода эффективной процентной ставки. Если Фонд приобретает свое собственное долговое обязательство, то оно исключается из отдельного бухгалтерского баланса, а разница между балансовой стоимостью обязательства и выплаченным возмещением по сделке включается в процентный доход.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Выпущенные долговые ценные бумаги</w:t>
      </w:r>
    </w:p>
    <w:p>
      <w:pPr>
        <w:spacing w:after="0"/>
        <w:ind w:left="0"/>
        <w:jc w:val="both"/>
      </w:pPr>
      <w:r>
        <w:rPr>
          <w:rFonts w:ascii="Times New Roman"/>
          <w:b w:val="false"/>
          <w:i w:val="false"/>
          <w:color w:val="000000"/>
          <w:sz w:val="28"/>
        </w:rPr>
        <w:t>
      Выпущенные долговые ценные бумаги представлены выпущенными в обращение облигациями Фонда, которые отражаются в учете в соответствии с теми же принципами, что и займы и средства Правительства.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Договоры финансовой гарантии</w:t>
      </w:r>
    </w:p>
    <w:p>
      <w:pPr>
        <w:spacing w:after="0"/>
        <w:ind w:left="0"/>
        <w:jc w:val="both"/>
      </w:pPr>
      <w:r>
        <w:rPr>
          <w:rFonts w:ascii="Times New Roman"/>
          <w:b w:val="false"/>
          <w:i w:val="false"/>
          <w:color w:val="000000"/>
          <w:sz w:val="28"/>
        </w:rPr>
        <w:t>
      Выпущенные Фондом договоры финансовой гарантии представляют собой договоры, требующие осуществления платежа в возмещение убытков, понесенных владельцем этого договора вследствие неспособности определенного должника осуществить своевременный платеж в соответствии с условиями долгового инструмента. Договоры финансовой гарантии первоначально признаются как обязательство по справедливой стоимости с учетом затрат по сделке, напрямую связанных с выпуском гарантии. Впоследствии, обязательство оценивается по наибольшей из следующих величин: наилучшая оценка затрат, необходимых для погашения существующего обязательства на отчетную дату, и признанная сумма обязательства за вычетом накопленной амортизации.</w:t>
      </w:r>
    </w:p>
    <w:bookmarkStart w:name="z37" w:id="38"/>
    <w:p>
      <w:pPr>
        <w:spacing w:after="0"/>
        <w:ind w:left="0"/>
        <w:jc w:val="both"/>
      </w:pPr>
      <w:r>
        <w:rPr>
          <w:rFonts w:ascii="Times New Roman"/>
          <w:b w:val="false"/>
          <w:i w:val="false"/>
          <w:color w:val="000000"/>
          <w:sz w:val="28"/>
        </w:rPr>
        <w:t xml:space="preserve">
      </w:t>
      </w:r>
      <w:r>
        <w:rPr>
          <w:rFonts w:ascii="Times New Roman"/>
          <w:b/>
          <w:i w:val="false"/>
          <w:color w:val="000000"/>
          <w:sz w:val="28"/>
        </w:rPr>
        <w:t>Опционы, возникающие при приобретении инвестиций</w:t>
      </w:r>
    </w:p>
    <w:bookmarkEnd w:id="38"/>
    <w:p>
      <w:pPr>
        <w:spacing w:after="0"/>
        <w:ind w:left="0"/>
        <w:jc w:val="both"/>
      </w:pPr>
      <w:r>
        <w:rPr>
          <w:rFonts w:ascii="Times New Roman"/>
          <w:b w:val="false"/>
          <w:i w:val="false"/>
          <w:color w:val="000000"/>
          <w:sz w:val="28"/>
        </w:rPr>
        <w:t xml:space="preserve">
      Если при приобретении инвестиций Фонд наделяет третью сторону опционом колл по приобретенной доле в предприятии, Фонд оценивает, дает ли участие в таком опционе третьей стороне доступ к выгодам и рискам, связанным с правом собственности на такую долю. </w:t>
      </w:r>
    </w:p>
    <w:p>
      <w:pPr>
        <w:spacing w:after="0"/>
        <w:ind w:left="0"/>
        <w:jc w:val="both"/>
      </w:pPr>
      <w:r>
        <w:rPr>
          <w:rFonts w:ascii="Times New Roman"/>
          <w:b w:val="false"/>
          <w:i w:val="false"/>
          <w:color w:val="000000"/>
          <w:sz w:val="28"/>
        </w:rPr>
        <w:t xml:space="preserve">
      В случае если опцион колл по приобретенной доле не дает доступа третьей стороне к выгодам и рискам долевого владения, данный опцион не учитывается при определении существенного влияния Фонда. </w:t>
      </w:r>
    </w:p>
    <w:p>
      <w:pPr>
        <w:spacing w:after="0"/>
        <w:ind w:left="0"/>
        <w:jc w:val="both"/>
      </w:pPr>
      <w:r>
        <w:rPr>
          <w:rFonts w:ascii="Times New Roman"/>
          <w:b w:val="false"/>
          <w:i w:val="false"/>
          <w:color w:val="000000"/>
          <w:sz w:val="28"/>
        </w:rPr>
        <w:t>
      Справедливая стоимость обязательства для Фонда по опциону признается как часть стоимости приобретенных инвестиций. Впоследствии, финансовое обязательство оценивается в соответствии с требованиями МСБУ 39. Изменения в справедливой стоимости финансового обязательства, а также любые доходы или расходы, связанные с реализацией данных опционов, учитываются в отдельном отчете о совокупном доходе.</w:t>
      </w:r>
    </w:p>
    <w:bookmarkStart w:name="z38" w:id="39"/>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Производные финансовые инструменты</w:t>
      </w:r>
    </w:p>
    <w:bookmarkEnd w:id="39"/>
    <w:p>
      <w:pPr>
        <w:spacing w:after="0"/>
        <w:ind w:left="0"/>
        <w:jc w:val="both"/>
      </w:pPr>
      <w:r>
        <w:rPr>
          <w:rFonts w:ascii="Times New Roman"/>
          <w:b w:val="false"/>
          <w:i w:val="false"/>
          <w:color w:val="000000"/>
          <w:sz w:val="28"/>
        </w:rPr>
        <w:t>
      Производные инструменты первоначально признаются по справедливой стоимости на дату заключения производного контракта и впоследствии переоцениваются до их справедливой стоимости на каждую отчетную дату. Суммарная прибыль или убыток признается в отдельном отчете о совокупном доходе, только если производный инструмент не признается и действителен как инструмент хеджирования, в этом случае срок признания в отдельном отчете о совокупном доходе зависит от характера отношений хеджирования.</w:t>
      </w:r>
    </w:p>
    <w:p>
      <w:pPr>
        <w:spacing w:after="0"/>
        <w:ind w:left="0"/>
        <w:jc w:val="both"/>
      </w:pPr>
      <w:r>
        <w:rPr>
          <w:rFonts w:ascii="Times New Roman"/>
          <w:b w:val="false"/>
          <w:i w:val="false"/>
          <w:color w:val="000000"/>
          <w:sz w:val="28"/>
        </w:rPr>
        <w:t>
      Производный инструмент с положительной справедливой стоимостью признается в качестве финансового актива, а производный инструмент с отрицательной справедливой стоимостью – в качестве финансового обязательства. Производный инструмент отражаются как долгосрочный актив или долгосрочное обязательство в случае, если оставшийся срок действия инструмента превышает 12 (двенадцать) месяцев и его продажа или погашение не предполагается в течение ближайших 12 (двенадцати) месяцев. Прочие производные инструменты включаются в краткосрочные активы или краткосрочные обязательства.</w:t>
      </w:r>
    </w:p>
    <w:bookmarkStart w:name="z39" w:id="40"/>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Признание дохода</w:t>
      </w:r>
    </w:p>
    <w:bookmarkEnd w:id="40"/>
    <w:p>
      <w:pPr>
        <w:spacing w:after="0"/>
        <w:ind w:left="0"/>
        <w:jc w:val="both"/>
      </w:pPr>
      <w:r>
        <w:rPr>
          <w:rFonts w:ascii="Times New Roman"/>
          <w:b w:val="false"/>
          <w:i w:val="false"/>
          <w:color w:val="000000"/>
          <w:sz w:val="28"/>
        </w:rPr>
        <w:t>
      Доходы признаются тогда, когда существует вероятность того, что Фонд будет получать экономические выгоды, связанные с операцией, и сумма дохода может быть достоверна определена.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Процентные и аналогичные доходы и расходы</w:t>
      </w:r>
    </w:p>
    <w:p>
      <w:pPr>
        <w:spacing w:after="0"/>
        <w:ind w:left="0"/>
        <w:jc w:val="both"/>
      </w:pPr>
      <w:r>
        <w:rPr>
          <w:rFonts w:ascii="Times New Roman"/>
          <w:b w:val="false"/>
          <w:i w:val="false"/>
          <w:color w:val="000000"/>
          <w:sz w:val="28"/>
        </w:rPr>
        <w:t>
      Процентные доходы по всем финансовым инструментам, за исключением процентного дохода от размещения временно свободных денежных средств, представляют собой доходы от основной деятельности Фонда и раскрываются в составе процентных доходов. Процентные доходы от размещения временно свободных денежных средств раскрываются в составе финансовых доходов.</w:t>
      </w:r>
    </w:p>
    <w:p>
      <w:pPr>
        <w:spacing w:after="0"/>
        <w:ind w:left="0"/>
        <w:jc w:val="both"/>
      </w:pPr>
      <w:r>
        <w:rPr>
          <w:rFonts w:ascii="Times New Roman"/>
          <w:b w:val="false"/>
          <w:i w:val="false"/>
          <w:color w:val="000000"/>
          <w:sz w:val="28"/>
        </w:rPr>
        <w:t>
      По всем финансовым инструментам, оцениваемым по амортизированной стоимости, и процентным финансовым инструментам, классифицированным в качестве инвестиций, имеющихся в наличии для продажи, процентные доходы или расходы отражаются по эффективной процентной ставке, при дисконтировании по которой ожидаемые будущие денежные платежи или поступления на протяжении предполагаемого срока использования финансового инструмента или в течение более короткого периода времени, где это применимо, в точности приводятся к чистой балансовой стоимости финансового актива или финансового обязательства. При расчете учитываются все договорные условия по финансовому инструменту (например, право на досрочное погашение) и комиссионные или дополнительные расходы, непосредственно связанные с инструментом, которые являются неотъемлемой частью эффективной процентной ставки, но не учитываются будущие убытки по кредитам.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Процентные и аналогичные доходы и расходы (продолжение)</w:t>
      </w:r>
    </w:p>
    <w:p>
      <w:pPr>
        <w:spacing w:after="0"/>
        <w:ind w:left="0"/>
        <w:jc w:val="both"/>
      </w:pPr>
      <w:r>
        <w:rPr>
          <w:rFonts w:ascii="Times New Roman"/>
          <w:b w:val="false"/>
          <w:i w:val="false"/>
          <w:color w:val="000000"/>
          <w:sz w:val="28"/>
        </w:rPr>
        <w:t>
      Балансовая стоимость финансового актива или финансового обязательства корректируется в случае пересмотра Фондом оценок платежей или поступлений. Скорректированная балансовая стоимость рассчитывается на основании первоначальной эффективной процентной ставки, а изменение балансовой стоимости отражается как процентные доходы или расходы.</w:t>
      </w:r>
    </w:p>
    <w:p>
      <w:pPr>
        <w:spacing w:after="0"/>
        <w:ind w:left="0"/>
        <w:jc w:val="both"/>
      </w:pPr>
      <w:r>
        <w:rPr>
          <w:rFonts w:ascii="Times New Roman"/>
          <w:b w:val="false"/>
          <w:i w:val="false"/>
          <w:color w:val="000000"/>
          <w:sz w:val="28"/>
        </w:rPr>
        <w:t>
      В случае снижения отраженной в отдельной финансовой отчетности стоимости финансового актива или группы аналогичных финансовых активов вследствие обесценения, процентные доходы продолжают признаваться по первоначальной эффективной процентной ставке на основе новой балансовой стоимости.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w:t>
      </w:r>
    </w:p>
    <w:p>
      <w:pPr>
        <w:spacing w:after="0"/>
        <w:ind w:left="0"/>
        <w:jc w:val="both"/>
      </w:pPr>
      <w:r>
        <w:rPr>
          <w:rFonts w:ascii="Times New Roman"/>
          <w:b w:val="false"/>
          <w:i w:val="false"/>
          <w:color w:val="000000"/>
          <w:sz w:val="28"/>
        </w:rPr>
        <w:t>
      Доход по дивидендам признается, когда установлено право Фонда на получение платежа.</w:t>
      </w:r>
    </w:p>
    <w:bookmarkStart w:name="z40" w:id="41"/>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Признание расходов</w:t>
      </w:r>
    </w:p>
    <w:bookmarkEnd w:id="41"/>
    <w:p>
      <w:pPr>
        <w:spacing w:after="0"/>
        <w:ind w:left="0"/>
        <w:jc w:val="both"/>
      </w:pPr>
      <w:r>
        <w:rPr>
          <w:rFonts w:ascii="Times New Roman"/>
          <w:b w:val="false"/>
          <w:i w:val="false"/>
          <w:color w:val="000000"/>
          <w:sz w:val="28"/>
        </w:rPr>
        <w:t>
      Расходы учитываются в момент возникновения и отражаются в отдельной финансовой отчетности в периоде, к которому они относятся, на основе метода начисления.</w:t>
      </w:r>
    </w:p>
    <w:bookmarkStart w:name="z41" w:id="42"/>
    <w:p>
      <w:pPr>
        <w:spacing w:after="0"/>
        <w:ind w:left="0"/>
        <w:jc w:val="both"/>
      </w:pPr>
      <w:r>
        <w:rPr>
          <w:rFonts w:ascii="Times New Roman"/>
          <w:b w:val="false"/>
          <w:i w:val="false"/>
          <w:color w:val="000000"/>
          <w:sz w:val="28"/>
        </w:rPr>
        <w:t xml:space="preserve">
      </w:t>
      </w:r>
      <w:r>
        <w:rPr>
          <w:rFonts w:ascii="Times New Roman"/>
          <w:b/>
          <w:i w:val="false"/>
          <w:color w:val="000000"/>
          <w:sz w:val="28"/>
        </w:rPr>
        <w:t>Подоходный налог</w:t>
      </w:r>
    </w:p>
    <w:bookmarkEnd w:id="42"/>
    <w:p>
      <w:pPr>
        <w:spacing w:after="0"/>
        <w:ind w:left="0"/>
        <w:jc w:val="both"/>
      </w:pPr>
      <w:r>
        <w:rPr>
          <w:rFonts w:ascii="Times New Roman"/>
          <w:b w:val="false"/>
          <w:i w:val="false"/>
          <w:color w:val="000000"/>
          <w:sz w:val="28"/>
        </w:rPr>
        <w:t>
      Подоходный налог за год включает текущий и отсроченный налог. Подоходный налог отражается в отдельном отчете о совокупном доходе, за исключением тех ситуаций, когда он относится к статьям, непосредственно отнесенным на собственный капитал, и в этом случае он признается в капитале.</w:t>
      </w:r>
    </w:p>
    <w:p>
      <w:pPr>
        <w:spacing w:after="0"/>
        <w:ind w:left="0"/>
        <w:jc w:val="both"/>
      </w:pPr>
      <w:r>
        <w:rPr>
          <w:rFonts w:ascii="Times New Roman"/>
          <w:b w:val="false"/>
          <w:i w:val="false"/>
          <w:color w:val="000000"/>
          <w:sz w:val="28"/>
        </w:rPr>
        <w:t>
      Текущие расходы по подоходному налогу представляют собой ожидаемые налоги к уплате по налогооблагаемой прибыли за год и любые корректировки в отношении налога к уплате в отношении предыдущих лет.</w:t>
      </w:r>
    </w:p>
    <w:p>
      <w:pPr>
        <w:spacing w:after="0"/>
        <w:ind w:left="0"/>
        <w:jc w:val="both"/>
      </w:pPr>
      <w:r>
        <w:rPr>
          <w:rFonts w:ascii="Times New Roman"/>
          <w:b w:val="false"/>
          <w:i w:val="false"/>
          <w:color w:val="000000"/>
          <w:sz w:val="28"/>
        </w:rPr>
        <w:t>
      Активы и обязательства по отсроченному налогу рассчитываются в отношении всех временных разниц с использованием балансового метода. Отсроченные налоги определяются по всем временным разницам между налоговой базой активов и обязательств и их балансовой стоимостью в финансовой отчетности, за исключением возникновения отсроченного подоходного налога в результате первоначального признания гудвила, актива или обязательства по сделке, которая не является объединением компаний и которая, в момент ее совершения, не оказывает влияния на бухгалтерский доход или на налогооблагаемую прибыль и убыток.</w:t>
      </w:r>
    </w:p>
    <w:p>
      <w:pPr>
        <w:spacing w:after="0"/>
        <w:ind w:left="0"/>
        <w:jc w:val="both"/>
      </w:pPr>
      <w:r>
        <w:rPr>
          <w:rFonts w:ascii="Times New Roman"/>
          <w:b w:val="false"/>
          <w:i w:val="false"/>
          <w:color w:val="000000"/>
          <w:sz w:val="28"/>
        </w:rPr>
        <w:t>
      Актив по отсроченному налогу признается только в той степени, в какой существует значительная вероятность получения налогооблагаемой прибыли, который может быть уменьшен на сумму вычитаемых временных разниц. Активы и обязательства по отсроченному налогу рассчитываются по налоговым ставкам, применение которых ожидается в период реализации актива или погашения обязательства, на основе действующих или объявленных (и практически принятых) на отчетную дату налоговых ставок.</w:t>
      </w:r>
    </w:p>
    <w:bookmarkStart w:name="z42" w:id="43"/>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w:t>
      </w:r>
    </w:p>
    <w:bookmarkEnd w:id="43"/>
    <w:p>
      <w:pPr>
        <w:spacing w:after="0"/>
        <w:ind w:left="0"/>
        <w:jc w:val="both"/>
      </w:pPr>
      <w:r>
        <w:rPr>
          <w:rFonts w:ascii="Times New Roman"/>
          <w:b w:val="false"/>
          <w:i w:val="false"/>
          <w:color w:val="000000"/>
          <w:sz w:val="28"/>
        </w:rPr>
        <w:t xml:space="preserve">
      </w:t>
      </w:r>
      <w:r>
        <w:rPr>
          <w:rFonts w:ascii="Times New Roman"/>
          <w:b w:val="false"/>
          <w:i/>
          <w:color w:val="000000"/>
          <w:sz w:val="28"/>
        </w:rPr>
        <w:t>Уставный капитал</w:t>
      </w:r>
    </w:p>
    <w:p>
      <w:pPr>
        <w:spacing w:after="0"/>
        <w:ind w:left="0"/>
        <w:jc w:val="both"/>
      </w:pPr>
      <w:r>
        <w:rPr>
          <w:rFonts w:ascii="Times New Roman"/>
          <w:b w:val="false"/>
          <w:i w:val="false"/>
          <w:color w:val="000000"/>
          <w:sz w:val="28"/>
        </w:rPr>
        <w:t>
      Простые акции классифицируются как капитал. Затраты на оплату услуг третьим сторонам, непосредственно связанные с выпуском новых акций, за исключением случаев объединения предприятий, отражаются в составе капитала как уменьшение суммы, полученной в результате данной эмиссии. Сумма превышения справедливой стоимости полученных средств над номинальной стоимостью выпущенных акций относится на нераспределенную прибыль.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w:t>
      </w:r>
    </w:p>
    <w:p>
      <w:pPr>
        <w:spacing w:after="0"/>
        <w:ind w:left="0"/>
        <w:jc w:val="both"/>
      </w:pPr>
      <w:r>
        <w:rPr>
          <w:rFonts w:ascii="Times New Roman"/>
          <w:b w:val="false"/>
          <w:i w:val="false"/>
          <w:color w:val="000000"/>
          <w:sz w:val="28"/>
        </w:rPr>
        <w:t>
      Дивиденды признаются как обязательства и вычитаются из суммы капитала на отчетную дату только в том случае, если они были объявлены до отчетной даты включительно. Информация о дивидендах раскрывается в отдельной финансовой отчетности, если они были рекомендованы до отчетной даты, а также рекомендованы или объявлены после отчетной даты, но до даты утверждения отдельной финансовой отчетности к выпуску.</w:t>
      </w:r>
    </w:p>
    <w:bookmarkStart w:name="z43" w:id="44"/>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Условные обязательства и условные активы</w:t>
      </w:r>
    </w:p>
    <w:bookmarkEnd w:id="44"/>
    <w:p>
      <w:pPr>
        <w:spacing w:after="0"/>
        <w:ind w:left="0"/>
        <w:jc w:val="both"/>
      </w:pPr>
      <w:r>
        <w:rPr>
          <w:rFonts w:ascii="Times New Roman"/>
          <w:b w:val="false"/>
          <w:i w:val="false"/>
          <w:color w:val="000000"/>
          <w:sz w:val="28"/>
        </w:rPr>
        <w:t>
      Условные обязательства не учитываются в отдельной финансовой отчетности. Они раскрываются, если только возможность оттока ресурсов и экономических выгод не является маловероятной.</w:t>
      </w:r>
    </w:p>
    <w:p>
      <w:pPr>
        <w:spacing w:after="0"/>
        <w:ind w:left="0"/>
        <w:jc w:val="both"/>
      </w:pPr>
      <w:r>
        <w:rPr>
          <w:rFonts w:ascii="Times New Roman"/>
          <w:b w:val="false"/>
          <w:i w:val="false"/>
          <w:color w:val="000000"/>
          <w:sz w:val="28"/>
        </w:rPr>
        <w:t>
      Условные активы не учитываются в отдельной финансовой отчетности. Они раскрываются тогда, когда поступление экономических выгод является вероятным.</w:t>
      </w:r>
    </w:p>
    <w:bookmarkStart w:name="z44" w:id="45"/>
    <w:p>
      <w:pPr>
        <w:spacing w:after="0"/>
        <w:ind w:left="0"/>
        <w:jc w:val="both"/>
      </w:pPr>
      <w:r>
        <w:rPr>
          <w:rFonts w:ascii="Times New Roman"/>
          <w:b w:val="false"/>
          <w:i w:val="false"/>
          <w:color w:val="000000"/>
          <w:sz w:val="28"/>
        </w:rPr>
        <w:t xml:space="preserve">
      </w:t>
      </w:r>
      <w:r>
        <w:rPr>
          <w:rFonts w:ascii="Times New Roman"/>
          <w:b/>
          <w:i w:val="false"/>
          <w:color w:val="000000"/>
          <w:sz w:val="28"/>
        </w:rPr>
        <w:t>Взаимозачет</w:t>
      </w:r>
    </w:p>
    <w:bookmarkEnd w:id="45"/>
    <w:p>
      <w:pPr>
        <w:spacing w:after="0"/>
        <w:ind w:left="0"/>
        <w:jc w:val="both"/>
      </w:pPr>
      <w:r>
        <w:rPr>
          <w:rFonts w:ascii="Times New Roman"/>
          <w:b w:val="false"/>
          <w:i w:val="false"/>
          <w:color w:val="000000"/>
          <w:sz w:val="28"/>
        </w:rPr>
        <w:t>
      Активы и обязательства взаимоисключаются, и сумма нетто показывается в отдельном бухгалтерском балансе тогда, когда существует юридически защищенное право зачесть учтенные суммы и имеется намерение урегулирования на нетто-основе или одновременной реализации актива и погашения обязательства.</w:t>
      </w:r>
    </w:p>
    <w:bookmarkStart w:name="z45" w:id="46"/>
    <w:p>
      <w:pPr>
        <w:spacing w:after="0"/>
        <w:ind w:left="0"/>
        <w:jc w:val="both"/>
      </w:pPr>
      <w:r>
        <w:rPr>
          <w:rFonts w:ascii="Times New Roman"/>
          <w:b w:val="false"/>
          <w:i w:val="false"/>
          <w:color w:val="000000"/>
          <w:sz w:val="28"/>
        </w:rPr>
        <w:t xml:space="preserve">
      </w:t>
      </w:r>
      <w:r>
        <w:rPr>
          <w:rFonts w:ascii="Times New Roman"/>
          <w:b/>
          <w:i w:val="false"/>
          <w:color w:val="000000"/>
          <w:sz w:val="28"/>
        </w:rPr>
        <w:t>Последующие события</w:t>
      </w:r>
    </w:p>
    <w:bookmarkEnd w:id="46"/>
    <w:p>
      <w:pPr>
        <w:spacing w:after="0"/>
        <w:ind w:left="0"/>
        <w:jc w:val="both"/>
      </w:pPr>
      <w:r>
        <w:rPr>
          <w:rFonts w:ascii="Times New Roman"/>
          <w:b w:val="false"/>
          <w:i w:val="false"/>
          <w:color w:val="000000"/>
          <w:sz w:val="28"/>
        </w:rPr>
        <w:t>
      События, произошедшие после окончания отчетного периода, которые предоставляют дополнительную информацию об отдельном финансовом положении Фонда на отчетную дату (корректирующие события), отражаются в отдельной финансовой отчетности. События, произошедшие после окончания отчетного периода, которые не являются корректирующими событиями, раскрываются в примечаниях при их существенности.</w:t>
      </w:r>
    </w:p>
    <w:bookmarkStart w:name="z46" w:id="47"/>
    <w:p>
      <w:pPr>
        <w:spacing w:after="0"/>
        <w:ind w:left="0"/>
        <w:jc w:val="both"/>
      </w:pPr>
      <w:r>
        <w:rPr>
          <w:rFonts w:ascii="Times New Roman"/>
          <w:b w:val="false"/>
          <w:i w:val="false"/>
          <w:color w:val="000000"/>
          <w:sz w:val="28"/>
        </w:rPr>
        <w:t xml:space="preserve">
      </w:t>
      </w:r>
      <w:r>
        <w:rPr>
          <w:rFonts w:ascii="Times New Roman"/>
          <w:b/>
          <w:i w:val="false"/>
          <w:color w:val="000000"/>
          <w:sz w:val="28"/>
        </w:rPr>
        <w:t>4. СУЩЕСТВЕННЫЕ БУХГАЛТЕРСКИЕ СУЖДЕНИЯ, ОЦЕНКИ И ДОПУЩЕНИЯ</w:t>
      </w:r>
    </w:p>
    <w:bookmarkEnd w:id="47"/>
    <w:p>
      <w:pPr>
        <w:spacing w:after="0"/>
        <w:ind w:left="0"/>
        <w:jc w:val="both"/>
      </w:pPr>
      <w:r>
        <w:rPr>
          <w:rFonts w:ascii="Times New Roman"/>
          <w:b w:val="false"/>
          <w:i w:val="false"/>
          <w:color w:val="000000"/>
          <w:sz w:val="28"/>
        </w:rPr>
        <w:t>
      Подготовка отдельной финансовой отчетности Фонда требует от его руководства вынесения суждений, определения оценочных значений и допущений, которые влияют на указываемые в отдельной финансовой отчетности суммы доходов, расходов, активов и обязательств, а также на раскрытие информации об условных обязательствах и активах на отчетную дату. Однако неопределенность в отношении этих допущений и оценочных значений может привести к результатам, которые могут потребовать существенных корректировок к балансовой стоимости актива или обязательства, в отношении которых делаются подобные допущения и оценки, в будущем.</w:t>
      </w:r>
    </w:p>
    <w:p>
      <w:pPr>
        <w:spacing w:after="0"/>
        <w:ind w:left="0"/>
        <w:jc w:val="both"/>
      </w:pPr>
      <w:r>
        <w:rPr>
          <w:rFonts w:ascii="Times New Roman"/>
          <w:b w:val="false"/>
          <w:i w:val="false"/>
          <w:color w:val="000000"/>
          <w:sz w:val="28"/>
        </w:rPr>
        <w:t>
      Основные допущения о будущем и прочие основные источники неопределенности в оценках на отчетную дату, которые могут послужить причиной существенных корректировок балансовой стоимости активов и обязательств в течение следующего финансового года, рассматриваются ниже: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Справедливая стоимость финансовых инструментов</w:t>
      </w:r>
    </w:p>
    <w:p>
      <w:pPr>
        <w:spacing w:after="0"/>
        <w:ind w:left="0"/>
        <w:jc w:val="both"/>
      </w:pPr>
      <w:r>
        <w:rPr>
          <w:rFonts w:ascii="Times New Roman"/>
          <w:b w:val="false"/>
          <w:i w:val="false"/>
          <w:color w:val="000000"/>
          <w:sz w:val="28"/>
        </w:rPr>
        <w:t>
      В случаях, когда справедливая стоимость финансовых инструментов и финансовых обязательств, признанных в отдельном бухгалтерском балансе, не может быть определена на основании данных активных рынков, она определяется с использованием методов оценки, включая модель дисконтированных денежных потоков. В качестве исходных данных для этих моделей по возможности используется информация с наблюдаемых рынков, однако в тех случаях, когда это не представляется практически осуществимым, требуется определенная доля суждения для установления справедливой стоимости. Суждения включают учет таких исходных данных, как риск ликвидности, кредитный риск и волатильность. Изменения в допущениях относительно данных факторов могут оказать влияние на справедливую стоимость финансовых инструментов, отраженную в отдельной финансовой отчетности.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Резерв на обесценение займов выданных, средств в кредитных учреждениях и депозитов</w:t>
      </w:r>
    </w:p>
    <w:p>
      <w:pPr>
        <w:spacing w:after="0"/>
        <w:ind w:left="0"/>
        <w:jc w:val="both"/>
      </w:pPr>
      <w:r>
        <w:rPr>
          <w:rFonts w:ascii="Times New Roman"/>
          <w:b w:val="false"/>
          <w:i w:val="false"/>
          <w:color w:val="000000"/>
          <w:sz w:val="28"/>
        </w:rPr>
        <w:t>
      На каждую отчетную дату Фонд проводит анализ своих существенных займов выданных, средств в кредитных учреждениях и депозитов, на предмет необходимости отражения убытка от обесценения в прибылях и убытках. В частности, суждения руководства требуются в оценке суммы и сроков будущих денежных потоков при определении убытка от обесценения. При оценке таких денежных потоков, Фонд выносит суждения о финансовом положении заемщика и чистой стоимости реализации обеспечения, если таковое имеется. Эти оценки основаны на допущениях по ряду факторов, и фактические результаты могут быть иными, что приведет к будущим изменениям в резерве.</w:t>
      </w:r>
    </w:p>
    <w:p>
      <w:pPr>
        <w:spacing w:after="0"/>
        <w:ind w:left="0"/>
        <w:jc w:val="both"/>
      </w:pPr>
      <w:r>
        <w:rPr>
          <w:rFonts w:ascii="Times New Roman"/>
          <w:b w:val="false"/>
          <w:i w:val="false"/>
          <w:color w:val="000000"/>
          <w:sz w:val="28"/>
        </w:rPr>
        <w:t>
      В связи с ухудшением финансового положения, относительной ограниченностью в ликвидных средствах и отрицательным финансовым результатом БТА в течение 2011 года, Фонд признал убыток от обесценения средств в кредитных учреждениях и банковских депозитов в размере 36.999 миллионов тенге и 245.068 миллионов тенге, соответственно, размещенных в данном банке по состоянию на 31 декабря 2011 года. В 2012 году Фонд полностью сторнировал накопленное обесценение по данным активам (Примечания 8 и 10) в связи с осуществлением второй реструктуризации обязательств БТА (Примечание 1) и улучшением его финансового состояния.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Налогообложение</w:t>
      </w:r>
    </w:p>
    <w:p>
      <w:pPr>
        <w:spacing w:after="0"/>
        <w:ind w:left="0"/>
        <w:jc w:val="both"/>
      </w:pPr>
      <w:r>
        <w:rPr>
          <w:rFonts w:ascii="Times New Roman"/>
          <w:b w:val="false"/>
          <w:i w:val="false"/>
          <w:color w:val="000000"/>
          <w:sz w:val="28"/>
        </w:rPr>
        <w:t xml:space="preserve">
      При оценке налоговых рисков, руководство рассматривает в качестве возможных обязательств известные сферы несоблюдения налогового законодательства, которые Фонд не может оспорить или не считает, что он сможет успешно обжаловать, если дополнительные налоги будут начислены налоговыми органами. Такое определение требует вынесения существенных суждений и может изменяться в результате изменений в налоговом законодательстве и нормативно-правовых актах, поправок в условия налогообложения, определения предполагаемых результатов по ожидающим своего решения налоговым разбирательствам и текущего результата осуществляемой налоговыми органами проверки на соответствие. Неопределенности, относящиеся к налогообложению, раскрыты в </w:t>
      </w:r>
      <w:r>
        <w:rPr>
          <w:rFonts w:ascii="Times New Roman"/>
          <w:b w:val="false"/>
          <w:i/>
          <w:color w:val="000000"/>
          <w:sz w:val="28"/>
        </w:rPr>
        <w:t>Примечании 24.</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Активы по отсроченному налогу</w:t>
      </w:r>
    </w:p>
    <w:p>
      <w:pPr>
        <w:spacing w:after="0"/>
        <w:ind w:left="0"/>
        <w:jc w:val="both"/>
      </w:pPr>
      <w:r>
        <w:rPr>
          <w:rFonts w:ascii="Times New Roman"/>
          <w:b w:val="false"/>
          <w:i w:val="false"/>
          <w:color w:val="000000"/>
          <w:sz w:val="28"/>
        </w:rPr>
        <w:t>
      Активы по отсроченному налогу были признаны по всем резервам и прочим обязательствам в той степени, в которой существует вероятность того, что будут обоснованы налогооблагаемые временные разницы и коммерческий характер таких расходов, а также успешное применение стратегии налогового планирования. Сумма непризнанных активов по отсроченному налогу на 31 декабря 2013 года составила 6.651 миллион тенге (2012: 5.561 миллион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Обесценение инвестиций в дочерние организации</w:t>
      </w:r>
    </w:p>
    <w:p>
      <w:pPr>
        <w:spacing w:after="0"/>
        <w:ind w:left="0"/>
        <w:jc w:val="both"/>
      </w:pPr>
      <w:r>
        <w:rPr>
          <w:rFonts w:ascii="Times New Roman"/>
          <w:b w:val="false"/>
          <w:i w:val="false"/>
          <w:color w:val="000000"/>
          <w:sz w:val="28"/>
        </w:rPr>
        <w:t>
      Обесценение имеет место, если балансовая стоимость инвестиции в дочернюю организацию превышает ее возмещаемую стоимость, которая является наибольшей из следующих величин: справедливая стоимость за вычетом затрат на продажу и ценность от использования. В 2013 году Фонд признал обесценение инвестиций в дочерние организации на общую сумму 71.717 миллионов тенге (2012: 154.287 миллиона тенге) (</w:t>
      </w:r>
      <w:r>
        <w:rPr>
          <w:rFonts w:ascii="Times New Roman"/>
          <w:b w:val="false"/>
          <w:i/>
          <w:color w:val="000000"/>
          <w:sz w:val="28"/>
        </w:rPr>
        <w:t>Примечание 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Обесценение активов, классифицированных как предназначенные для продажи</w:t>
      </w:r>
    </w:p>
    <w:p>
      <w:pPr>
        <w:spacing w:after="0"/>
        <w:ind w:left="0"/>
        <w:jc w:val="both"/>
      </w:pPr>
      <w:r>
        <w:rPr>
          <w:rFonts w:ascii="Times New Roman"/>
          <w:b w:val="false"/>
          <w:i w:val="false"/>
          <w:color w:val="000000"/>
          <w:sz w:val="28"/>
        </w:rPr>
        <w:t>
      Внеоборотный актив, классифицированный как предназначенный для продажи, должен оцениваться по наименьшей из следующих величин: балансовой стоимости или справедливой стоимости за вычетом затрат на продажу. Справедливая стоимость определяется как сумма, на которую актив может быть обменен или обязательство погашено в рамках коммерческой сделки, проведенной осведомленными, желающими провести такую сделку сторонами. Затраты на продажу определяются как дополнительные затраты, непосредственно связанные с выбытием актива, за исключением затрат на финансирование и налога на прибыль.</w:t>
      </w:r>
    </w:p>
    <w:p>
      <w:pPr>
        <w:spacing w:after="0"/>
        <w:ind w:left="0"/>
        <w:jc w:val="both"/>
      </w:pPr>
      <w:r>
        <w:rPr>
          <w:rFonts w:ascii="Times New Roman"/>
          <w:b w:val="false"/>
          <w:i w:val="false"/>
          <w:color w:val="000000"/>
          <w:sz w:val="28"/>
        </w:rPr>
        <w:t>
      В 2013 году Фонд признал убыток от обесценения активов, классифицированных как предназначенные для продажи, в размере 147.421 миллион тенге (2012: ноль) (</w:t>
      </w:r>
      <w:r>
        <w:rPr>
          <w:rFonts w:ascii="Times New Roman"/>
          <w:b w:val="false"/>
          <w:i/>
          <w:color w:val="000000"/>
          <w:sz w:val="28"/>
        </w:rPr>
        <w:t>Примечание 5</w:t>
      </w:r>
      <w:r>
        <w:rPr>
          <w:rFonts w:ascii="Times New Roman"/>
          <w:b w:val="false"/>
          <w:i w:val="false"/>
          <w:color w:val="000000"/>
          <w:sz w:val="28"/>
        </w:rPr>
        <w:t>).</w:t>
      </w:r>
    </w:p>
    <w:bookmarkStart w:name="z47" w:id="48"/>
    <w:p>
      <w:pPr>
        <w:spacing w:after="0"/>
        <w:ind w:left="0"/>
        <w:jc w:val="both"/>
      </w:pPr>
      <w:r>
        <w:rPr>
          <w:rFonts w:ascii="Times New Roman"/>
          <w:b w:val="false"/>
          <w:i w:val="false"/>
          <w:color w:val="000000"/>
          <w:sz w:val="28"/>
        </w:rPr>
        <w:t xml:space="preserve">
      </w:t>
      </w:r>
      <w:r>
        <w:rPr>
          <w:rFonts w:ascii="Times New Roman"/>
          <w:b/>
          <w:i w:val="false"/>
          <w:color w:val="000000"/>
          <w:sz w:val="28"/>
        </w:rPr>
        <w:t>5. ИНВЕСТИЦИИ В ДОЧЕРНИЕ ОРГАНИЗАЦИИ</w:t>
      </w:r>
    </w:p>
    <w:bookmarkEnd w:id="48"/>
    <w:p>
      <w:pPr>
        <w:spacing w:after="0"/>
        <w:ind w:left="0"/>
        <w:jc w:val="both"/>
      </w:pPr>
      <w:r>
        <w:rPr>
          <w:rFonts w:ascii="Times New Roman"/>
          <w:b w:val="false"/>
          <w:i w:val="false"/>
          <w:color w:val="000000"/>
          <w:sz w:val="28"/>
        </w:rPr>
        <w:t>
      В следующей таблице представлены инвестиции в дочерние организации Фонда, их деятельность, страна регистрации или местонахождения, а также доля Фонда в этих дочерних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6"/>
        <w:gridCol w:w="871"/>
        <w:gridCol w:w="235"/>
        <w:gridCol w:w="1593"/>
        <w:gridCol w:w="1835"/>
        <w:gridCol w:w="1505"/>
        <w:gridCol w:w="150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деятельности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"Казақстан ТемірЖолы"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и пассажирские железнодорожные перевозки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1.078.596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835.476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"КазМунайГаз"</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Нефтегазовая промышленность</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947.531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928.806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"Самрук–Энерго"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транспортировка тепла и электроэнергии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263.651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254.652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"НГK "Тау-Кен Самрук"</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горнорудной отрасли РК</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Атомная Компания "Казатомпром"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урана</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"Альянс Банк"</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"Казахстанская компания по управлению электрическими сетями"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электроэнергии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фиксированной связи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"Объединенная химическая компания"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химической отрасли РК</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недвижимости "Самрук-Казына"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рынка недвижимости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"Казпочта"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деятельность и финансовые услуги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"Казахстан Инжиниринг"</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 и оборонная отрасль</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"Эйр Астана"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авиаперевозки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Актобе"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аэропорта</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"Самрук–Казына Инвест"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услуги по инвестиционным проектам</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"Аэропорт Павлодар"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аэропорта</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"Самрук-Казына Контракт"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проектами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Атырау"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аэропорта</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"КазНИИ энергетики имени академика Ш.Ч. Чокина"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деятельность</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"КОРЭМ"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рынка электроэнергии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"Карагандагипрошахт и К"</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IM</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операции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Management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операции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SLP</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операции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1.320.026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Развития Казахстана"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инвестиционная деятельность</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312.614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"Kazyna Capital Management"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инвестиционных фондов</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развития предпринимательства "Даму"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малого предпринимательства</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"Инвестиционный Фонд Казахстана"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реализации стратегии индустриально-инновационного развития</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"Темiрбанк"</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"Экспортно-кредитная страховая корпорация "КазЭкспортГарант"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страхования</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геологоразведки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"Восточно-Казахстанская региональная энергетическая компания"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электроэнергии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"СК-Фармация"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лекарственных средств в рамках гарантированной медицинской помощи населению</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(1.252.864)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2.993.877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Изменения в инвестициях в дочерние организации</w:t>
      </w:r>
    </w:p>
    <w:p>
      <w:pPr>
        <w:spacing w:after="0"/>
        <w:ind w:left="0"/>
        <w:jc w:val="both"/>
      </w:pPr>
      <w:r>
        <w:rPr>
          <w:rFonts w:ascii="Times New Roman"/>
          <w:b w:val="false"/>
          <w:i w:val="false"/>
          <w:color w:val="000000"/>
          <w:sz w:val="28"/>
        </w:rPr>
        <w:t>
      1 февраля 2013 года Фонд осуществил приобретение 29,8221% доли участия в уставном капитале ТОО "Казцинк" путем приобретения 100% долей участия в уставных капиталах ТОО "Logic Business", ТОО "Logic Invest Capital" и ТОО "Инвестиционный дом "Дана", владеющих по 9,9407 % долей участия в ТОО "Казцинк", на общую сумму 248.838 миллионов тенге (стоимость каждой компании составила 82.946 миллионов тенге). Приобретение было произведено за счет средств, полученных от реализации облигаций Фонда (Примечание 15). В августе 2013 года Фонд произвел передачу долей участия в данных компаниях в уставный капитал АО "НГК "Тау-Кен Самрук".</w:t>
      </w:r>
    </w:p>
    <w:p>
      <w:pPr>
        <w:spacing w:after="0"/>
        <w:ind w:left="0"/>
        <w:jc w:val="both"/>
      </w:pPr>
      <w:r>
        <w:rPr>
          <w:rFonts w:ascii="Times New Roman"/>
          <w:b w:val="false"/>
          <w:i w:val="false"/>
          <w:color w:val="000000"/>
          <w:sz w:val="28"/>
        </w:rPr>
        <w:t>
      14 марта 2013 года Фонд осуществил передачу 100% акций в АО "Восточно-Казахстанская региональная энергетическая компания" с балансовой стоимостью 7.723 миллиона тенге в уставный капитал АО "Самрук-Энерго".</w:t>
      </w:r>
    </w:p>
    <w:p>
      <w:pPr>
        <w:spacing w:after="0"/>
        <w:ind w:left="0"/>
        <w:jc w:val="both"/>
      </w:pPr>
      <w:r>
        <w:rPr>
          <w:rFonts w:ascii="Times New Roman"/>
          <w:b w:val="false"/>
          <w:i w:val="false"/>
          <w:color w:val="000000"/>
          <w:sz w:val="28"/>
        </w:rPr>
        <w:t>
      12 декабря 2013 года Фонд осуществил передачу 100% акций в АО "Национальная Компания "Актауский международный морской торговый порт" с балансовой стоимостью 26.234 миллиона тенге в уставный капитал АО "Национальная Компания "КазақстанТемірЖолы" (</w:t>
      </w:r>
      <w:r>
        <w:rPr>
          <w:rFonts w:ascii="Times New Roman"/>
          <w:b w:val="false"/>
          <w:i/>
          <w:color w:val="000000"/>
          <w:sz w:val="28"/>
        </w:rPr>
        <w:t>Примечание 13</w:t>
      </w:r>
      <w:r>
        <w:rPr>
          <w:rFonts w:ascii="Times New Roman"/>
          <w:b w:val="false"/>
          <w:i w:val="false"/>
          <w:color w:val="000000"/>
          <w:sz w:val="28"/>
        </w:rPr>
        <w:t>).</w:t>
      </w:r>
    </w:p>
    <w:p>
      <w:pPr>
        <w:spacing w:after="0"/>
        <w:ind w:left="0"/>
        <w:jc w:val="both"/>
      </w:pPr>
      <w:r>
        <w:rPr>
          <w:rFonts w:ascii="Times New Roman"/>
          <w:b w:val="false"/>
          <w:i w:val="false"/>
          <w:color w:val="000000"/>
          <w:sz w:val="28"/>
        </w:rPr>
        <w:t>
      В 2013 году Фонд осуществил следующие вклады в уставный капитал:</w:t>
      </w:r>
    </w:p>
    <w:p>
      <w:pPr>
        <w:spacing w:after="0"/>
        <w:ind w:left="0"/>
        <w:jc w:val="both"/>
      </w:pPr>
      <w:r>
        <w:rPr>
          <w:rFonts w:ascii="Times New Roman"/>
          <w:b w:val="false"/>
          <w:i w:val="false"/>
          <w:color w:val="000000"/>
          <w:sz w:val="28"/>
        </w:rPr>
        <w:t>
      - АО "Национальная Компания "КазақстанТемірЖолы" в размере 30.311 миллионов тенге. Вклады были осуществлены в денежной форме за счет средств, полученных из Республиканского бюджета, в размере 30.000 миллионов тенге, и в форме имущественного вклада в размере 311 миллионов тенге, соответственно (</w:t>
      </w:r>
      <w:r>
        <w:rPr>
          <w:rFonts w:ascii="Times New Roman"/>
          <w:b w:val="false"/>
          <w:i/>
          <w:color w:val="000000"/>
          <w:sz w:val="28"/>
        </w:rPr>
        <w:t>Примечание 13</w:t>
      </w:r>
      <w:r>
        <w:rPr>
          <w:rFonts w:ascii="Times New Roman"/>
          <w:b w:val="false"/>
          <w:i w:val="false"/>
          <w:color w:val="000000"/>
          <w:sz w:val="28"/>
        </w:rPr>
        <w:t>);</w:t>
      </w:r>
    </w:p>
    <w:p>
      <w:pPr>
        <w:spacing w:after="0"/>
        <w:ind w:left="0"/>
        <w:jc w:val="both"/>
      </w:pPr>
      <w:r>
        <w:rPr>
          <w:rFonts w:ascii="Times New Roman"/>
          <w:b w:val="false"/>
          <w:i w:val="false"/>
          <w:color w:val="000000"/>
          <w:sz w:val="28"/>
        </w:rPr>
        <w:t>
      - АО "Национальная Компания "КазМунайГаз" (далее "НК КМГ") в размере 18.725 миллионов тенге, в том числе в форме денежного вклада в размере 8.917 миллионов тенге за счет средств, полученных из Республиканского бюджета, и в форме имущественного вклада в размере 9.808 миллионов тенге (</w:t>
      </w:r>
      <w:r>
        <w:rPr>
          <w:rFonts w:ascii="Times New Roman"/>
          <w:b w:val="false"/>
          <w:i/>
          <w:color w:val="000000"/>
          <w:sz w:val="28"/>
        </w:rPr>
        <w:t>Примечание 13</w:t>
      </w:r>
      <w:r>
        <w:rPr>
          <w:rFonts w:ascii="Times New Roman"/>
          <w:b w:val="false"/>
          <w:i w:val="false"/>
          <w:color w:val="000000"/>
          <w:sz w:val="28"/>
        </w:rPr>
        <w:t>);</w:t>
      </w:r>
    </w:p>
    <w:p>
      <w:pPr>
        <w:spacing w:after="0"/>
        <w:ind w:left="0"/>
        <w:jc w:val="both"/>
      </w:pPr>
      <w:r>
        <w:rPr>
          <w:rFonts w:ascii="Times New Roman"/>
          <w:b w:val="false"/>
          <w:i w:val="false"/>
          <w:color w:val="000000"/>
          <w:sz w:val="28"/>
        </w:rPr>
        <w:t>
      - ТОО "Объединенная химическая компания" в размере 21.937 миллионов тенге. Вклады были осуществлены в денежной форме, в том числе в размере 17.062 миллиона тенге за счет средств, предусмотренных Планом Стабилизации Правительства в соответствии с Протоколами заседания Государственной комиссии по управлению Национальным фондом №17-5/И-380 от 5 апреля 2012 года, № 17-5/И-788 от 7 октября 2013 года. Денежные средства в размере 4.875 миллионов тенге для вклада в уставный капитал были выделены за счет собственных средств Фонда;</w:t>
      </w:r>
    </w:p>
    <w:p>
      <w:pPr>
        <w:spacing w:after="0"/>
        <w:ind w:left="0"/>
        <w:jc w:val="both"/>
      </w:pPr>
      <w:r>
        <w:rPr>
          <w:rFonts w:ascii="Times New Roman"/>
          <w:b w:val="false"/>
          <w:i w:val="false"/>
          <w:color w:val="000000"/>
          <w:sz w:val="28"/>
        </w:rPr>
        <w:t>
      - АО "Национальная горнорудная компания "Тау-Кен Самрук", ТОО "Самрук-Казына Инвест", АО "Казпочта", ТОО "Самрук-Казына Контракт", и АО "Казахстанская компания по управлению электрическими сетями" на общую сумму 15.331 миллион тенге. Все вклады были осуществлены в денежной форме.</w:t>
      </w:r>
    </w:p>
    <w:p>
      <w:pPr>
        <w:spacing w:after="0"/>
        <w:ind w:left="0"/>
        <w:jc w:val="both"/>
      </w:pPr>
      <w:r>
        <w:rPr>
          <w:rFonts w:ascii="Times New Roman"/>
          <w:b w:val="false"/>
          <w:i w:val="false"/>
          <w:color w:val="000000"/>
          <w:sz w:val="28"/>
        </w:rPr>
        <w:t>
      В 2013 году Фонд предоставил АО "Национальная Компания "Қазақстан Темір Жолы" займы со ставками вознаграждения ниже рыночных (Примечание 7), дисконт по которым в размере 186.575 миллионов тенге, рассчитанный как разница между справедливой стоимостью данных займов и их номинальной стоимостью, был признан как увеличение инвестиций в дочернюю организацию.</w:t>
      </w:r>
    </w:p>
    <w:p>
      <w:pPr>
        <w:spacing w:after="0"/>
        <w:ind w:left="0"/>
        <w:jc w:val="both"/>
      </w:pPr>
      <w:r>
        <w:rPr>
          <w:rFonts w:ascii="Times New Roman"/>
          <w:b w:val="false"/>
          <w:i w:val="false"/>
          <w:color w:val="000000"/>
          <w:sz w:val="28"/>
        </w:rPr>
        <w:t>
      В 2013 году Фонд признал финансовые гарантии в пользу кредиторов АО "Самрук-Энерго" и АО "Банк Развития Казахстана". Справедливая стоимость финансовых гарантий составила 1.212 миллионов тенге и 808 миллионов тенге, соответственно, и была признана в обязательствах и увеличила инвестиции в эти дочерние организации.</w:t>
      </w:r>
    </w:p>
    <w:p>
      <w:pPr>
        <w:spacing w:after="0"/>
        <w:ind w:left="0"/>
        <w:jc w:val="both"/>
      </w:pPr>
      <w:r>
        <w:rPr>
          <w:rFonts w:ascii="Times New Roman"/>
          <w:b w:val="false"/>
          <w:i w:val="false"/>
          <w:color w:val="000000"/>
          <w:sz w:val="28"/>
        </w:rPr>
        <w:t xml:space="preserve">
      В соответствии с протоколом совещания с участием Президента Республики Казахстан от 23 января 2013 года № 017.1 "Об итогах социально-экономического развития Республики Казахстан за 2012 год и задачах по реализации </w:t>
      </w:r>
      <w:r>
        <w:rPr>
          <w:rFonts w:ascii="Times New Roman"/>
          <w:b w:val="false"/>
          <w:i w:val="false"/>
          <w:color w:val="000000"/>
          <w:sz w:val="28"/>
        </w:rPr>
        <w:t>Стратегии</w:t>
      </w:r>
      <w:r>
        <w:rPr>
          <w:rFonts w:ascii="Times New Roman"/>
          <w:b w:val="false"/>
          <w:i w:val="false"/>
          <w:color w:val="000000"/>
          <w:sz w:val="28"/>
        </w:rPr>
        <w:t xml:space="preserve"> "Казахстан-2050" Правительству Республики Казахстан было поручено осуществить передачу институтов развития и финансовых организаций (АО "Банк Развития Казахстана", АО "Kazyna Capital Management", АО "Экспортно-кредитная страховая корпорация "КазЭкспортГарант", АО "Фонд развития предпринимательства "Даму", АО "Инвестиционный Фонд Казахстана") АО "Национальный управляющий холдинг "Байтерек", владельцем 100% акций которого является Правительство, и передачу ТОО "СК-Фармация" в Министерство здравоохранения Республики Казахстан.</w:t>
      </w:r>
    </w:p>
    <w:p>
      <w:pPr>
        <w:spacing w:after="0"/>
        <w:ind w:left="0"/>
        <w:jc w:val="both"/>
      </w:pPr>
      <w:r>
        <w:rPr>
          <w:rFonts w:ascii="Times New Roman"/>
          <w:b w:val="false"/>
          <w:i w:val="false"/>
          <w:color w:val="000000"/>
          <w:sz w:val="28"/>
        </w:rPr>
        <w:t xml:space="preserve">
      В апреле 2013 года Фонд в соответствии с договорами доверительного управления с правом полного контроля передал пакеты акций этих дочерних организаций следующим государственным учреждениям: Министерству регионального развития Республики Казахстан – АО "Фонд развития предпринимательства "Даму", Министерству индустрии и новых технологий Республики Казахстан – АО "Банк Развития Казахстана", АО "Kazyna Capital Management", АО "Экспортно-кредитная страховая корпорация "КазЭкспортГарант", АО "Инвестиционный Фонд Казахстана", Министерству здравоохранения Республики Казахстан – </w:t>
      </w:r>
    </w:p>
    <w:p>
      <w:pPr>
        <w:spacing w:after="0"/>
        <w:ind w:left="0"/>
        <w:jc w:val="both"/>
      </w:pPr>
      <w:r>
        <w:rPr>
          <w:rFonts w:ascii="Times New Roman"/>
          <w:b w:val="false"/>
          <w:i w:val="false"/>
          <w:color w:val="000000"/>
          <w:sz w:val="28"/>
        </w:rPr>
        <w:t>
      ТОО "СК-Фармация". Таким образом, Фонд определил 10 апреля 2013 года (для АО "Фонд развития предпринимательства "Даму", АО "Банк Развития Казахстана", АО "Kazyna Capital Management", АО "Экспортно-кредитная страховая корпорация "КазЭкспортГарант", АО "Инвестиционный Фонд Казахстана") и 30 апреля 2013 года (для ТОО "СК-Фармация"), как эффективные даты потери контроля над дочерними организациями. В мае 2013 года вышеуказанные договоры доверительного управления с государственными учреждениями были аннулированы и на основании договора мены акции институтов развития и финансовых организаций были переданы Фондом в собственность Комитета государственного имущества и приватизации Министерства финансов Республики Казахстан, который в последующем передал их АО "Национальный управляющий холдинг "Байтерек" (</w:t>
      </w:r>
      <w:r>
        <w:rPr>
          <w:rFonts w:ascii="Times New Roman"/>
          <w:b w:val="false"/>
          <w:i/>
          <w:color w:val="000000"/>
          <w:sz w:val="28"/>
        </w:rPr>
        <w:t>Примечание 1</w:t>
      </w:r>
      <w:r>
        <w:rPr>
          <w:rFonts w:ascii="Times New Roman"/>
          <w:b w:val="false"/>
          <w:i w:val="false"/>
          <w:color w:val="000000"/>
          <w:sz w:val="28"/>
        </w:rPr>
        <w:t>).</w:t>
      </w:r>
    </w:p>
    <w:p>
      <w:pPr>
        <w:spacing w:after="0"/>
        <w:ind w:left="0"/>
        <w:jc w:val="both"/>
      </w:pPr>
      <w:r>
        <w:rPr>
          <w:rFonts w:ascii="Times New Roman"/>
          <w:b w:val="false"/>
          <w:i w:val="false"/>
          <w:color w:val="000000"/>
          <w:sz w:val="28"/>
        </w:rPr>
        <w:t>
      Кроме этого, на основании договора мены между Фондом и Акционером, в августе 2013 года Фонд осуществил передачу в республиканскую собственность 100% акций в АО "Национальная геологоразведочная компания "Казгеология".</w:t>
      </w:r>
    </w:p>
    <w:p>
      <w:pPr>
        <w:spacing w:after="0"/>
        <w:ind w:left="0"/>
        <w:jc w:val="both"/>
      </w:pPr>
      <w:r>
        <w:rPr>
          <w:rFonts w:ascii="Times New Roman"/>
          <w:b w:val="false"/>
          <w:i w:val="false"/>
          <w:color w:val="000000"/>
          <w:sz w:val="28"/>
        </w:rPr>
        <w:t xml:space="preserve">
      Балансовая стоимость вышеупомянутых инвестиций в дочерние организации на дату потери контроля составляла 411.142 миллиона тенге. </w:t>
      </w:r>
    </w:p>
    <w:p>
      <w:pPr>
        <w:spacing w:after="0"/>
        <w:ind w:left="0"/>
        <w:jc w:val="both"/>
      </w:pPr>
      <w:r>
        <w:rPr>
          <w:rFonts w:ascii="Times New Roman"/>
          <w:b w:val="false"/>
          <w:i w:val="false"/>
          <w:color w:val="000000"/>
          <w:sz w:val="28"/>
        </w:rPr>
        <w:t>
      Фонд прекратил признание и отразил выбытие данных дочерних организаций как Операции с Акционером в отдельном отчете об изменениях в капитале на общую стоимость выбытия инвестиций в дочерние организации (</w:t>
      </w:r>
      <w:r>
        <w:rPr>
          <w:rFonts w:ascii="Times New Roman"/>
          <w:b w:val="false"/>
          <w:i/>
          <w:color w:val="000000"/>
          <w:sz w:val="28"/>
        </w:rPr>
        <w:t>Примечание 13</w:t>
      </w:r>
      <w:r>
        <w:rPr>
          <w:rFonts w:ascii="Times New Roman"/>
          <w:b w:val="false"/>
          <w:i w:val="false"/>
          <w:color w:val="000000"/>
          <w:sz w:val="28"/>
        </w:rPr>
        <w:t>).</w:t>
      </w:r>
    </w:p>
    <w:p>
      <w:pPr>
        <w:spacing w:after="0"/>
        <w:ind w:left="0"/>
        <w:jc w:val="both"/>
      </w:pPr>
      <w:r>
        <w:rPr>
          <w:rFonts w:ascii="Times New Roman"/>
          <w:b w:val="false"/>
          <w:i w:val="false"/>
          <w:color w:val="000000"/>
          <w:sz w:val="28"/>
        </w:rPr>
        <w:t>
      В связи с тем, что в соответствии с договорами купли-продажи акций в течение 2014 года планируется реализовать принадлежащие доли участия Фонда в БТА и Темирбанк, Фонд классифицировал инвестиции в данные банки как активы, предназначенные для продажи, с балансовой стоимостью на дату реклассификации 279.509 миллионов тенге и 23.488 миллионов тенге, соответственно (</w:t>
      </w:r>
      <w:r>
        <w:rPr>
          <w:rFonts w:ascii="Times New Roman"/>
          <w:b w:val="false"/>
          <w:i/>
          <w:color w:val="000000"/>
          <w:sz w:val="28"/>
        </w:rPr>
        <w:t>Примечание 1</w:t>
      </w:r>
      <w:r>
        <w:rPr>
          <w:rFonts w:ascii="Times New Roman"/>
          <w:b w:val="false"/>
          <w:i w:val="false"/>
          <w:color w:val="000000"/>
          <w:sz w:val="28"/>
        </w:rPr>
        <w:t>).</w:t>
      </w:r>
    </w:p>
    <w:bookmarkStart w:name="z48" w:id="49"/>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Инвестиции в Карачаганакский проект</w:t>
      </w:r>
    </w:p>
    <w:p>
      <w:pPr>
        <w:spacing w:after="0"/>
        <w:ind w:left="0"/>
        <w:jc w:val="both"/>
      </w:pPr>
      <w:r>
        <w:rPr>
          <w:rFonts w:ascii="Times New Roman"/>
          <w:b w:val="false"/>
          <w:i w:val="false"/>
          <w:color w:val="000000"/>
          <w:sz w:val="28"/>
        </w:rPr>
        <w:t>
      28 июня 2012 года Правительство, в лице Министерства нефти и газа и Комитета государственного имущества и приватизации Министерства финансов Республики Казахстан, и участники Карачаганакского проекта (далее "Консорциум" или "КПО") подписали договор, согласно которого Правительство приобрело 10%-ю долю участия в КПО. Справедливая стоимость приобретенной 10%-й доли была оценена в размере 2 миллиарда долларов США (300.000 миллионов тенге), из которых 150.000 миллионов тенге Правительство выплатило денежными средствами, а оставшаяся часть была зачтена в счет обязательств по налогам. Правительство создало новое предприятие "Компания по управлению долей в окончательном соглашении о разделе продукции" (далее "КУДОСРП") и осуществило передачу приобретенной 10%-й доли в проекте в капитал КУДОСРП. Далее, в соответствии с постановлением Правительства № 570 от 3 мая 2012 года, 28 июня 2012 года Фонду был передан государственный пакет 100% доли участия в КУДОСРП, справедливая стоимость которого на дату передачи составила 300.070 миллионов тенге.</w:t>
      </w:r>
    </w:p>
    <w:p>
      <w:pPr>
        <w:spacing w:after="0"/>
        <w:ind w:left="0"/>
        <w:jc w:val="both"/>
      </w:pPr>
      <w:r>
        <w:rPr>
          <w:rFonts w:ascii="Times New Roman"/>
          <w:b w:val="false"/>
          <w:i w:val="false"/>
          <w:color w:val="000000"/>
          <w:sz w:val="28"/>
        </w:rPr>
        <w:t>
      29 июня 2012 Фонд осуществил передачу КУДОСРП в НК КМГ в обмен на акции НК КМГ в размере 150.035 миллионов тенге и денежное вознаграждение в размере 150.035 миллионов тенге, которое было финансировано посредством займа в размере 1 миллиард долларов США. В соответствии с договором займа, годовая процентная ставка составила ЛИБОР плюс 3%, помноженный на 1,25, и основной долг подлежит к уплате равными ежемесячными долями за счет денежных потоков от проекта в течение 3 (трех) лет. Согласно соглашению по займу в качестве обеспечения, НК КМГ предоставил Консорциуму 5%-ю долю участия в проекте. Также Фонд предоставил гарантию по данному займу.</w:t>
      </w:r>
    </w:p>
    <w:p>
      <w:pPr>
        <w:spacing w:after="0"/>
        <w:ind w:left="0"/>
        <w:jc w:val="both"/>
      </w:pPr>
      <w:r>
        <w:rPr>
          <w:rFonts w:ascii="Times New Roman"/>
          <w:b w:val="false"/>
          <w:i w:val="false"/>
          <w:color w:val="000000"/>
          <w:sz w:val="28"/>
        </w:rPr>
        <w:t>
      28 июня 2012, Фонд выплатил единственному Акционеру дивиденды в размере 159.113 миллионов тенге. Часть дивидендов в сумме 150.035 миллионов тенге Правительство использовало для финансирования приобретения упомянутой выше доли участия в КПО.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Обесценение</w:t>
      </w:r>
    </w:p>
    <w:p>
      <w:pPr>
        <w:spacing w:after="0"/>
        <w:ind w:left="0"/>
        <w:jc w:val="both"/>
      </w:pPr>
      <w:r>
        <w:rPr>
          <w:rFonts w:ascii="Times New Roman"/>
          <w:b w:val="false"/>
          <w:i w:val="false"/>
          <w:color w:val="000000"/>
          <w:sz w:val="28"/>
        </w:rPr>
        <w:t>
      В 2013 году Фонд признал убыток от обесценения инвестиций в ТОО "Logic Business", ТОО "Logic Invest Capital" и ТОО "Инвестиционный дом "Дана" на общую сумму 55.344 миллиона тенге. Возмещаемая стоимость данных инвестиций была определена на основании метода ценности от использования.</w:t>
      </w:r>
    </w:p>
    <w:p>
      <w:pPr>
        <w:spacing w:after="0"/>
        <w:ind w:left="0"/>
        <w:jc w:val="both"/>
      </w:pPr>
      <w:r>
        <w:rPr>
          <w:rFonts w:ascii="Times New Roman"/>
          <w:b w:val="false"/>
          <w:i w:val="false"/>
          <w:color w:val="000000"/>
          <w:sz w:val="28"/>
        </w:rPr>
        <w:t>
      Также, в 2013 году Фонд признал убыток от обесценения инвестиций в БТА, Альянс Банк в размере 14.830 миллионов тенге и 1.543 миллиона тенге, соответственно (2012: 134.596 миллионов тенге и 12.175 миллионов тенге, соответственно).</w:t>
      </w:r>
    </w:p>
    <w:p>
      <w:pPr>
        <w:spacing w:after="0"/>
        <w:ind w:left="0"/>
        <w:jc w:val="both"/>
      </w:pPr>
      <w:r>
        <w:rPr>
          <w:rFonts w:ascii="Times New Roman"/>
          <w:b w:val="false"/>
          <w:i w:val="false"/>
          <w:color w:val="000000"/>
          <w:sz w:val="28"/>
        </w:rPr>
        <w:t>
      Кроме того, после реклассификации инвестиций в БТА в состав активов, предназначенных для продажи, Фондом признал убыток в размере 147.421 миллионов тенге, связанный с приведением балансовой стоимости данных инвестиций до справедливой стоимости ожидаемого к получению возмещения за данные инвестиции в соответствии с условием договора купли-продажи (</w:t>
      </w:r>
      <w:r>
        <w:rPr>
          <w:rFonts w:ascii="Times New Roman"/>
          <w:b w:val="false"/>
          <w:i/>
          <w:color w:val="000000"/>
          <w:sz w:val="28"/>
        </w:rPr>
        <w:t>Примечание 1</w:t>
      </w:r>
      <w:r>
        <w:rPr>
          <w:rFonts w:ascii="Times New Roman"/>
          <w:b w:val="false"/>
          <w:i w:val="false"/>
          <w:color w:val="000000"/>
          <w:sz w:val="28"/>
        </w:rPr>
        <w:t>).</w:t>
      </w:r>
    </w:p>
    <w:p>
      <w:pPr>
        <w:spacing w:after="0"/>
        <w:ind w:left="0"/>
        <w:jc w:val="both"/>
      </w:pPr>
      <w:r>
        <w:rPr>
          <w:rFonts w:ascii="Times New Roman"/>
          <w:b w:val="false"/>
          <w:i w:val="false"/>
          <w:color w:val="000000"/>
          <w:sz w:val="28"/>
        </w:rPr>
        <w:t>
      Возмещаемая стоимость инвестиций в БТА и Альянс Банк была определена на основании справедливой стоимости за минусом затрат по продаже.</w:t>
      </w:r>
    </w:p>
    <w:p>
      <w:pPr>
        <w:spacing w:after="0"/>
        <w:ind w:left="0"/>
        <w:jc w:val="both"/>
      </w:pPr>
      <w:r>
        <w:rPr>
          <w:rFonts w:ascii="Times New Roman"/>
          <w:b w:val="false"/>
          <w:i w:val="false"/>
          <w:color w:val="000000"/>
          <w:sz w:val="28"/>
        </w:rPr>
        <w:t>
      Информация по обесценению инвестиций в дочерние организации в разрезе компаний по состоянию на 31 декабря 2013 и 31 декабря 2012 годов представлена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4854"/>
        <w:gridCol w:w="5144"/>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"Альянс Банк"</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134.285</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1.025.686</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Развития Казахстана"</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78.554</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"Инвестиционный Фонд Казахстана"</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14.339</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 на обесценение</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135.828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1.252.864</w:t>
            </w:r>
          </w:p>
        </w:tc>
      </w:tr>
    </w:tbl>
    <w:p>
      <w:pPr>
        <w:spacing w:after="0"/>
        <w:ind w:left="0"/>
        <w:jc w:val="left"/>
      </w:pP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xml:space="preserve">
      </w:t>
      </w:r>
      <w:r>
        <w:rPr>
          <w:rFonts w:ascii="Times New Roman"/>
          <w:b/>
          <w:i w:val="false"/>
          <w:color w:val="000000"/>
          <w:sz w:val="28"/>
        </w:rPr>
        <w:t>6. ИНВЕСТИЦИИ В АССОЦИИРОВАННЫЕ КОМПАНИИ</w:t>
      </w:r>
    </w:p>
    <w:bookmarkEnd w:id="50"/>
    <w:p>
      <w:pPr>
        <w:spacing w:after="0"/>
        <w:ind w:left="0"/>
        <w:jc w:val="both"/>
      </w:pPr>
      <w:r>
        <w:rPr>
          <w:rFonts w:ascii="Times New Roman"/>
          <w:b w:val="false"/>
          <w:i w:val="false"/>
          <w:color w:val="000000"/>
          <w:sz w:val="28"/>
        </w:rPr>
        <w:t>
      На 31 декабря инвестиции в ассоциированные компании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5054"/>
        <w:gridCol w:w="5054"/>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Шекербанк</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"Астана-Финанс"</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"Майкаинзолото"</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18.455</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ассоциированных компаний, страна их местонахождения и доля Фонда в этих организациях на 31 декабря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718"/>
        <w:gridCol w:w="441"/>
        <w:gridCol w:w="4578"/>
        <w:gridCol w:w="45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деятельности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Шекербанк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"Астана-Финанс"</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организация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"Майкаинзолото"</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золота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доли участия в Шекербанк</w:t>
      </w:r>
    </w:p>
    <w:p>
      <w:pPr>
        <w:spacing w:after="0"/>
        <w:ind w:left="0"/>
        <w:jc w:val="both"/>
      </w:pPr>
      <w:r>
        <w:rPr>
          <w:rFonts w:ascii="Times New Roman"/>
          <w:b w:val="false"/>
          <w:i w:val="false"/>
          <w:color w:val="000000"/>
          <w:sz w:val="28"/>
        </w:rPr>
        <w:t>
      16 марта 2012 года Фонд приобрел 222.148.406 акций (22,1%) турецкого банка "Шекербанк" у АО "БТА Секьюритис" (дочерней организации АО "БТА Банк").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Изменения в доле участия в АО "Астана-Финанс"</w:t>
      </w:r>
    </w:p>
    <w:p>
      <w:pPr>
        <w:spacing w:after="0"/>
        <w:ind w:left="0"/>
        <w:jc w:val="both"/>
      </w:pPr>
      <w:r>
        <w:rPr>
          <w:rFonts w:ascii="Times New Roman"/>
          <w:b w:val="false"/>
          <w:i w:val="false"/>
          <w:color w:val="000000"/>
          <w:sz w:val="28"/>
        </w:rPr>
        <w:t>
      В 2013 году доля участия Фонда в АО "Астана-Финанс" уменьшилась до 1,63% в связи с дополнительной эмиссией акций данной компании, осуществленной 17 января 2013 года.</w:t>
      </w:r>
    </w:p>
    <w:bookmarkStart w:name="z50" w:id="51"/>
    <w:p>
      <w:pPr>
        <w:spacing w:after="0"/>
        <w:ind w:left="0"/>
        <w:jc w:val="both"/>
      </w:pPr>
      <w:r>
        <w:rPr>
          <w:rFonts w:ascii="Times New Roman"/>
          <w:b w:val="false"/>
          <w:i w:val="false"/>
          <w:color w:val="000000"/>
          <w:sz w:val="28"/>
        </w:rPr>
        <w:t xml:space="preserve">
      </w:t>
      </w:r>
      <w:r>
        <w:rPr>
          <w:rFonts w:ascii="Times New Roman"/>
          <w:b/>
          <w:i w:val="false"/>
          <w:color w:val="000000"/>
          <w:sz w:val="28"/>
        </w:rPr>
        <w:t>7. ЗАЙМЫ ВЫДАННЫЕ</w:t>
      </w:r>
    </w:p>
    <w:bookmarkEnd w:id="51"/>
    <w:p>
      <w:pPr>
        <w:spacing w:after="0"/>
        <w:ind w:left="0"/>
        <w:jc w:val="both"/>
      </w:pPr>
      <w:r>
        <w:rPr>
          <w:rFonts w:ascii="Times New Roman"/>
          <w:b w:val="false"/>
          <w:i w:val="false"/>
          <w:color w:val="000000"/>
          <w:sz w:val="28"/>
        </w:rPr>
        <w:t>
      На 31 декабря займы выданные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5038"/>
        <w:gridCol w:w="5038"/>
      </w:tblGrid>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сторонним и связанным компаниям</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516.587</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505.584</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дочерним организациям</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280.170</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254.513</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сторонними и связанными сторонами</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займов выданных</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805.419</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767.481</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(193.788)</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(110.081)</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анализ займов выданных в разрезе сроков задолженности представлен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9"/>
        <w:gridCol w:w="3770"/>
        <w:gridCol w:w="3771"/>
      </w:tblGrid>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не было выявлено признаков обесценения:</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просроченные и не обесцененные</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803.295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766.159</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но не обесцененные:</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от 90 до 180 дней</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от 180 до 360 дней</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свыше 360 дней</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просроченные займы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займы выданные</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805.419</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767.481</w:t>
            </w:r>
          </w:p>
        </w:tc>
      </w:tr>
    </w:tbl>
    <w:p>
      <w:pPr>
        <w:spacing w:after="0"/>
        <w:ind w:left="0"/>
        <w:jc w:val="left"/>
      </w:pP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xml:space="preserve">
      </w:t>
      </w:r>
      <w:r>
        <w:rPr>
          <w:rFonts w:ascii="Times New Roman"/>
          <w:b/>
          <w:i w:val="false"/>
          <w:color w:val="000000"/>
          <w:sz w:val="28"/>
        </w:rPr>
        <w:t>Займы, выданные сторонним и связанным компаниям</w:t>
      </w:r>
    </w:p>
    <w:bookmarkEnd w:id="52"/>
    <w:p>
      <w:pPr>
        <w:spacing w:after="0"/>
        <w:ind w:left="0"/>
        <w:jc w:val="both"/>
      </w:pPr>
      <w:r>
        <w:rPr>
          <w:rFonts w:ascii="Times New Roman"/>
          <w:b w:val="false"/>
          <w:i w:val="false"/>
          <w:color w:val="000000"/>
          <w:sz w:val="28"/>
        </w:rPr>
        <w:t xml:space="preserve">
      </w:t>
      </w:r>
      <w:r>
        <w:rPr>
          <w:rFonts w:ascii="Times New Roman"/>
          <w:b w:val="false"/>
          <w:i/>
          <w:color w:val="000000"/>
          <w:sz w:val="28"/>
        </w:rPr>
        <w:t>Kazakhmys Finance Plc</w:t>
      </w:r>
    </w:p>
    <w:p>
      <w:pPr>
        <w:spacing w:after="0"/>
        <w:ind w:left="0"/>
        <w:jc w:val="both"/>
      </w:pPr>
      <w:r>
        <w:rPr>
          <w:rFonts w:ascii="Times New Roman"/>
          <w:b w:val="false"/>
          <w:i w:val="false"/>
          <w:color w:val="000000"/>
          <w:sz w:val="28"/>
        </w:rPr>
        <w:t>
      24 января 2013 года Фонд предоставил заем Kazakhmys Finance Plc в размере 200 миллионов долларов США (эквивалент 30.812 миллионов тенге по курсу на 31 декабря 2013 года) со сроком погашения 12 (двенадцать) лет. Годовая процентная ставка по займу состоит из базовой ставки, равной шестимесячной ставке ЛИБОР, и маржи в размере 4,80%. Данный заем был предоставлен для разработки медного месторождения Жомарт. Заем был предоставлен из средств, полученных в рамках кредитной линии с Государственным Банком Развития Китая в январе 2013 года (</w:t>
      </w:r>
      <w:r>
        <w:rPr>
          <w:rFonts w:ascii="Times New Roman"/>
          <w:b w:val="false"/>
          <w:i/>
          <w:color w:val="000000"/>
          <w:sz w:val="28"/>
        </w:rPr>
        <w:t>Примечание 14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ТОО "Елорда Даму"</w:t>
      </w:r>
    </w:p>
    <w:p>
      <w:pPr>
        <w:spacing w:after="0"/>
        <w:ind w:left="0"/>
        <w:jc w:val="both"/>
      </w:pPr>
      <w:r>
        <w:rPr>
          <w:rFonts w:ascii="Times New Roman"/>
          <w:b w:val="false"/>
          <w:i w:val="false"/>
          <w:color w:val="000000"/>
          <w:sz w:val="28"/>
        </w:rPr>
        <w:t>
      25 декабря 2013 года ТОО "Елорда Даму" осуществил досрочное погашение займа, выданного в 2012 году, в размере 20.000 миллионов тенге.</w:t>
      </w:r>
    </w:p>
    <w:bookmarkStart w:name="z52" w:id="53"/>
    <w:p>
      <w:pPr>
        <w:spacing w:after="0"/>
        <w:ind w:left="0"/>
        <w:jc w:val="both"/>
      </w:pPr>
      <w:r>
        <w:rPr>
          <w:rFonts w:ascii="Times New Roman"/>
          <w:b w:val="false"/>
          <w:i w:val="false"/>
          <w:color w:val="000000"/>
          <w:sz w:val="28"/>
        </w:rPr>
        <w:t xml:space="preserve">
      </w:t>
      </w:r>
      <w:r>
        <w:rPr>
          <w:rFonts w:ascii="Times New Roman"/>
          <w:b/>
          <w:i w:val="false"/>
          <w:color w:val="000000"/>
          <w:sz w:val="28"/>
        </w:rPr>
        <w:t>Займы, выданные дочерним организациям</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АО "Национальная Компания "Қазақстан Темір Жолы"</w:t>
      </w:r>
    </w:p>
    <w:p>
      <w:pPr>
        <w:spacing w:after="0"/>
        <w:ind w:left="0"/>
        <w:jc w:val="both"/>
      </w:pPr>
      <w:r>
        <w:rPr>
          <w:rFonts w:ascii="Times New Roman"/>
          <w:b w:val="false"/>
          <w:i w:val="false"/>
          <w:color w:val="000000"/>
          <w:sz w:val="28"/>
        </w:rPr>
        <w:t>
      31 января 2013 года Фонд заключил договор займа с АО "Национальная Компания "Қазақстан Темір Жолы", в соответствии с которым Фонд предоставил заем в размере 118.346 миллионов тенге, со сроком погашения до 2062 года и ставкой вознаграждения 0,1%. Данный заем был предоставлен для финансирования строительства железных дорог "Жезказган-Бейнеу" и "Аркалык-Шубарколь".</w:t>
      </w:r>
    </w:p>
    <w:p>
      <w:pPr>
        <w:spacing w:after="0"/>
        <w:ind w:left="0"/>
        <w:jc w:val="both"/>
      </w:pPr>
      <w:r>
        <w:rPr>
          <w:rFonts w:ascii="Times New Roman"/>
          <w:b w:val="false"/>
          <w:i w:val="false"/>
          <w:color w:val="000000"/>
          <w:sz w:val="28"/>
        </w:rPr>
        <w:t xml:space="preserve">
      7 марта 2013 года Фонд заключил договор займа с АО "Национальная Компания "Қазақстан Темір Жолы", в соответствии с которым Фонд предоставил заем в размере 24.673 миллиона тенге, со сроком погашения до 2038 года и ставкой вознаграждения 0,75% для финансирования обновления парка подвижного состава железнодорожных пассажирских вагонов АО "Пассажирские перевозки". </w:t>
      </w:r>
    </w:p>
    <w:p>
      <w:pPr>
        <w:spacing w:after="0"/>
        <w:ind w:left="0"/>
        <w:jc w:val="both"/>
      </w:pPr>
      <w:r>
        <w:rPr>
          <w:rFonts w:ascii="Times New Roman"/>
          <w:b w:val="false"/>
          <w:i w:val="false"/>
          <w:color w:val="000000"/>
          <w:sz w:val="28"/>
        </w:rPr>
        <w:t>
      23 июля 2013 года и 28 декабря 2013 года Фонд заключил договора займов с АО "Национальная Компания "Қазақстан Темір Жолы", в соответствии с которыми Фонд предоставил займы в размере 51.298 миллионов тенге и 8.166 миллионов тенге, соответственно, со сроком погашения до 2062 года и ставкой вознаграждения 0,1% для финансирования строительства железной дороги "Жезгазган-Бейнеу".</w:t>
      </w:r>
    </w:p>
    <w:p>
      <w:pPr>
        <w:spacing w:after="0"/>
        <w:ind w:left="0"/>
        <w:jc w:val="both"/>
      </w:pPr>
      <w:r>
        <w:rPr>
          <w:rFonts w:ascii="Times New Roman"/>
          <w:b w:val="false"/>
          <w:i w:val="false"/>
          <w:color w:val="000000"/>
          <w:sz w:val="28"/>
        </w:rPr>
        <w:t>
      Финансирование данных займов осуществлено за счет повторного использования антикризисных средств в соответствии с протоколами заседания Государственной комиссии по вопросам модернизации экономики Республики Казахстан № 17-5/И-380 от 5 апреля 2012 года и № 17-5/11-10 от 30 января 2013 года.</w:t>
      </w:r>
    </w:p>
    <w:p>
      <w:pPr>
        <w:spacing w:after="0"/>
        <w:ind w:left="0"/>
        <w:jc w:val="both"/>
      </w:pPr>
      <w:r>
        <w:rPr>
          <w:rFonts w:ascii="Times New Roman"/>
          <w:b w:val="false"/>
          <w:i w:val="false"/>
          <w:color w:val="000000"/>
          <w:sz w:val="28"/>
        </w:rPr>
        <w:t>
      При первоначальном признании данные займы были оценены по справедливой стоимости, составляющей 15.908 миллионов тенге, с использованием соответствующих рыночных ставок вознаграждения. Разница между номинальной стоимостью займов и их справедливой стоимостью в размере 186.575 миллионов тенге была признана как увеличение инвестиций в АО "Национальная Компания "Қазақстан Темір Жолы" (</w:t>
      </w:r>
      <w:r>
        <w:rPr>
          <w:rFonts w:ascii="Times New Roman"/>
          <w:b w:val="false"/>
          <w:i/>
          <w:color w:val="000000"/>
          <w:sz w:val="28"/>
        </w:rPr>
        <w:t>Примечание 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"Фонд недвижимости "Самрук-Казына"</w:t>
      </w:r>
    </w:p>
    <w:p>
      <w:pPr>
        <w:spacing w:after="0"/>
        <w:ind w:left="0"/>
        <w:jc w:val="both"/>
      </w:pPr>
      <w:r>
        <w:rPr>
          <w:rFonts w:ascii="Times New Roman"/>
          <w:b w:val="false"/>
          <w:i w:val="false"/>
          <w:color w:val="000000"/>
          <w:sz w:val="28"/>
        </w:rPr>
        <w:t>
      В 2012 году Фонд заключил договор возобновляемой кредитной линии (с лимитом линии в размере 99.053 миллиона тенге) с АО "Фонд недвижимости "Самрук-Казына", в соответствии с которой в 2013 году Фонд предоставил дополнительные транши АО "Фонд недвижимости "Самрук-Казына" на общую сумму 28.100 миллионов тенге, со сроком погашения до 31 июля 2022 года, для финансирования проектов жилищного строительства в рамках Программы "Доступное жилье – 2020", утвержденной постановлением Правительства Республики Казахстан № 821 от 21 июня 2012 года. Данные займы были предоставлены за счет средств Национального Фонда в соответствии с протоколом заседания Государственной комиссии по вопросам модернизации экономики Республики Казахстан № 17-5/И-380 от 5 апреля 2012 года и с учетом перераспределения средств в соответствии с протоколом заседания Государственной комиссии по вопросам модернизации экономики Республики Казахстан № 17-5/11-10 от 30 января 2013 года.</w:t>
      </w:r>
    </w:p>
    <w:p>
      <w:pPr>
        <w:spacing w:after="0"/>
        <w:ind w:left="0"/>
        <w:jc w:val="both"/>
      </w:pPr>
      <w:r>
        <w:rPr>
          <w:rFonts w:ascii="Times New Roman"/>
          <w:b w:val="false"/>
          <w:i w:val="false"/>
          <w:color w:val="000000"/>
          <w:sz w:val="28"/>
        </w:rPr>
        <w:t>
      В соответствии с условиями кредитной линии, Фонд имеет право в любое время требовать от АО "Фонд недвижимости "Самрук-Казына" досрочного погашения займов или их части, а АО "Фонд недвижимости "Самрук-Казына" обязуется произвести погашение в случае требования Фонда. В связи с этим условием, Фонд классифицирует все займы, выданные в рамках данной кредитной линии, как краткосрочные.</w:t>
      </w:r>
    </w:p>
    <w:p>
      <w:pPr>
        <w:spacing w:after="0"/>
        <w:ind w:left="0"/>
        <w:jc w:val="both"/>
      </w:pPr>
      <w:r>
        <w:rPr>
          <w:rFonts w:ascii="Times New Roman"/>
          <w:b w:val="false"/>
          <w:i w:val="false"/>
          <w:color w:val="000000"/>
          <w:sz w:val="28"/>
        </w:rPr>
        <w:t>
      В 2013 году АО "Фонд недвижимости "Самрук-Казына" осуществил частичное досрочное погашение займов на сумму 4.335 миллионов тенге.</w:t>
      </w:r>
    </w:p>
    <w:bookmarkStart w:name="z53" w:id="54"/>
    <w:p>
      <w:pPr>
        <w:spacing w:after="0"/>
        <w:ind w:left="0"/>
        <w:jc w:val="both"/>
      </w:pPr>
      <w:r>
        <w:rPr>
          <w:rFonts w:ascii="Times New Roman"/>
          <w:b w:val="false"/>
          <w:i w:val="false"/>
          <w:color w:val="000000"/>
          <w:sz w:val="28"/>
        </w:rPr>
        <w:t xml:space="preserve">
      </w:t>
      </w:r>
      <w:r>
        <w:rPr>
          <w:rFonts w:ascii="Times New Roman"/>
          <w:b/>
          <w:i w:val="false"/>
          <w:color w:val="000000"/>
          <w:sz w:val="28"/>
        </w:rPr>
        <w:t>8. СРЕДСТВА В КРЕДИТНЫХ УЧРЕЖДЕНИЯХ</w:t>
      </w:r>
    </w:p>
    <w:bookmarkEnd w:id="54"/>
    <w:p>
      <w:pPr>
        <w:spacing w:after="0"/>
        <w:ind w:left="0"/>
        <w:jc w:val="both"/>
      </w:pPr>
      <w:r>
        <w:rPr>
          <w:rFonts w:ascii="Times New Roman"/>
          <w:b w:val="false"/>
          <w:i w:val="false"/>
          <w:color w:val="000000"/>
          <w:sz w:val="28"/>
        </w:rPr>
        <w:t>
      На 31 декабря средства в кредитных учреждениях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4884"/>
        <w:gridCol w:w="4884"/>
      </w:tblGrid>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крупнейших местных банков</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266.215</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местные кредитные учреждения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123.172</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средств в кредитных учреждениях</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394.540</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4599"/>
        <w:gridCol w:w="4600"/>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выше BB+</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от В до ВВ-</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118.380</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В-</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ниже В-</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141.767</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отсутствует</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81.551</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98.037</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и 2012 годов у Фонда отсутствовали просроченные и обесцененные средства в кредитных учреждениях.</w:t>
      </w:r>
    </w:p>
    <w:p>
      <w:pPr>
        <w:spacing w:after="0"/>
        <w:ind w:left="0"/>
        <w:jc w:val="both"/>
      </w:pPr>
      <w:r>
        <w:rPr>
          <w:rFonts w:ascii="Times New Roman"/>
          <w:b w:val="false"/>
          <w:i w:val="false"/>
          <w:color w:val="000000"/>
          <w:sz w:val="28"/>
        </w:rPr>
        <w:t>
      Средства в кредитных учреждениях, в основном, представляют собой средства, размещенные в банках и других финансовых организациях в целях финансирования мероприятий в рамках Плана Стабилизации.</w:t>
      </w:r>
    </w:p>
    <w:p>
      <w:pPr>
        <w:spacing w:after="0"/>
        <w:ind w:left="0"/>
        <w:jc w:val="both"/>
      </w:pPr>
      <w:r>
        <w:rPr>
          <w:rFonts w:ascii="Times New Roman"/>
          <w:b w:val="false"/>
          <w:i w:val="false"/>
          <w:color w:val="000000"/>
          <w:sz w:val="28"/>
        </w:rPr>
        <w:t>
      Общая сумма возврата средств за 2013 год составила 28.989 миллионов тенге, включая возврат АО "Фонд развития предпринимательства "Даму" в размере 20.778 миллионов тенге (2012: 49.730 миллионов тенге и 42.892 миллиона тенге, соответственно).</w:t>
      </w:r>
    </w:p>
    <w:p>
      <w:pPr>
        <w:spacing w:after="0"/>
        <w:ind w:left="0"/>
        <w:jc w:val="both"/>
      </w:pPr>
      <w:r>
        <w:rPr>
          <w:rFonts w:ascii="Times New Roman"/>
          <w:b w:val="false"/>
          <w:i w:val="false"/>
          <w:color w:val="000000"/>
          <w:sz w:val="28"/>
        </w:rPr>
        <w:t>
      На 31 декабря 2013 года средства в кредитных учреждениях в основном представлены займами, предоставленными следующим финансовым организациям:</w:t>
      </w:r>
    </w:p>
    <w:p>
      <w:pPr>
        <w:spacing w:after="0"/>
        <w:ind w:left="0"/>
        <w:jc w:val="both"/>
      </w:pPr>
      <w:r>
        <w:rPr>
          <w:rFonts w:ascii="Times New Roman"/>
          <w:b w:val="false"/>
          <w:i w:val="false"/>
          <w:color w:val="000000"/>
          <w:sz w:val="28"/>
        </w:rPr>
        <w:t>
      - АО "Фонд развития предпринимательства "Даму" на сумму 55.170 миллионов тенге (2012: 72.638 миллионов тенге) для целей финансирования субъектов малого и среднего бизнеса, из которых 32.360 миллионов тенге (2012: 44.690 миллионов тенге) представляли средства, размещенные в рамках Плана Стабилизации (</w:t>
      </w:r>
      <w:r>
        <w:rPr>
          <w:rFonts w:ascii="Times New Roman"/>
          <w:b w:val="false"/>
          <w:i/>
          <w:color w:val="000000"/>
          <w:sz w:val="28"/>
        </w:rPr>
        <w:t>Примечание 1</w:t>
      </w:r>
      <w:r>
        <w:rPr>
          <w:rFonts w:ascii="Times New Roman"/>
          <w:b w:val="false"/>
          <w:i w:val="false"/>
          <w:color w:val="000000"/>
          <w:sz w:val="28"/>
        </w:rPr>
        <w:t>). Проценты по данным займам начислялись в размере от 4,51% до 7% годовых;</w:t>
      </w:r>
    </w:p>
    <w:p>
      <w:pPr>
        <w:spacing w:after="0"/>
        <w:ind w:left="0"/>
        <w:jc w:val="both"/>
      </w:pPr>
      <w:r>
        <w:rPr>
          <w:rFonts w:ascii="Times New Roman"/>
          <w:b w:val="false"/>
          <w:i w:val="false"/>
          <w:color w:val="000000"/>
          <w:sz w:val="28"/>
        </w:rPr>
        <w:t>
      - АО "Банк Развития Казахстана" для целей снижения ставки кредитования инвестиционных проектов в приоритетных отраслях экономики, снижения стоимости фондирования финансового лизинга и стимулирования экспорта казахстанских локомотивов в размере 2.850 миллионов тенге, 17.301 миллион тенге и 3.304 миллиона тенге, соответственно (2012: 2.659 миллионов тенге, 16.542 миллиона тенге и ноль тенге, соответственно).</w:t>
      </w:r>
    </w:p>
    <w:p>
      <w:pPr>
        <w:spacing w:after="0"/>
        <w:ind w:left="0"/>
        <w:jc w:val="both"/>
      </w:pPr>
      <w:r>
        <w:rPr>
          <w:rFonts w:ascii="Times New Roman"/>
          <w:b w:val="false"/>
          <w:i w:val="false"/>
          <w:color w:val="000000"/>
          <w:sz w:val="28"/>
        </w:rPr>
        <w:t>
      - Банкам второго уровня на рефинансирование ипотечных займов, строительство жилых объектов в городах Астана и Алматы и предоставление промежуточных жилищных займов в размере 109.310 миллионов тенге (2012: 116.346 миллионов тенге), 53.366 миллионов тенге (2012: 53.661 миллион тенге) и 26.381 миллион тенге (2012: 25.399 миллионов тенге), соответственно. Часть средств, предоставленных банкам второго уровня на рефинансирование ипотечных займов и строительство жилых объектов в городах Астана и Алматы в размере 162.676 миллионов тенге (2012: 170.007 миллионов тенге) являются средствами, размещенными в рамках Плана Стабилизации. Вознаграждение по данным займам начислялось в размере от 3,74% до 7,28% годовых.</w:t>
      </w:r>
    </w:p>
    <w:bookmarkStart w:name="z54" w:id="55"/>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55"/>
    <w:p>
      <w:pPr>
        <w:spacing w:after="0"/>
        <w:ind w:left="0"/>
        <w:jc w:val="both"/>
      </w:pPr>
      <w:r>
        <w:rPr>
          <w:rFonts w:ascii="Times New Roman"/>
          <w:b w:val="false"/>
          <w:i w:val="false"/>
          <w:color w:val="000000"/>
          <w:sz w:val="28"/>
        </w:rPr>
        <w:t xml:space="preserve">
      </w:t>
      </w:r>
      <w:r>
        <w:rPr>
          <w:rFonts w:ascii="Times New Roman"/>
          <w:b w:val="false"/>
          <w:i/>
          <w:color w:val="000000"/>
          <w:sz w:val="28"/>
        </w:rPr>
        <w:t>АО "БТА Банк"</w:t>
      </w:r>
    </w:p>
    <w:p>
      <w:pPr>
        <w:spacing w:after="0"/>
        <w:ind w:left="0"/>
        <w:jc w:val="both"/>
      </w:pPr>
      <w:r>
        <w:rPr>
          <w:rFonts w:ascii="Times New Roman"/>
          <w:b w:val="false"/>
          <w:i w:val="false"/>
          <w:color w:val="000000"/>
          <w:sz w:val="28"/>
        </w:rPr>
        <w:t>
      19 декабря 2012 года Фонд заключил договор займа с БТА, в соответствии с которым Фонд предоставил займ в размере 239.771 миллион тенге, со сроком погашения до 2024 года и ставкой вознаграждения 4%. Данный заем предоставлен для выплаты доли наличных средств в суммах компенсации, подлежащих уплате в порядке, описанном в Информационном меморандуме, и для общих банковских целей в рамках реструктуризации обязательств БТА. Финансирование займа было осуществлено за счет выпуска облигаций в размере 143.196 миллионов тенге (Примечание 15) и собственных средств Фонда в размере 96.575 миллионов тенге.</w:t>
      </w:r>
    </w:p>
    <w:p>
      <w:pPr>
        <w:spacing w:after="0"/>
        <w:ind w:left="0"/>
        <w:jc w:val="both"/>
      </w:pPr>
      <w:r>
        <w:rPr>
          <w:rFonts w:ascii="Times New Roman"/>
          <w:b w:val="false"/>
          <w:i w:val="false"/>
          <w:color w:val="000000"/>
          <w:sz w:val="28"/>
        </w:rPr>
        <w:t>
      При первоначальном признании данный заем был оценен по справедливой стоимости, составляющей 105.672 миллиона тенге, с использованием соответствующих рыночных ставок вознаграждения. Разница между номинальной стоимостью займов и их справедливой стоимостью в размере 134.099 миллионов тенге была признана как увеличение инвестиций в БТА.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Обесценение средств в кредитных учреждениях</w:t>
      </w:r>
    </w:p>
    <w:p>
      <w:pPr>
        <w:spacing w:after="0"/>
        <w:ind w:left="0"/>
        <w:jc w:val="both"/>
      </w:pPr>
      <w:r>
        <w:rPr>
          <w:rFonts w:ascii="Times New Roman"/>
          <w:b w:val="false"/>
          <w:i w:val="false"/>
          <w:color w:val="000000"/>
          <w:sz w:val="28"/>
        </w:rPr>
        <w:t>
      В связи с ухудшением финансового положения, относительной ограниченностью в ликвидных средствах и отрицательным финансовым результатом БТА в течение 2011 года, Фонд признал убыток от обесценения средств в кредитных учреждениях в размере 36.999 миллионов тенге, размещенных в данном банке по состоянию на 31 декабря 2011 года. В 2012 году Фонд полностью сторнировал накопленное обесценение по данным активам в связи с осуществлением второй реструктуризации обязательств БТА и улучшением его финансового состояния.</w:t>
      </w:r>
    </w:p>
    <w:bookmarkStart w:name="z55" w:id="56"/>
    <w:p>
      <w:pPr>
        <w:spacing w:after="0"/>
        <w:ind w:left="0"/>
        <w:jc w:val="both"/>
      </w:pPr>
      <w:r>
        <w:rPr>
          <w:rFonts w:ascii="Times New Roman"/>
          <w:b w:val="false"/>
          <w:i w:val="false"/>
          <w:color w:val="000000"/>
          <w:sz w:val="28"/>
        </w:rPr>
        <w:t xml:space="preserve">
      </w:t>
      </w:r>
      <w:r>
        <w:rPr>
          <w:rFonts w:ascii="Times New Roman"/>
          <w:b/>
          <w:i w:val="false"/>
          <w:color w:val="000000"/>
          <w:sz w:val="28"/>
        </w:rPr>
        <w:t>9. ПРОЧИЕ ФИНАНСОВЫЕ АКТИВЫ</w:t>
      </w:r>
    </w:p>
    <w:bookmarkEnd w:id="56"/>
    <w:p>
      <w:pPr>
        <w:spacing w:after="0"/>
        <w:ind w:left="0"/>
        <w:jc w:val="both"/>
      </w:pPr>
      <w:r>
        <w:rPr>
          <w:rFonts w:ascii="Times New Roman"/>
          <w:b w:val="false"/>
          <w:i w:val="false"/>
          <w:color w:val="000000"/>
          <w:sz w:val="28"/>
        </w:rPr>
        <w:t>
      На 31 декабря прочие финансовые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8"/>
        <w:gridCol w:w="3251"/>
        <w:gridCol w:w="3251"/>
      </w:tblGrid>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имеющиеся в наличии для продажи:</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 Kazakhmys Plc</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111.925</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 АО "Казкоммерцбанк"</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23.237</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 АО "Народный Банк Казахстана"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прочих финансовых активов</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150.318</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(26.124)</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опционными соглашениями, заключенными между Фондом и основными акционерами ККБ и АО "Народный Банк Казахстана" при приобретении акций в 2009 году, основные акционеры получили опционы на приобретение выкупленных Фондом акций данных банков (опционы колл), которые могут быть исполнены в течение периода, начинающегося в первую годовщину с даты приобретения Фондом акций банков и заканчивающегося в пятую годовщину. Срок исполнения по данным опционам начинается в первом полугодии 2010 года, что привело к потере Фондом существенного влияния на банки. Соответственно, Фонд потерял существенное влияние на данные ассоциированные компании и реклассифицировал инвестиции в категорию финансовых активов, имеющихся в наличии для продажи.</w:t>
      </w:r>
    </w:p>
    <w:p>
      <w:pPr>
        <w:spacing w:after="0"/>
        <w:ind w:left="0"/>
        <w:jc w:val="both"/>
      </w:pPr>
      <w:r>
        <w:rPr>
          <w:rFonts w:ascii="Times New Roman"/>
          <w:b w:val="false"/>
          <w:i w:val="false"/>
          <w:color w:val="000000"/>
          <w:sz w:val="28"/>
        </w:rPr>
        <w:t xml:space="preserve">
      28 мая 2012 года АО "Холдинговая группа "АЛМЭКС" и АО "Народный Банк Казахстана" заключили соглашение об уступке прав по опционному соглашению в отношении привилегированных акций </w:t>
      </w:r>
    </w:p>
    <w:p>
      <w:pPr>
        <w:spacing w:after="0"/>
        <w:ind w:left="0"/>
        <w:jc w:val="both"/>
      </w:pPr>
      <w:r>
        <w:rPr>
          <w:rFonts w:ascii="Times New Roman"/>
          <w:b w:val="false"/>
          <w:i w:val="false"/>
          <w:color w:val="000000"/>
          <w:sz w:val="28"/>
        </w:rPr>
        <w:t>
      АО "Народный Банк Казахстана".</w:t>
      </w:r>
    </w:p>
    <w:p>
      <w:pPr>
        <w:spacing w:after="0"/>
        <w:ind w:left="0"/>
        <w:jc w:val="both"/>
      </w:pPr>
      <w:r>
        <w:rPr>
          <w:rFonts w:ascii="Times New Roman"/>
          <w:b w:val="false"/>
          <w:i w:val="false"/>
          <w:color w:val="000000"/>
          <w:sz w:val="28"/>
        </w:rPr>
        <w:t xml:space="preserve">
      В соответствии с данным соглашением, 29 июня 2012 года и 5 июля 2012 года АО "Народный Банк Казахстана" частично реализовал свое право на исполнение опциона и осуществил выкуп 150.000.000 и 40.000.000 своих привилегированных акций по цене 179,94 тенге и 180,21 тенге за акцию, соответственно. Общая стоимость реализации составила 34.199 миллионов тенге. </w:t>
      </w:r>
    </w:p>
    <w:p>
      <w:pPr>
        <w:spacing w:after="0"/>
        <w:ind w:left="0"/>
        <w:jc w:val="both"/>
      </w:pPr>
      <w:r>
        <w:rPr>
          <w:rFonts w:ascii="Times New Roman"/>
          <w:b w:val="false"/>
          <w:i w:val="false"/>
          <w:color w:val="000000"/>
          <w:sz w:val="28"/>
        </w:rPr>
        <w:t>
      После реализации привилегированных акций АО "Народный Банк Казахстана" со справедливой стоимостью на дату продажи в размере 34.273 миллиона тенге, Фонд прекратил признание соответствующих обязательств по опциону на выкуп привилегированных акций, справедливая стоимость которых на дату продажи составила 3.509 миллионов тенге.</w:t>
      </w:r>
    </w:p>
    <w:p>
      <w:pPr>
        <w:spacing w:after="0"/>
        <w:ind w:left="0"/>
        <w:jc w:val="both"/>
      </w:pPr>
      <w:r>
        <w:rPr>
          <w:rFonts w:ascii="Times New Roman"/>
          <w:b w:val="false"/>
          <w:i w:val="false"/>
          <w:color w:val="000000"/>
          <w:sz w:val="28"/>
        </w:rPr>
        <w:t>
      Также нереализованный доход в размере 1.395 миллионов тенге по переоценке инвестиций, имеющихся в наличии для продажи, по привилегированным акциям АО "Народный Банк Казахстана", был реклассифицирован из резерва по переоценке инвестиций, имеющихся в наличие для продажи, в чистую прибыль за период. Полученная чистая прибыль от выбытия финансовых активов была отражена в отдельном отчете о совокупном доходе в размере 4.830 миллионов тенге.</w:t>
      </w:r>
    </w:p>
    <w:p>
      <w:pPr>
        <w:spacing w:after="0"/>
        <w:ind w:left="0"/>
        <w:jc w:val="both"/>
      </w:pPr>
      <w:r>
        <w:rPr>
          <w:rFonts w:ascii="Times New Roman"/>
          <w:b w:val="false"/>
          <w:i w:val="false"/>
          <w:color w:val="000000"/>
          <w:sz w:val="28"/>
        </w:rPr>
        <w:t>
      В 2012 году Фонд признал убыток от обесценения по долевым ценным бумагам Kazakhmys Plc и ККБ в размере 86.103 миллиона тенге и 60.745 миллионов тенге, соответственно (2013: ноль).</w:t>
      </w:r>
    </w:p>
    <w:p>
      <w:pPr>
        <w:spacing w:after="0"/>
        <w:ind w:left="0"/>
        <w:jc w:val="both"/>
      </w:pPr>
      <w:r>
        <w:rPr>
          <w:rFonts w:ascii="Times New Roman"/>
          <w:b w:val="false"/>
          <w:i w:val="false"/>
          <w:color w:val="000000"/>
          <w:sz w:val="28"/>
        </w:rPr>
        <w:t>
      6 июня 2013 года Фонд осуществил безвозмездную передачу всех, имеющихся во владении Фонда, простых акций Kazakhmys Plc (58.876.793 акции) в республиканскую собственность, путем их передачи Комитету государственного имущества и приватизации Министерства финансов Республики Казахстан в соответствии с постановлением Правительства Республики Казахстан от 28 мая 2013 года № 521дсп.</w:t>
      </w:r>
    </w:p>
    <w:p>
      <w:pPr>
        <w:spacing w:after="0"/>
        <w:ind w:left="0"/>
        <w:jc w:val="both"/>
      </w:pPr>
      <w:r>
        <w:rPr>
          <w:rFonts w:ascii="Times New Roman"/>
          <w:b w:val="false"/>
          <w:i w:val="false"/>
          <w:color w:val="000000"/>
          <w:sz w:val="28"/>
        </w:rPr>
        <w:t>
      Справедливая стоимость долевых ценных бумаг АО "Народный Банк Казахстана" и ККБ по состоянию на 31 декабря 2013 года и 31 декабря 2012 года была определена на основе опубликованных котировок на активном рынке.</w:t>
      </w:r>
    </w:p>
    <w:bookmarkStart w:name="z56" w:id="57"/>
    <w:p>
      <w:pPr>
        <w:spacing w:after="0"/>
        <w:ind w:left="0"/>
        <w:jc w:val="both"/>
      </w:pPr>
      <w:r>
        <w:rPr>
          <w:rFonts w:ascii="Times New Roman"/>
          <w:b w:val="false"/>
          <w:i w:val="false"/>
          <w:color w:val="000000"/>
          <w:sz w:val="28"/>
        </w:rPr>
        <w:t xml:space="preserve">
      </w:t>
      </w:r>
      <w:r>
        <w:rPr>
          <w:rFonts w:ascii="Times New Roman"/>
          <w:b/>
          <w:i w:val="false"/>
          <w:color w:val="000000"/>
          <w:sz w:val="28"/>
        </w:rPr>
        <w:t>10. БАНКОВСКИЕ ДЕПОЗИТЫ</w:t>
      </w:r>
    </w:p>
    <w:bookmarkEnd w:id="57"/>
    <w:p>
      <w:pPr>
        <w:spacing w:after="0"/>
        <w:ind w:left="0"/>
        <w:jc w:val="both"/>
      </w:pPr>
      <w:r>
        <w:rPr>
          <w:rFonts w:ascii="Times New Roman"/>
          <w:b w:val="false"/>
          <w:i w:val="false"/>
          <w:color w:val="000000"/>
          <w:sz w:val="28"/>
        </w:rPr>
        <w:t>
      На 31 декабря банковские депозиты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4923"/>
        <w:gridCol w:w="4923"/>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крупнейших местных банков</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399.737</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284.155</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местные кредитные учреждения</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73.198</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банковских депозитов</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518.415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364.476</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(159.923)</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4599"/>
        <w:gridCol w:w="4600"/>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выше BB+</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29.957</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от В до ВВ-</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244.700</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190.012</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В-</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54.115</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ниже В-</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152.625</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89.894</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отсутствует</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518.415</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Размещение временно свободных денежных средств</w:t>
      </w:r>
    </w:p>
    <w:p>
      <w:pPr>
        <w:spacing w:after="0"/>
        <w:ind w:left="0"/>
        <w:jc w:val="both"/>
      </w:pPr>
      <w:r>
        <w:rPr>
          <w:rFonts w:ascii="Times New Roman"/>
          <w:b w:val="false"/>
          <w:i w:val="false"/>
          <w:color w:val="000000"/>
          <w:sz w:val="28"/>
        </w:rPr>
        <w:t>
      В рамках политики по управлению временно свободными денежными средствами, Фонд размещает депозиты в крупных казахстанских банках второго уровня.</w:t>
      </w:r>
    </w:p>
    <w:p>
      <w:pPr>
        <w:spacing w:after="0"/>
        <w:ind w:left="0"/>
        <w:jc w:val="both"/>
      </w:pPr>
      <w:r>
        <w:rPr>
          <w:rFonts w:ascii="Times New Roman"/>
          <w:b w:val="false"/>
          <w:i w:val="false"/>
          <w:color w:val="000000"/>
          <w:sz w:val="28"/>
        </w:rPr>
        <w:t>
      По состоянию на 31 декабря 2013 года средневзвешенная ставка по долгосрочным банковским депозитам составила 8,03% годовых (на 31 декабря 2012 года: 7,81%), средневзвешенная ставка по краткосрочным банковским депозитам составила 7,88 % годовых (на 31 декабря 2012 года: 7,74%).</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Обесценение депозитов в АО "БТА Банк"</w:t>
      </w:r>
    </w:p>
    <w:p>
      <w:pPr>
        <w:spacing w:after="0"/>
        <w:ind w:left="0"/>
        <w:jc w:val="both"/>
      </w:pPr>
      <w:r>
        <w:rPr>
          <w:rFonts w:ascii="Times New Roman"/>
          <w:b w:val="false"/>
          <w:i w:val="false"/>
          <w:color w:val="000000"/>
          <w:sz w:val="28"/>
        </w:rPr>
        <w:t>
      В связи с ухудшением финансового состояния, относительной ограниченностью в ликвидных средствах и отрицательным финансовым результатом БТА в течение 2011 года, Фонд признал убыток от обесценения банковских депозитов в размере 245.068 миллионов тенге, размещенных в данном банке по состоянию на 31 декабря 2011 года. В 2012 году Фонд полностью сторнировал накопленное обесценение по данным активам в связи с осуществлением второй реструктуризации обязательств БТА и улучшением его финансового состояния.</w:t>
      </w:r>
    </w:p>
    <w:bookmarkStart w:name="z57" w:id="58"/>
    <w:p>
      <w:pPr>
        <w:spacing w:after="0"/>
        <w:ind w:left="0"/>
        <w:jc w:val="both"/>
      </w:pPr>
      <w:r>
        <w:rPr>
          <w:rFonts w:ascii="Times New Roman"/>
          <w:b w:val="false"/>
          <w:i w:val="false"/>
          <w:color w:val="000000"/>
          <w:sz w:val="28"/>
        </w:rPr>
        <w:t xml:space="preserve">
      </w:t>
      </w:r>
      <w:r>
        <w:rPr>
          <w:rFonts w:ascii="Times New Roman"/>
          <w:b/>
          <w:i w:val="false"/>
          <w:color w:val="000000"/>
          <w:sz w:val="28"/>
        </w:rPr>
        <w:t>11. ПРОЧИЕ ТЕКУЩИЕ ДЕПОЗИТЫ</w:t>
      </w:r>
    </w:p>
    <w:bookmarkEnd w:id="58"/>
    <w:p>
      <w:pPr>
        <w:spacing w:after="0"/>
        <w:ind w:left="0"/>
        <w:jc w:val="both"/>
      </w:pPr>
      <w:r>
        <w:rPr>
          <w:rFonts w:ascii="Times New Roman"/>
          <w:b w:val="false"/>
          <w:i w:val="false"/>
          <w:color w:val="000000"/>
          <w:sz w:val="28"/>
        </w:rPr>
        <w:t>
      На 31 декабря прочие текущие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5244"/>
        <w:gridCol w:w="5245"/>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к получению</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w:t>
            </w:r>
          </w:p>
        </w:tc>
      </w:tr>
    </w:tbl>
    <w:p>
      <w:pPr>
        <w:spacing w:after="0"/>
        <w:ind w:left="0"/>
        <w:jc w:val="left"/>
      </w:pP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xml:space="preserve">
      </w:t>
      </w:r>
      <w:r>
        <w:rPr>
          <w:rFonts w:ascii="Times New Roman"/>
          <w:b/>
          <w:i w:val="false"/>
          <w:color w:val="000000"/>
          <w:sz w:val="28"/>
        </w:rPr>
        <w:t>12. ДЕНЕЖНЫЕ СРЕДСТВА И ИХ ЭКВИВАЛЕНТЫ</w:t>
      </w:r>
    </w:p>
    <w:bookmarkEnd w:id="59"/>
    <w:p>
      <w:pPr>
        <w:spacing w:after="0"/>
        <w:ind w:left="0"/>
        <w:jc w:val="both"/>
      </w:pPr>
      <w:r>
        <w:rPr>
          <w:rFonts w:ascii="Times New Roman"/>
          <w:b w:val="false"/>
          <w:i w:val="false"/>
          <w:color w:val="000000"/>
          <w:sz w:val="28"/>
        </w:rPr>
        <w:t>
      На 31 декабря денежные средства и их эквиваленты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4"/>
        <w:gridCol w:w="4768"/>
        <w:gridCol w:w="4768"/>
      </w:tblGrid>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банках, выраженные в тенге</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58.863</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301.829</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банках, выраженные в долларах США</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банках, выраженные в евро</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депозиты в банках, выраженные в тенге</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41.545</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100.543</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103.508</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31 декабря 2013 года средневзвешенная процентная ставка по большинству текущих счетов, размещенных в казахстанских банках, составила 0,001% (2012: 0,1%). Срочные депозиты размещены на различные сроки, от 1 (одного) дня до 3 (трех) месяцев, в зависимости от потребностей Фонда в наличных денежных средствах. На 31 декабря 2013 года средневзвешенная процентная ставка по срочным депозитам в банках составила 4,01% (2012: 0,77%).</w:t>
      </w:r>
    </w:p>
    <w:p>
      <w:pPr>
        <w:spacing w:after="0"/>
        <w:ind w:left="0"/>
        <w:jc w:val="both"/>
      </w:pPr>
      <w:r>
        <w:rPr>
          <w:rFonts w:ascii="Times New Roman"/>
          <w:b w:val="false"/>
          <w:i w:val="false"/>
          <w:color w:val="000000"/>
          <w:sz w:val="28"/>
        </w:rPr>
        <w:t>
      В общей сумме денежных средств Фонда на счетах в банках имеются средства, полученные из Республиканского бюджета и Национального Фонда по целевым программам Правительства. По состоянию на 31 декабря 2013 года данные денежные средства аккумулируются на счетах Национального Банка и составляют 85 миллиардов тенге (2012: 395 миллиардов тенге), в том числе:</w:t>
      </w:r>
    </w:p>
    <w:p>
      <w:pPr>
        <w:spacing w:after="0"/>
        <w:ind w:left="0"/>
        <w:jc w:val="both"/>
      </w:pPr>
      <w:r>
        <w:rPr>
          <w:rFonts w:ascii="Times New Roman"/>
          <w:b w:val="false"/>
          <w:i w:val="false"/>
          <w:color w:val="000000"/>
          <w:sz w:val="28"/>
        </w:rPr>
        <w:t>
      - 54 миллиарда тенге – средства Национального Фонда, полученные в рамках реализации Плана Стабилизации (2012: 247 миллиардов тенге);</w:t>
      </w:r>
    </w:p>
    <w:p>
      <w:pPr>
        <w:spacing w:after="0"/>
        <w:ind w:left="0"/>
        <w:jc w:val="both"/>
      </w:pPr>
      <w:r>
        <w:rPr>
          <w:rFonts w:ascii="Times New Roman"/>
          <w:b w:val="false"/>
          <w:i w:val="false"/>
          <w:color w:val="000000"/>
          <w:sz w:val="28"/>
        </w:rPr>
        <w:t>
      - 2 миллиарда тенге – средства, полученные из Республиканского бюджета в целях финансирования проектов, реализуемых Фондом (2012: 6 миллиардов тенге);</w:t>
      </w:r>
    </w:p>
    <w:p>
      <w:pPr>
        <w:spacing w:after="0"/>
        <w:ind w:left="0"/>
        <w:jc w:val="both"/>
      </w:pPr>
      <w:r>
        <w:rPr>
          <w:rFonts w:ascii="Times New Roman"/>
          <w:b w:val="false"/>
          <w:i w:val="false"/>
          <w:color w:val="000000"/>
          <w:sz w:val="28"/>
        </w:rPr>
        <w:t>
      - 29 миллиардов тенге – остаток денежных средств Фонда, необходимый для осуществления операционной и инвестиционной деятельности (2012: 142 миллиарда тенге).</w:t>
      </w:r>
    </w:p>
    <w:bookmarkStart w:name="z59" w:id="60"/>
    <w:p>
      <w:pPr>
        <w:spacing w:after="0"/>
        <w:ind w:left="0"/>
        <w:jc w:val="both"/>
      </w:pPr>
      <w:r>
        <w:rPr>
          <w:rFonts w:ascii="Times New Roman"/>
          <w:b w:val="false"/>
          <w:i w:val="false"/>
          <w:color w:val="000000"/>
          <w:sz w:val="28"/>
        </w:rPr>
        <w:t xml:space="preserve">
      </w:t>
      </w:r>
      <w:r>
        <w:rPr>
          <w:rFonts w:ascii="Times New Roman"/>
          <w:b/>
          <w:i w:val="false"/>
          <w:color w:val="000000"/>
          <w:sz w:val="28"/>
        </w:rPr>
        <w:t>13. КАПИТАЛ</w:t>
      </w:r>
    </w:p>
    <w:bookmarkEnd w:id="60"/>
    <w:p>
      <w:pPr>
        <w:spacing w:after="0"/>
        <w:ind w:left="0"/>
        <w:jc w:val="both"/>
      </w:pPr>
      <w:r>
        <w:rPr>
          <w:rFonts w:ascii="Times New Roman"/>
          <w:b w:val="false"/>
          <w:i w:val="false"/>
          <w:color w:val="000000"/>
          <w:sz w:val="28"/>
        </w:rPr>
        <w:t xml:space="preserve">
      </w:t>
      </w:r>
      <w:r>
        <w:rPr>
          <w:rFonts w:ascii="Times New Roman"/>
          <w:b w:val="false"/>
          <w:i/>
          <w:color w:val="000000"/>
          <w:sz w:val="28"/>
        </w:rPr>
        <w:t>Уставный капитал</w:t>
      </w:r>
    </w:p>
    <w:p>
      <w:pPr>
        <w:spacing w:after="0"/>
        <w:ind w:left="0"/>
        <w:jc w:val="both"/>
      </w:pPr>
      <w:r>
        <w:rPr>
          <w:rFonts w:ascii="Times New Roman"/>
          <w:b w:val="false"/>
          <w:i w:val="false"/>
          <w:color w:val="000000"/>
          <w:sz w:val="28"/>
        </w:rPr>
        <w:t>
      В течение 2013 и 2012 годов Фонд произвел эмиссии простых акций, оплата которых была осуществлена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735"/>
        <w:gridCol w:w="8081"/>
        <w:gridCol w:w="124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акций</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разрешенных к выпуску и выпущенных акций</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в тенге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 миллионах тенге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2011 года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3.480.637.455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государственными пакетами акций</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 46.000; 100.000; 282.174; 1.000.000; 23.156; 72.800; 80.000;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имуществом</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90.092; 93.549; 100.000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денежными средствами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2012 года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3.481.526.139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денежными средствами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901.000; 1.000.000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государственными пакетами акций</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1.000.000</w:t>
            </w:r>
          </w:p>
          <w:p>
            <w:pPr>
              <w:spacing w:after="20"/>
              <w:ind w:left="20"/>
              <w:jc w:val="both"/>
            </w:pPr>
            <w:r>
              <w:rPr>
                <w:rFonts w:ascii="Times New Roman"/>
                <w:b w:val="false"/>
                <w:i w:val="false"/>
                <w:color w:val="000000"/>
                <w:sz w:val="20"/>
              </w:rPr>
              <w:t>
422.451; 615.921;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имуществом</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2013 года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3.481.602.341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года 3.481.602.341 акций были полностью оплачены (2012: 3.481.526.139 акций).</w:t>
      </w:r>
    </w:p>
    <w:bookmarkStart w:name="z60" w:id="61"/>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6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2012-2014 годы" от 24 ноября 2011 года, в 2012 году Акционер осуществил денежный взнос в уставный капитал Фонда в сумме 12.000 миллионов тенге. Данные средства предназначены для финансирования проектов, осуществляемых дочерними организациями.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570 от 3 мая 2012 года, 28 июня 2012 года Фонду была передана 100% доля участия в КУДОСРП, справедливая стоимость которой на дату получения составила 300.070 миллионов тенге.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822 от 18 июля 2011 года, 19 апреля 2012 года Фонду был передан государственный пакет акций АО "Аркагаз", справедливая стоимость которого на дату получения составила 4.110 миллионов тенге.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543 от 28 апреля 2012 года, 20 декабря 2012 года Фонду был передан государственный пакет 100% акций в АО "Восточно-Казахстанская региональная энергетическая компания", справедливая стоимость которого на дату передачи составила 7.723 миллиона тенге. </w:t>
      </w:r>
    </w:p>
    <w:p>
      <w:pPr>
        <w:spacing w:after="0"/>
        <w:ind w:left="0"/>
        <w:jc w:val="both"/>
      </w:pPr>
      <w:r>
        <w:rPr>
          <w:rFonts w:ascii="Times New Roman"/>
          <w:b w:val="false"/>
          <w:i w:val="false"/>
          <w:color w:val="000000"/>
          <w:sz w:val="28"/>
        </w:rPr>
        <w:t xml:space="preserve">
      В 2012 году Акционер осуществил взнос в уставный капитал Фонда имуществом на общую сумму 35.028 миллионов тенге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 939 от 14 сентября 2010 года "О некоторых вопросах государственной собственности" и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 660 от 6 августа 2007 года "Отдельные вопросы энергоснабжения города Алматы и Алматинской области". </w:t>
      </w:r>
    </w:p>
    <w:bookmarkStart w:name="z61" w:id="62"/>
    <w:p>
      <w:pPr>
        <w:spacing w:after="0"/>
        <w:ind w:left="0"/>
        <w:jc w:val="both"/>
      </w:pPr>
      <w:r>
        <w:rPr>
          <w:rFonts w:ascii="Times New Roman"/>
          <w:b w:val="false"/>
          <w:i w:val="false"/>
          <w:color w:val="000000"/>
          <w:sz w:val="28"/>
        </w:rPr>
        <w:t xml:space="preserve">
      </w:t>
      </w:r>
      <w:r>
        <w:rPr>
          <w:rFonts w:ascii="Times New Roman"/>
          <w:b/>
          <w:i w:val="false"/>
          <w:color w:val="000000"/>
          <w:sz w:val="28"/>
        </w:rPr>
        <w:t>2013</w:t>
      </w:r>
    </w:p>
    <w:bookmarkEnd w:id="6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2013-2015 годы" от 23 ноября 2012 года № 54-V с учетом изменений в Законе Республики Казахстан "О республиканском бюджете на 2013-2015 годы" от 29 ноября 2013 года № 146-V, в 2013 году Акционер осуществил взнос в уставный капитал Фонда денежными средствами в размере 39.320 миллионов тенге. Данные средства предназначены для финансирования проектов, осуществляемых дочерними организациями Фонда (</w:t>
      </w:r>
      <w:r>
        <w:rPr>
          <w:rFonts w:ascii="Times New Roman"/>
          <w:b w:val="false"/>
          <w:i/>
          <w:color w:val="000000"/>
          <w:sz w:val="28"/>
        </w:rPr>
        <w:t>Примечание 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1539 от 4 декабря 2012 года, 18 июля 2013 года Фонду был передан 100% пакет акций в АО "Национальная Компания "Актауский международный морской торговый порт", справедливая стоимость которого на дату передачи составила 26.234 миллиона тенге (Примечание 5). </w:t>
      </w:r>
    </w:p>
    <w:p>
      <w:pPr>
        <w:spacing w:after="0"/>
        <w:ind w:left="0"/>
        <w:jc w:val="both"/>
      </w:pPr>
      <w:r>
        <w:rPr>
          <w:rFonts w:ascii="Times New Roman"/>
          <w:b w:val="false"/>
          <w:i w:val="false"/>
          <w:color w:val="000000"/>
          <w:sz w:val="28"/>
        </w:rPr>
        <w:t xml:space="preserve">
      В 2013 году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939 от 14 сентября 2010 года "О некоторых вопросах государственной собственности" Акционер осуществил взнос в уставный капитал Фонда имуществом на общую сумму 9.808 миллионов тенге (</w:t>
      </w:r>
      <w:r>
        <w:rPr>
          <w:rFonts w:ascii="Times New Roman"/>
          <w:b w:val="false"/>
          <w:i/>
          <w:color w:val="000000"/>
          <w:sz w:val="28"/>
        </w:rPr>
        <w:t>Примечание 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Операции с Акционером</w:t>
      </w:r>
    </w:p>
    <w:p>
      <w:pPr>
        <w:spacing w:after="0"/>
        <w:ind w:left="0"/>
        <w:jc w:val="both"/>
      </w:pPr>
      <w:r>
        <w:rPr>
          <w:rFonts w:ascii="Times New Roman"/>
          <w:b w:val="false"/>
          <w:i w:val="false"/>
          <w:color w:val="000000"/>
          <w:sz w:val="28"/>
        </w:rPr>
        <w:t xml:space="preserve">
      В соответствии с постановлением Правительства и договором мены, заключенным между Фондом и Комитетом государственного имущества и приватизации Министерства финансов Республики Казахстан в 2013 году, Фонд передал в республиканскую собственность пакеты акций и доли участия дочерних организаций (АО "Банк Развития Казахстана", АО "Kazyna Capital Management", АО "Экспортно-кредитная страховая корпорация "КазЭкспортГарант", АО "Фонд развития предпринимательства "Даму", АО "Инвестиционный Фонд Казахстана", ТОО "СК-Фармация", АО "Национальная геологоразведочная компания "Казгеология"). Передача пакетов акций и долей участия была осуществлена в соответствии поручениями, предусмотренными протоколом совещания с участием Президента Республики Казахстан от 23 января 2013 года № 01-7.1 "Об итогах социально-экономического развития Республики Казахстан за 2012 год и задачах по реализации </w:t>
      </w:r>
      <w:r>
        <w:rPr>
          <w:rFonts w:ascii="Times New Roman"/>
          <w:b w:val="false"/>
          <w:i w:val="false"/>
          <w:color w:val="000000"/>
          <w:sz w:val="28"/>
        </w:rPr>
        <w:t>Стратегии</w:t>
      </w:r>
      <w:r>
        <w:rPr>
          <w:rFonts w:ascii="Times New Roman"/>
          <w:b w:val="false"/>
          <w:i w:val="false"/>
          <w:color w:val="000000"/>
          <w:sz w:val="28"/>
        </w:rPr>
        <w:t xml:space="preserve"> "Казахстан-2050" (</w:t>
      </w:r>
      <w:r>
        <w:rPr>
          <w:rFonts w:ascii="Times New Roman"/>
          <w:b w:val="false"/>
          <w:i/>
          <w:color w:val="000000"/>
          <w:sz w:val="28"/>
        </w:rPr>
        <w:t>Примечание 5</w:t>
      </w:r>
      <w:r>
        <w:rPr>
          <w:rFonts w:ascii="Times New Roman"/>
          <w:b w:val="false"/>
          <w:i w:val="false"/>
          <w:color w:val="000000"/>
          <w:sz w:val="28"/>
        </w:rPr>
        <w:t>).</w:t>
      </w:r>
    </w:p>
    <w:p>
      <w:pPr>
        <w:spacing w:after="0"/>
        <w:ind w:left="0"/>
        <w:jc w:val="both"/>
      </w:pPr>
      <w:r>
        <w:rPr>
          <w:rFonts w:ascii="Times New Roman"/>
          <w:b w:val="false"/>
          <w:i w:val="false"/>
          <w:color w:val="000000"/>
          <w:sz w:val="28"/>
        </w:rPr>
        <w:t>
      Балансовая стоимость данных инвестиций в дочерние организации на дату выбытия составляла 411.568 миллионов тенге.</w:t>
      </w:r>
    </w:p>
    <w:p>
      <w:pPr>
        <w:spacing w:after="0"/>
        <w:ind w:left="0"/>
        <w:jc w:val="both"/>
      </w:pPr>
      <w:r>
        <w:rPr>
          <w:rFonts w:ascii="Times New Roman"/>
          <w:b w:val="false"/>
          <w:i w:val="false"/>
          <w:color w:val="000000"/>
          <w:sz w:val="28"/>
        </w:rPr>
        <w:t>
      Кроме этого в соответствии с прочими договорами мены, заключенным между Акционером и Фондом в 2010 и 2011 годах, в 2013 году Акционер передал Фонду имущество со справедливой стоимостью 426 миллионов тенге (2012: 1.630 миллионов тенге).</w:t>
      </w:r>
    </w:p>
    <w:p>
      <w:pPr>
        <w:spacing w:after="0"/>
        <w:ind w:left="0"/>
        <w:jc w:val="both"/>
      </w:pPr>
      <w:r>
        <w:rPr>
          <w:rFonts w:ascii="Times New Roman"/>
          <w:b w:val="false"/>
          <w:i w:val="false"/>
          <w:color w:val="000000"/>
          <w:sz w:val="28"/>
        </w:rPr>
        <w:t>
      В 2013 году, в результате вышеуказанных операций, Фонд признал Операции с Акционером на общую сумму 411.142 миллиона тенге непосредственно в отдельном отчете об изменениях в капитале (2012: 1.630 миллионов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распределения Акционеру</w:t>
      </w:r>
    </w:p>
    <w:p>
      <w:pPr>
        <w:spacing w:after="0"/>
        <w:ind w:left="0"/>
        <w:jc w:val="both"/>
      </w:pPr>
      <w:r>
        <w:rPr>
          <w:rFonts w:ascii="Times New Roman"/>
          <w:b w:val="false"/>
          <w:i w:val="false"/>
          <w:color w:val="000000"/>
          <w:sz w:val="28"/>
        </w:rPr>
        <w:t>
      6 июня 2013 года Фонд осуществил безвозмездную передачу всех, имеющихся во владении Фонда, простых акций Kazakhmys Plc (58.876.793 акции) в республиканскую собственность путем их передачи Комитету государственного имущества и приватизации Министерства финансов Республики Казахстан (</w:t>
      </w:r>
      <w:r>
        <w:rPr>
          <w:rFonts w:ascii="Times New Roman"/>
          <w:b w:val="false"/>
          <w:i/>
          <w:color w:val="000000"/>
          <w:sz w:val="28"/>
        </w:rPr>
        <w:t>Примечание 9</w:t>
      </w:r>
      <w:r>
        <w:rPr>
          <w:rFonts w:ascii="Times New Roman"/>
          <w:b w:val="false"/>
          <w:i w:val="false"/>
          <w:color w:val="000000"/>
          <w:sz w:val="28"/>
        </w:rPr>
        <w:t>). Выбытие данных финансовых активов было отражено как распределение Акционеру в размере 111.925 миллионов тенге в отдельном отчете об изменениях в капитале.</w:t>
      </w:r>
    </w:p>
    <w:p>
      <w:pPr>
        <w:spacing w:after="0"/>
        <w:ind w:left="0"/>
        <w:jc w:val="both"/>
      </w:pPr>
      <w:r>
        <w:rPr>
          <w:rFonts w:ascii="Times New Roman"/>
          <w:b w:val="false"/>
          <w:i w:val="false"/>
          <w:color w:val="000000"/>
          <w:sz w:val="28"/>
        </w:rPr>
        <w:t>
      В 2013 году в соответствии с распоряжениями Акционера, Фонд осуществил финансирование различных социальных проектов на общую сумму 8.008 миллионов тенге (2012 год: 9.126 миллионов тенге). Данное финансирование было признано как распределение Акционеру в отдельном отчете об изменениях в капитале.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 Акционеру</w:t>
      </w:r>
    </w:p>
    <w:p>
      <w:pPr>
        <w:spacing w:after="0"/>
        <w:ind w:left="0"/>
        <w:jc w:val="both"/>
      </w:pPr>
      <w:r>
        <w:rPr>
          <w:rFonts w:ascii="Times New Roman"/>
          <w:b w:val="false"/>
          <w:i w:val="false"/>
          <w:color w:val="000000"/>
          <w:sz w:val="28"/>
        </w:rPr>
        <w:t xml:space="preserve">
      16 октября 2013 года Фонд осуществил выплату дивидендов Акционеру в размере 9.077 миллионов тенге по итогам 2012 года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 1060 от 5 октября 2013 года (2012 год: 159.113 миллионов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Балансовая стоимость акций</w:t>
      </w:r>
    </w:p>
    <w:p>
      <w:pPr>
        <w:spacing w:after="0"/>
        <w:ind w:left="0"/>
        <w:jc w:val="both"/>
      </w:pPr>
      <w:r>
        <w:rPr>
          <w:rFonts w:ascii="Times New Roman"/>
          <w:b w:val="false"/>
          <w:i w:val="false"/>
          <w:color w:val="000000"/>
          <w:sz w:val="28"/>
        </w:rPr>
        <w:t>
      В соответствии с решением Биржевого совета АО "Казахстанская фондовая биржа" от 4 октября 2010 года, финансовая отчетность должна содержать данные о балансовой стоимости одной акции (простой и привилегированной) на отчетную дату, рассчитанной в соответствии с утвержденными КФБ правилами.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5059"/>
        <w:gridCol w:w="5059"/>
      </w:tblGrid>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5.453.393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(1.599.419)</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(1.602.663)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для простых акций</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3.509.984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3.849.799</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простых акций на 31 декабря</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3.481.602.341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3.481.526.139</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одной простой акции, тенге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bl>
    <w:p>
      <w:pPr>
        <w:spacing w:after="0"/>
        <w:ind w:left="0"/>
        <w:jc w:val="left"/>
      </w:pPr>
      <w:r>
        <w:br/>
      </w:r>
      <w:r>
        <w:rPr>
          <w:rFonts w:ascii="Times New Roman"/>
          <w:b w:val="false"/>
          <w:i w:val="false"/>
          <w:color w:val="000000"/>
          <w:sz w:val="28"/>
        </w:rPr>
        <w:t>
</w:t>
      </w:r>
    </w:p>
    <w:bookmarkStart w:name="z62" w:id="63"/>
    <w:p>
      <w:pPr>
        <w:spacing w:after="0"/>
        <w:ind w:left="0"/>
        <w:jc w:val="both"/>
      </w:pPr>
      <w:r>
        <w:rPr>
          <w:rFonts w:ascii="Times New Roman"/>
          <w:b w:val="false"/>
          <w:i w:val="false"/>
          <w:color w:val="000000"/>
          <w:sz w:val="28"/>
        </w:rPr>
        <w:t xml:space="preserve">
      </w:t>
      </w:r>
      <w:r>
        <w:rPr>
          <w:rFonts w:ascii="Times New Roman"/>
          <w:b/>
          <w:i w:val="false"/>
          <w:color w:val="000000"/>
          <w:sz w:val="28"/>
        </w:rPr>
        <w:t>14. ЗАЙМЫ</w:t>
      </w:r>
    </w:p>
    <w:bookmarkEnd w:id="63"/>
    <w:p>
      <w:pPr>
        <w:spacing w:after="0"/>
        <w:ind w:left="0"/>
        <w:jc w:val="both"/>
      </w:pPr>
      <w:r>
        <w:rPr>
          <w:rFonts w:ascii="Times New Roman"/>
          <w:b w:val="false"/>
          <w:i w:val="false"/>
          <w:color w:val="000000"/>
          <w:sz w:val="28"/>
        </w:rPr>
        <w:t>
      На 31 декабря займы, в том числе начисленное вознаграждение,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1"/>
        <w:gridCol w:w="4344"/>
        <w:gridCol w:w="4345"/>
      </w:tblGrid>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приобретенные дочерними организациями: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 "БТА Банк"</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652.978</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 "Альянс Банк"</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106.820</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106.260</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 "Национальная Компания "КазМунайГаз"</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 "Темiрбанк"</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 "Самрук-Энерго"</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приобретенные прочими организациями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150.440</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403.524</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422.445</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займов</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1.362.690</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1.376.771</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суммы, подлежащей погашению в течение 12 месяцев</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(81.764)</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погашению после 12 месяцев</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1.255.978</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займы, в том числе начисленное вознаграждение, были выражены в следующих валютах: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176"/>
        <w:gridCol w:w="5177"/>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выраженные в тенге</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959.166</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954.326</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выраженные в долларах США</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403.524</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422.445</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1.362.690</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1.376.771</w:t>
            </w:r>
          </w:p>
        </w:tc>
      </w:tr>
    </w:tbl>
    <w:p>
      <w:pPr>
        <w:spacing w:after="0"/>
        <w:ind w:left="0"/>
        <w:jc w:val="left"/>
      </w:pPr>
      <w:r>
        <w:br/>
      </w:r>
      <w:r>
        <w:rPr>
          <w:rFonts w:ascii="Times New Roman"/>
          <w:b w:val="false"/>
          <w:i w:val="false"/>
          <w:color w:val="000000"/>
          <w:sz w:val="28"/>
        </w:rPr>
        <w:t>
</w:t>
      </w:r>
    </w:p>
    <w:bookmarkStart w:name="z63" w:id="64"/>
    <w:p>
      <w:pPr>
        <w:spacing w:after="0"/>
        <w:ind w:left="0"/>
        <w:jc w:val="both"/>
      </w:pPr>
      <w:r>
        <w:rPr>
          <w:rFonts w:ascii="Times New Roman"/>
          <w:b w:val="false"/>
          <w:i w:val="false"/>
          <w:color w:val="000000"/>
          <w:sz w:val="28"/>
        </w:rPr>
        <w:t xml:space="preserve">
      </w:t>
      </w:r>
      <w:r>
        <w:rPr>
          <w:rFonts w:ascii="Times New Roman"/>
          <w:b/>
          <w:i w:val="false"/>
          <w:color w:val="000000"/>
          <w:sz w:val="28"/>
        </w:rPr>
        <w:t>Облигации выпущенные</w:t>
      </w:r>
    </w:p>
    <w:bookmarkEnd w:id="64"/>
    <w:p>
      <w:pPr>
        <w:spacing w:after="0"/>
        <w:ind w:left="0"/>
        <w:jc w:val="both"/>
      </w:pPr>
      <w:r>
        <w:rPr>
          <w:rFonts w:ascii="Times New Roman"/>
          <w:b w:val="false"/>
          <w:i w:val="false"/>
          <w:color w:val="000000"/>
          <w:sz w:val="28"/>
        </w:rPr>
        <w:t>
      В 2013 году АО "Банк Развития Казахстана" приобрел облигации Фонда на общую сумму 21.600 миллионов тенге. Облигации имеют срок погашения 50 лет со ставкой купона 0,01% годовых. При первоначальном признании облигации были оценены по справедливой стоимости, составляющей 648 миллионов тенге, с использованием соответствующей рыночной процентной ставки. Продажа произошла одновременно с приобретением облигаций АО "Банк Развития Казахстана" за аналогичное возмещение на аналогичных условиях.</w:t>
      </w:r>
    </w:p>
    <w:p>
      <w:pPr>
        <w:spacing w:after="0"/>
        <w:ind w:left="0"/>
        <w:jc w:val="both"/>
      </w:pPr>
      <w:r>
        <w:rPr>
          <w:rFonts w:ascii="Times New Roman"/>
          <w:b w:val="false"/>
          <w:i w:val="false"/>
          <w:color w:val="000000"/>
          <w:sz w:val="28"/>
        </w:rPr>
        <w:t>
      В 2012 году в соответствии с изменениями в проспекте по ранее выпущенным облигациям Фонда, приобретенным БТА и Альянс Банк, ставка купона была увеличена с 4% до 6%. В соответствии с МСФО 39, Фонд списал ранее отраженные облигации с общей балансовой стоимостью 612.267 миллионов тенге и признал новые облигации по справедливой стоимости 750.000 миллионов тенге. Разница в сумме 137.733 миллиона тенге была признана как увеличение инвестиций в данные дочерние организации.</w:t>
      </w:r>
    </w:p>
    <w:bookmarkStart w:name="z64" w:id="65"/>
    <w:p>
      <w:pPr>
        <w:spacing w:after="0"/>
        <w:ind w:left="0"/>
        <w:jc w:val="both"/>
      </w:pPr>
      <w:r>
        <w:rPr>
          <w:rFonts w:ascii="Times New Roman"/>
          <w:b w:val="false"/>
          <w:i w:val="false"/>
          <w:color w:val="000000"/>
          <w:sz w:val="28"/>
        </w:rPr>
        <w:t xml:space="preserve">
      </w:t>
      </w:r>
      <w:r>
        <w:rPr>
          <w:rFonts w:ascii="Times New Roman"/>
          <w:b/>
          <w:i w:val="false"/>
          <w:color w:val="000000"/>
          <w:sz w:val="28"/>
        </w:rPr>
        <w:t>Займы полученные</w:t>
      </w:r>
    </w:p>
    <w:bookmarkEnd w:id="65"/>
    <w:p>
      <w:pPr>
        <w:spacing w:after="0"/>
        <w:ind w:left="0"/>
        <w:jc w:val="both"/>
      </w:pPr>
      <w:r>
        <w:rPr>
          <w:rFonts w:ascii="Times New Roman"/>
          <w:b w:val="false"/>
          <w:i w:val="false"/>
          <w:color w:val="000000"/>
          <w:sz w:val="28"/>
        </w:rPr>
        <w:t xml:space="preserve">
      </w:t>
      </w:r>
      <w:r>
        <w:rPr>
          <w:rFonts w:ascii="Times New Roman"/>
          <w:b w:val="false"/>
          <w:i/>
          <w:color w:val="000000"/>
          <w:sz w:val="28"/>
        </w:rPr>
        <w:t>Кредитная линия Государственного Банка Развития Китая</w:t>
      </w:r>
    </w:p>
    <w:p>
      <w:pPr>
        <w:spacing w:after="0"/>
        <w:ind w:left="0"/>
        <w:jc w:val="both"/>
      </w:pPr>
      <w:r>
        <w:rPr>
          <w:rFonts w:ascii="Times New Roman"/>
          <w:b w:val="false"/>
          <w:i w:val="false"/>
          <w:color w:val="000000"/>
          <w:sz w:val="28"/>
        </w:rPr>
        <w:t>
      22 июня 2009 года между Фондом, Государственным Банком Развития Китая и Банком Развития Казахстана, выступающим в качестве оператора, было подписано Рамочное финансовое соглашение на открытие кредитной линии на сумму 3 миллиарда долларов США. В соответствии с данным соглашением Государственный Банк Развития Китая предоставляет Фонду долгосрочные займы в долларах США на общую сумму до 3 миллиардов долларов США с процентной ставкой равной шестимесячному ЛИБОР плюс 4,3%. Займы направляются на поддержку и развитие промышленного производства и прочих отраслей экономики между Китаем и Казахстаном. В рамках данной кредитной линии в 2013 году Фонд получил транш на сумму 200 миллионов долларов США, что эквивалентно 30.144 миллионам тенге на дату получения (2012: 1.200 миллионов долларов США и 179.305 миллионам тенге, соответственно). Полученный транш в 2013 году предназначен для предоставления займа Kazakhmys Finance Plc для разработки медного месторождения Жомарт (</w:t>
      </w:r>
      <w:r>
        <w:rPr>
          <w:rFonts w:ascii="Times New Roman"/>
          <w:b w:val="false"/>
          <w:i/>
          <w:color w:val="000000"/>
          <w:sz w:val="28"/>
        </w:rPr>
        <w:t>Примечание 7</w:t>
      </w:r>
      <w:r>
        <w:rPr>
          <w:rFonts w:ascii="Times New Roman"/>
          <w:b w:val="false"/>
          <w:i w:val="false"/>
          <w:color w:val="000000"/>
          <w:sz w:val="28"/>
        </w:rPr>
        <w:t>). По состоянию на 31 декабря 2013 года общая текущая стоимость задолженности перед Государственным Банком Развития Китая в рамках данной кредитной линии составила 403.524 миллиона тенге (2012: 422.445 миллионов тенге).</w:t>
      </w:r>
    </w:p>
    <w:bookmarkStart w:name="z65" w:id="66"/>
    <w:p>
      <w:pPr>
        <w:spacing w:after="0"/>
        <w:ind w:left="0"/>
        <w:jc w:val="both"/>
      </w:pPr>
      <w:r>
        <w:rPr>
          <w:rFonts w:ascii="Times New Roman"/>
          <w:b w:val="false"/>
          <w:i w:val="false"/>
          <w:color w:val="000000"/>
          <w:sz w:val="28"/>
        </w:rPr>
        <w:t xml:space="preserve">
      </w:t>
      </w:r>
      <w:r>
        <w:rPr>
          <w:rFonts w:ascii="Times New Roman"/>
          <w:b/>
          <w:i w:val="false"/>
          <w:color w:val="000000"/>
          <w:sz w:val="28"/>
        </w:rPr>
        <w:t>15. СРЕДСТВА ПРАВИТЕЛЬСТВА</w:t>
      </w:r>
    </w:p>
    <w:bookmarkEnd w:id="66"/>
    <w:p>
      <w:pPr>
        <w:spacing w:after="0"/>
        <w:ind w:left="0"/>
        <w:jc w:val="both"/>
      </w:pPr>
      <w:r>
        <w:rPr>
          <w:rFonts w:ascii="Times New Roman"/>
          <w:b w:val="false"/>
          <w:i w:val="false"/>
          <w:color w:val="000000"/>
          <w:sz w:val="28"/>
        </w:rPr>
        <w:t>
      На 31 декабря средства Правительства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4455"/>
        <w:gridCol w:w="4455"/>
      </w:tblGrid>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Облигации, выкупленные Национальным Банком Республики Казахстан за счет средств Национального Фонда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63.056</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выкупленные Национальным Банком Республики Казахстан</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59.867</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полученные от Правительства</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66.378</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63.639</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средств Правительства</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197.547</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185.902</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185.704</w:t>
            </w:r>
          </w:p>
        </w:tc>
      </w:tr>
    </w:tbl>
    <w:p>
      <w:pPr>
        <w:spacing w:after="0"/>
        <w:ind w:left="0"/>
        <w:jc w:val="left"/>
      </w:pP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xml:space="preserve">
      </w:t>
      </w:r>
      <w:r>
        <w:rPr>
          <w:rFonts w:ascii="Times New Roman"/>
          <w:b/>
          <w:i w:val="false"/>
          <w:color w:val="000000"/>
          <w:sz w:val="28"/>
        </w:rPr>
        <w:t>2013</w:t>
      </w:r>
    </w:p>
    <w:bookmarkEnd w:id="67"/>
    <w:p>
      <w:pPr>
        <w:spacing w:after="0"/>
        <w:ind w:left="0"/>
        <w:jc w:val="both"/>
      </w:pPr>
      <w:r>
        <w:rPr>
          <w:rFonts w:ascii="Times New Roman"/>
          <w:b w:val="false"/>
          <w:i w:val="false"/>
          <w:color w:val="000000"/>
          <w:sz w:val="28"/>
        </w:rPr>
        <w:t xml:space="preserve">
      В январе 2013 года Фонд разместил 255.000.000 купонных облигаций, номинальной стоимостью 1.000 тенге за облигацию на общую сумму 255.000 миллионов тенге со сроком обращения облигаций 50 лет и купонным вознаграждением в размере 0,01% годовых. Все облигации были выкуплены Национальным Банком Республики Казахстан за счет средств Национального Фонда Республики Казахстан на праве доверительного управления. Данные облигации были первоначально отражены по справедливой стоимости, рассчитанной с использованием рыночных процентных ставок, применимых для Фонда на дату выпуска облигаций и впоследствии учитываются по амортизированной стоимости. Разница между номинальной стоимостью облигаций и их справедливой стоимостью в размере 249.828 миллионов тенге была признана в отдельном отчете об изменениях в капитале. </w:t>
      </w:r>
    </w:p>
    <w:p>
      <w:pPr>
        <w:spacing w:after="0"/>
        <w:ind w:left="0"/>
        <w:jc w:val="both"/>
      </w:pPr>
      <w:r>
        <w:rPr>
          <w:rFonts w:ascii="Times New Roman"/>
          <w:b w:val="false"/>
          <w:i w:val="false"/>
          <w:color w:val="000000"/>
          <w:sz w:val="28"/>
        </w:rPr>
        <w:t>
      Средства, полученные от реализации данных облигаций, использованы для приобретения 29,8221% доли участия в ТОО "Казцинк" (</w:t>
      </w:r>
      <w:r>
        <w:rPr>
          <w:rFonts w:ascii="Times New Roman"/>
          <w:b w:val="false"/>
          <w:i/>
          <w:color w:val="000000"/>
          <w:sz w:val="28"/>
        </w:rPr>
        <w:t>Примечание 5</w:t>
      </w:r>
      <w:r>
        <w:rPr>
          <w:rFonts w:ascii="Times New Roman"/>
          <w:b w:val="false"/>
          <w:i w:val="false"/>
          <w:color w:val="000000"/>
          <w:sz w:val="28"/>
        </w:rPr>
        <w:t>).</w:t>
      </w:r>
    </w:p>
    <w:bookmarkStart w:name="z67" w:id="68"/>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68"/>
    <w:p>
      <w:pPr>
        <w:spacing w:after="0"/>
        <w:ind w:left="0"/>
        <w:jc w:val="both"/>
      </w:pPr>
      <w:r>
        <w:rPr>
          <w:rFonts w:ascii="Times New Roman"/>
          <w:b w:val="false"/>
          <w:i w:val="false"/>
          <w:color w:val="000000"/>
          <w:sz w:val="28"/>
        </w:rPr>
        <w:t xml:space="preserve">
      В 2012 году Фонд разместил 73.000.000 и 70.196.000 купонных облигаций, номинальной стоимостью 1.000 тенге за облигацию на общую сумму 73.000 миллионов тенге и 70.196 миллионов тенге, соответственно. Срок обращения облигаций составляет 50 лет и 12 лет, купонное вознаграждение в размере 0,01% годовых и 4% годовых, частота выплат – два раза в год. Данные облигации были выкуплены Национальным Банком Республики Казахстан, из которых облигации на сумму 73.000 миллиона тенге были выкуплены за счет средств Национального Фонда Республики Казахстан на праве доверительного управления. Все облигации были первоначально отражены по справедливой стоимости, рассчитанной с использованием рыночных процентных ставок, применимых для Фонда на даты выпуска облигаций и впоследствии учитываются по амортизированной стоимости. Разница между номинальной стоимостью займов и их справедливой стоимостью в размере 82.646 миллионов тенге была признана в отдельном отчете об изменениях в капитале. </w:t>
      </w:r>
    </w:p>
    <w:p>
      <w:pPr>
        <w:spacing w:after="0"/>
        <w:ind w:left="0"/>
        <w:jc w:val="both"/>
      </w:pPr>
      <w:r>
        <w:rPr>
          <w:rFonts w:ascii="Times New Roman"/>
          <w:b w:val="false"/>
          <w:i w:val="false"/>
          <w:color w:val="000000"/>
          <w:sz w:val="28"/>
        </w:rPr>
        <w:t>
      Средства, полученные от реализации данных облигаций, использованы для предоставления займа БТА в рамках реструктуризации его обязательств (</w:t>
      </w:r>
      <w:r>
        <w:rPr>
          <w:rFonts w:ascii="Times New Roman"/>
          <w:b w:val="false"/>
          <w:i/>
          <w:color w:val="000000"/>
          <w:sz w:val="28"/>
        </w:rPr>
        <w:t>Примечание 8</w:t>
      </w:r>
      <w:r>
        <w:rPr>
          <w:rFonts w:ascii="Times New Roman"/>
          <w:b w:val="false"/>
          <w:i w:val="false"/>
          <w:color w:val="000000"/>
          <w:sz w:val="28"/>
        </w:rPr>
        <w:t>).</w:t>
      </w:r>
    </w:p>
    <w:p>
      <w:pPr>
        <w:spacing w:after="0"/>
        <w:ind w:left="0"/>
        <w:jc w:val="both"/>
      </w:pPr>
      <w:r>
        <w:rPr>
          <w:rFonts w:ascii="Times New Roman"/>
          <w:b w:val="false"/>
          <w:i w:val="false"/>
          <w:color w:val="000000"/>
          <w:sz w:val="28"/>
        </w:rPr>
        <w:t>
      В 2012 году были зарегистрированы изменения и дополнения в проспекты по облигациям с номинальной стоимостью 850 миллиардов тенге, размещенным Фондом в 2009 и 2010 годах. В соответствии с данными изменениями сроки обращения по данным облигациям были продлены до 2062 года и ставки вознаграждения были снижены до 0,01%. Изменения в проспекте привели к значительным изменениям в первоначальных условиях размещения облигаций, и, соответственно, к прекращению признания первоначального обязательства и признанию нового обязательства в соответствии с МСБУ 39. Разница между справедливой стоимостью нового обязательства и балансовой стоимостью первоначального обязательства на дату внесения изменений, в размере 304.650 миллионов тенге была признана в отдельном отчете об изменениях в капитале.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2012-2014 годы" от 24 ноября 2011 года, 13 августа 2012 года и 22 ноября 2012 года Фонд получил займы от Министерства финансов Республики Казахстан. Общая сумма займов составила 15.285 миллионов с процентными ставками от 0,15% до 0,5%. Займы были получены на срок от 10 до 25 лет и имеют следующие целевые назначения:</w:t>
      </w:r>
    </w:p>
    <w:p>
      <w:pPr>
        <w:spacing w:after="0"/>
        <w:ind w:left="0"/>
        <w:jc w:val="both"/>
      </w:pPr>
      <w:r>
        <w:rPr>
          <w:rFonts w:ascii="Times New Roman"/>
          <w:b w:val="false"/>
          <w:i w:val="false"/>
          <w:color w:val="000000"/>
          <w:sz w:val="28"/>
        </w:rPr>
        <w:t>
      - предоставление займа АО "Национальная Компания "Казақстан Темір Жолы" в размере 2.155 миллионов тенге. Ставка вознаграждения по данному займу не должна превышать 0,75% годовых.</w:t>
      </w:r>
    </w:p>
    <w:p>
      <w:pPr>
        <w:spacing w:after="0"/>
        <w:ind w:left="0"/>
        <w:jc w:val="both"/>
      </w:pPr>
      <w:r>
        <w:rPr>
          <w:rFonts w:ascii="Times New Roman"/>
          <w:b w:val="false"/>
          <w:i w:val="false"/>
          <w:color w:val="000000"/>
          <w:sz w:val="28"/>
        </w:rPr>
        <w:t>
      - предоставление займа АО "Досжан темир жолы" в размере 3.130 миллионов тенге. Ставка вознаграждения по данному займу не должна превышать 0,5% годовых.</w:t>
      </w:r>
    </w:p>
    <w:p>
      <w:pPr>
        <w:spacing w:after="0"/>
        <w:ind w:left="0"/>
        <w:jc w:val="both"/>
      </w:pPr>
      <w:r>
        <w:rPr>
          <w:rFonts w:ascii="Times New Roman"/>
          <w:b w:val="false"/>
          <w:i w:val="false"/>
          <w:color w:val="000000"/>
          <w:sz w:val="28"/>
        </w:rPr>
        <w:t>
      - предоставление займа АО "Банк Развития Казахстана" в размере 10.000 миллионов тенге. Ставка вознаграждения по данному займу не должна превышать 0,2% годовых.</w:t>
      </w:r>
    </w:p>
    <w:p>
      <w:pPr>
        <w:spacing w:after="0"/>
        <w:ind w:left="0"/>
        <w:jc w:val="both"/>
      </w:pPr>
      <w:r>
        <w:rPr>
          <w:rFonts w:ascii="Times New Roman"/>
          <w:b w:val="false"/>
          <w:i w:val="false"/>
          <w:color w:val="000000"/>
          <w:sz w:val="28"/>
        </w:rPr>
        <w:t>
      При первоначальном признании данные займы были оценены по справедливой стоимости, составляющей 8.314 миллионов тенге, с использованием соответствующей рыночной ставки вознаграждения и впоследствии учитываются по амортизированной стоимости. Разница между номинальной стоимостью займов и их справедливой стоимостью в размере 6.971 миллионов тенге была признана в отдельном отчете об изменениях в капитале.</w:t>
      </w:r>
    </w:p>
    <w:bookmarkStart w:name="z68" w:id="69"/>
    <w:p>
      <w:pPr>
        <w:spacing w:after="0"/>
        <w:ind w:left="0"/>
        <w:jc w:val="both"/>
      </w:pPr>
      <w:r>
        <w:rPr>
          <w:rFonts w:ascii="Times New Roman"/>
          <w:b w:val="false"/>
          <w:i w:val="false"/>
          <w:color w:val="000000"/>
          <w:sz w:val="28"/>
        </w:rPr>
        <w:t xml:space="preserve">
      </w:t>
      </w:r>
      <w:r>
        <w:rPr>
          <w:rFonts w:ascii="Times New Roman"/>
          <w:b/>
          <w:i w:val="false"/>
          <w:color w:val="000000"/>
          <w:sz w:val="28"/>
        </w:rPr>
        <w:t>16. ОБЯЗАТЕЛЬСТВА ПО ФИНАНСОВЫМ ГАРАНТИЯМ</w:t>
      </w:r>
    </w:p>
    <w:bookmarkEnd w:id="69"/>
    <w:p>
      <w:pPr>
        <w:spacing w:after="0"/>
        <w:ind w:left="0"/>
        <w:jc w:val="both"/>
      </w:pPr>
      <w:r>
        <w:rPr>
          <w:rFonts w:ascii="Times New Roman"/>
          <w:b w:val="false"/>
          <w:i w:val="false"/>
          <w:color w:val="000000"/>
          <w:sz w:val="28"/>
        </w:rPr>
        <w:t>
      Изменения в обязательствах по финансовым гарантиям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4780"/>
        <w:gridCol w:w="4780"/>
      </w:tblGrid>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выданные в течение года</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обязательств по финансовым гарантиям</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изменения обменных курсов</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37.145</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30.725</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Обязательства по финансовым гарантиям представляют собой обязательства Фонда по гарантиям, выданным финансовым учреждениям для финансирования деятельности и существенных контрактов своих дочерних организаций (</w:t>
      </w:r>
      <w:r>
        <w:rPr>
          <w:rFonts w:ascii="Times New Roman"/>
          <w:b w:val="false"/>
          <w:i/>
          <w:color w:val="000000"/>
          <w:sz w:val="28"/>
        </w:rPr>
        <w:t>Примечание</w:t>
      </w:r>
      <w:r>
        <w:rPr>
          <w:rFonts w:ascii="Times New Roman"/>
          <w:b w:val="false"/>
          <w:i w:val="false"/>
          <w:color w:val="000000"/>
          <w:sz w:val="28"/>
        </w:rPr>
        <w:t xml:space="preserve"> 5). Основная часть договоров гарантий заключена на условии отсутствия компенсации Фонду. Общая гарантированная сумма задолженности на 31 декабря 2013 года составляет 2.658 миллионов долларов США, 13.703 миллиона тенге и 2.485 миллионов российских рублей (2012: 3.261 миллион долларов США, 10.613 миллионов тенге и 2.130 миллионов российских рублей, соответственно).</w:t>
      </w:r>
    </w:p>
    <w:bookmarkStart w:name="z69" w:id="70"/>
    <w:p>
      <w:pPr>
        <w:spacing w:after="0"/>
        <w:ind w:left="0"/>
        <w:jc w:val="both"/>
      </w:pPr>
      <w:r>
        <w:rPr>
          <w:rFonts w:ascii="Times New Roman"/>
          <w:b w:val="false"/>
          <w:i w:val="false"/>
          <w:color w:val="000000"/>
          <w:sz w:val="28"/>
        </w:rPr>
        <w:t xml:space="preserve">
      </w:t>
      </w:r>
      <w:r>
        <w:rPr>
          <w:rFonts w:ascii="Times New Roman"/>
          <w:b/>
          <w:i w:val="false"/>
          <w:color w:val="000000"/>
          <w:sz w:val="28"/>
        </w:rPr>
        <w:t>17. ПРОЦЕНТНЫЕ ДОХОДЫ</w:t>
      </w:r>
    </w:p>
    <w:bookmarkEnd w:id="70"/>
    <w:p>
      <w:pPr>
        <w:spacing w:after="0"/>
        <w:ind w:left="0"/>
        <w:jc w:val="both"/>
      </w:pPr>
      <w:r>
        <w:rPr>
          <w:rFonts w:ascii="Times New Roman"/>
          <w:b w:val="false"/>
          <w:i w:val="false"/>
          <w:color w:val="000000"/>
          <w:sz w:val="28"/>
        </w:rPr>
        <w:t>
      Процентные доходы за годы, закончившиеся 31 декабря, включают: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5030"/>
        <w:gridCol w:w="5030"/>
      </w:tblGrid>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займам</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47.456</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дисконта по займам выданным</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облигациям</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83.659</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61.510</w:t>
            </w:r>
          </w:p>
        </w:tc>
      </w:tr>
    </w:tbl>
    <w:p>
      <w:pPr>
        <w:spacing w:after="0"/>
        <w:ind w:left="0"/>
        <w:jc w:val="left"/>
      </w:pPr>
      <w:r>
        <w:br/>
      </w:r>
      <w:r>
        <w:rPr>
          <w:rFonts w:ascii="Times New Roman"/>
          <w:b w:val="false"/>
          <w:i w:val="false"/>
          <w:color w:val="000000"/>
          <w:sz w:val="28"/>
        </w:rPr>
        <w:t>
</w:t>
      </w:r>
    </w:p>
    <w:bookmarkStart w:name="z70" w:id="71"/>
    <w:p>
      <w:pPr>
        <w:spacing w:after="0"/>
        <w:ind w:left="0"/>
        <w:jc w:val="both"/>
      </w:pPr>
      <w:r>
        <w:rPr>
          <w:rFonts w:ascii="Times New Roman"/>
          <w:b w:val="false"/>
          <w:i w:val="false"/>
          <w:color w:val="000000"/>
          <w:sz w:val="28"/>
        </w:rPr>
        <w:t xml:space="preserve">
      </w:t>
      </w:r>
      <w:r>
        <w:rPr>
          <w:rFonts w:ascii="Times New Roman"/>
          <w:b/>
          <w:i w:val="false"/>
          <w:color w:val="000000"/>
          <w:sz w:val="28"/>
        </w:rPr>
        <w:t>18. ПРОЦЕНТНЫЕ РАСХОДЫ</w:t>
      </w:r>
    </w:p>
    <w:bookmarkEnd w:id="71"/>
    <w:p>
      <w:pPr>
        <w:spacing w:after="0"/>
        <w:ind w:left="0"/>
        <w:jc w:val="both"/>
      </w:pPr>
      <w:r>
        <w:rPr>
          <w:rFonts w:ascii="Times New Roman"/>
          <w:b w:val="false"/>
          <w:i w:val="false"/>
          <w:color w:val="000000"/>
          <w:sz w:val="28"/>
        </w:rPr>
        <w:t>
      Процентные расходы за годы, закончившиеся 31 декабря, включают: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4"/>
        <w:gridCol w:w="4583"/>
        <w:gridCol w:w="4583"/>
      </w:tblGrid>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облигациям</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61.668</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займам</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20.773</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дисконта по финансовым обязательствам</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23.829</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дисконтирования финансовых активов при первоначальном признании</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89.894</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91.423</w:t>
            </w:r>
          </w:p>
        </w:tc>
      </w:tr>
    </w:tbl>
    <w:p>
      <w:pPr>
        <w:spacing w:after="0"/>
        <w:ind w:left="0"/>
        <w:jc w:val="left"/>
      </w:pPr>
      <w:r>
        <w:br/>
      </w:r>
      <w:r>
        <w:rPr>
          <w:rFonts w:ascii="Times New Roman"/>
          <w:b w:val="false"/>
          <w:i w:val="false"/>
          <w:color w:val="000000"/>
          <w:sz w:val="28"/>
        </w:rPr>
        <w:t>
</w:t>
      </w:r>
    </w:p>
    <w:bookmarkStart w:name="z71" w:id="72"/>
    <w:p>
      <w:pPr>
        <w:spacing w:after="0"/>
        <w:ind w:left="0"/>
        <w:jc w:val="both"/>
      </w:pPr>
      <w:r>
        <w:rPr>
          <w:rFonts w:ascii="Times New Roman"/>
          <w:b w:val="false"/>
          <w:i w:val="false"/>
          <w:color w:val="000000"/>
          <w:sz w:val="28"/>
        </w:rPr>
        <w:t xml:space="preserve">
      </w:t>
      </w:r>
      <w:r>
        <w:rPr>
          <w:rFonts w:ascii="Times New Roman"/>
          <w:b/>
          <w:i w:val="false"/>
          <w:color w:val="000000"/>
          <w:sz w:val="28"/>
        </w:rPr>
        <w:t>19. ОБЩИЕ И АДМИНИСТРАТИВНЫЕ РАСХОДЫ</w:t>
      </w:r>
    </w:p>
    <w:bookmarkEnd w:id="72"/>
    <w:p>
      <w:pPr>
        <w:spacing w:after="0"/>
        <w:ind w:left="0"/>
        <w:jc w:val="both"/>
      </w:pPr>
      <w:r>
        <w:rPr>
          <w:rFonts w:ascii="Times New Roman"/>
          <w:b w:val="false"/>
          <w:i w:val="false"/>
          <w:color w:val="000000"/>
          <w:sz w:val="28"/>
        </w:rPr>
        <w:t>
      Общие и административные расходы за годы, закончившиеся 31 декабря, включают: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4871"/>
        <w:gridCol w:w="4872"/>
      </w:tblGrid>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Спонсорская помощь и благотворительность</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заработной плате</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не принятый в зачет</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2013 году Фонд предоставил спонсорскую помощь в соответствии с Общим Планом мероприятий Фонда по оказанию спонсорской и благотворительной помощи на 2013 год (далее "План"). Спонсорская помощь была предоставлена для финансирования ряда проектов, реализуемых через Корпоративный фонд "СК-Астана", являющимся оператором по финансированию спортивных федераций в целях развития отдельных видов спорта и отдельных проектов, утвержденных Планом. Кроме того, спонсорская помощь предоставлена для прочих организаций в целях финансирования проектов, утвержденных Планом.</w:t>
      </w:r>
    </w:p>
    <w:bookmarkStart w:name="z72" w:id="73"/>
    <w:p>
      <w:pPr>
        <w:spacing w:after="0"/>
        <w:ind w:left="0"/>
        <w:jc w:val="both"/>
      </w:pPr>
      <w:r>
        <w:rPr>
          <w:rFonts w:ascii="Times New Roman"/>
          <w:b w:val="false"/>
          <w:i w:val="false"/>
          <w:color w:val="000000"/>
          <w:sz w:val="28"/>
        </w:rPr>
        <w:t xml:space="preserve">
      </w:t>
      </w:r>
      <w:r>
        <w:rPr>
          <w:rFonts w:ascii="Times New Roman"/>
          <w:b/>
          <w:i w:val="false"/>
          <w:color w:val="000000"/>
          <w:sz w:val="28"/>
        </w:rPr>
        <w:t>20. ФИНАНСОВЫЕ ДОХОДЫ</w:t>
      </w:r>
    </w:p>
    <w:bookmarkEnd w:id="73"/>
    <w:p>
      <w:pPr>
        <w:spacing w:after="0"/>
        <w:ind w:left="0"/>
        <w:jc w:val="both"/>
      </w:pPr>
      <w:r>
        <w:rPr>
          <w:rFonts w:ascii="Times New Roman"/>
          <w:b w:val="false"/>
          <w:i w:val="false"/>
          <w:color w:val="000000"/>
          <w:sz w:val="28"/>
        </w:rPr>
        <w:t>
      Финансовые доходы за годы, закончившиеся 31 декабря, включают: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5030"/>
        <w:gridCol w:w="5030"/>
      </w:tblGrid>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банковским депозитам</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44.644</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финансовым гарантиям</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текущим банковским счетам</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58.667</w:t>
            </w:r>
          </w:p>
        </w:tc>
      </w:tr>
    </w:tbl>
    <w:p>
      <w:pPr>
        <w:spacing w:after="0"/>
        <w:ind w:left="0"/>
        <w:jc w:val="left"/>
      </w:pPr>
      <w:r>
        <w:br/>
      </w:r>
      <w:r>
        <w:rPr>
          <w:rFonts w:ascii="Times New Roman"/>
          <w:b w:val="false"/>
          <w:i w:val="false"/>
          <w:color w:val="000000"/>
          <w:sz w:val="28"/>
        </w:rPr>
        <w:t>
</w:t>
      </w:r>
    </w:p>
    <w:bookmarkStart w:name="z73" w:id="74"/>
    <w:p>
      <w:pPr>
        <w:spacing w:after="0"/>
        <w:ind w:left="0"/>
        <w:jc w:val="both"/>
      </w:pPr>
      <w:r>
        <w:rPr>
          <w:rFonts w:ascii="Times New Roman"/>
          <w:b w:val="false"/>
          <w:i w:val="false"/>
          <w:color w:val="000000"/>
          <w:sz w:val="28"/>
        </w:rPr>
        <w:t xml:space="preserve">
      </w:t>
      </w:r>
      <w:r>
        <w:rPr>
          <w:rFonts w:ascii="Times New Roman"/>
          <w:b/>
          <w:i w:val="false"/>
          <w:color w:val="000000"/>
          <w:sz w:val="28"/>
        </w:rPr>
        <w:t>21. РАСХОДЫ ПО ПОДОХОДНОМУ НАЛОГУ</w:t>
      </w:r>
    </w:p>
    <w:bookmarkEnd w:id="74"/>
    <w:p>
      <w:pPr>
        <w:spacing w:after="0"/>
        <w:ind w:left="0"/>
        <w:jc w:val="both"/>
      </w:pPr>
      <w:r>
        <w:rPr>
          <w:rFonts w:ascii="Times New Roman"/>
          <w:b w:val="false"/>
          <w:i w:val="false"/>
          <w:color w:val="000000"/>
          <w:sz w:val="28"/>
        </w:rPr>
        <w:t>
      Расходы по подоходному налогу за годы, закончившиеся 31 декабря, включают: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5352"/>
        <w:gridCol w:w="5088"/>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 выплаты</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отсроченному налогу</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31 декабря 2013 года Фонд облагался корпоративным подоходным налогом по действующей официальной ставке в 20% (на 31 декабря 2012 года: 20%).</w:t>
      </w:r>
    </w:p>
    <w:p>
      <w:pPr>
        <w:spacing w:after="0"/>
        <w:ind w:left="0"/>
        <w:jc w:val="both"/>
      </w:pPr>
      <w:r>
        <w:rPr>
          <w:rFonts w:ascii="Times New Roman"/>
          <w:b w:val="false"/>
          <w:i w:val="false"/>
          <w:color w:val="000000"/>
          <w:sz w:val="28"/>
        </w:rPr>
        <w:t>
      Сверка расходов по подоходному налогу, рассчитанных от бухгалтерского убытка/прибыли до учета подоходного налога по нормативной ставке подоходного налога к расходам по подоходному налогу, представлена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598"/>
        <w:gridCol w:w="4069"/>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(Убыток)/прибыль до учета подоходного налога</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350.212</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ставка подоходного налога</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(Теоретическая экономия)/теоретические расходы по подоходному налогу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непризнанных налоговых активах по отсроченному налогу</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эффект постоянных разниц</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Необлагаемый налогом доход от дивидендов</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(67.349)</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восстановления убытка от обесценения средств в кредитных учреждениях и банковских депозитов</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(56.185)</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 классифицированных как предназначенные для продажи</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инвестиций в дочерние организации</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30.857</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инвестиций, имеющихся в наличии для продажи</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Убыток/(доход) от изменения стоимости опционов, нетто</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Дисконтирование и амортизация дисконта по финансовым активам и обязательствам</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спонсорскую помощь</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финансовым гарантиям</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постоянные разницы</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 представленные в отдельном отчете о совокупном доходе</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Сальдо отсроченного подоходного налога, рассчитанного посредством применения установленных законом ставок налога, действующих на отчетные даты, к временным разницам между основой для расчета активов и обязательств и суммами, отраженными в отдельной финансовой отчетности, включают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4862"/>
        <w:gridCol w:w="4863"/>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отсроченному налогу</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 уплате</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отсроченному налогу</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отсроченному налогу</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отсроченному налогу</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по отсроченному налогу</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 по отсроченному налогу признается только в той степени, в которой существует вероятность наличия в будущем налогооблагаемой прибыли, относительно которой актив может быть использован. Активы по отсроченному налогу уменьшаются в той степени, в которой больше не существует вероятности того, что связанные с ними налоговые льготы будут реализованы.</w:t>
      </w:r>
    </w:p>
    <w:bookmarkStart w:name="z74" w:id="75"/>
    <w:p>
      <w:pPr>
        <w:spacing w:after="0"/>
        <w:ind w:left="0"/>
        <w:jc w:val="both"/>
      </w:pPr>
      <w:r>
        <w:rPr>
          <w:rFonts w:ascii="Times New Roman"/>
          <w:b w:val="false"/>
          <w:i w:val="false"/>
          <w:color w:val="000000"/>
          <w:sz w:val="28"/>
        </w:rPr>
        <w:t xml:space="preserve">
      </w:t>
      </w:r>
      <w:r>
        <w:rPr>
          <w:rFonts w:ascii="Times New Roman"/>
          <w:b/>
          <w:i w:val="false"/>
          <w:color w:val="000000"/>
          <w:sz w:val="28"/>
        </w:rPr>
        <w:t>22. СДЕЛКИ СО СВЯЗАННЫМИ СТОРОНАМИ</w:t>
      </w:r>
    </w:p>
    <w:bookmarkEnd w:id="75"/>
    <w:p>
      <w:pPr>
        <w:spacing w:after="0"/>
        <w:ind w:left="0"/>
        <w:jc w:val="both"/>
      </w:pPr>
      <w:r>
        <w:rPr>
          <w:rFonts w:ascii="Times New Roman"/>
          <w:b w:val="false"/>
          <w:i w:val="false"/>
          <w:color w:val="000000"/>
          <w:sz w:val="28"/>
        </w:rPr>
        <w:t>
      Связанные стороны включают в себя компании группы Фонда и прочие компании, контролируемые Правительством, ключевой управленческий персонал Фонда, прочие связанные стороны. Сделки со связанными сторонами были проведены на условиях, согласованных между сторонами, которые не обязательно осуществлялись по рыночным ставкам, за исключением некоторых регулируемых услуг, которые предоставляются на условиях тарифов, применимых к связанным и третьим сторонам.</w:t>
      </w:r>
    </w:p>
    <w:p>
      <w:pPr>
        <w:spacing w:after="0"/>
        <w:ind w:left="0"/>
        <w:jc w:val="both"/>
      </w:pPr>
      <w:r>
        <w:rPr>
          <w:rFonts w:ascii="Times New Roman"/>
          <w:b w:val="false"/>
          <w:i w:val="false"/>
          <w:color w:val="000000"/>
          <w:sz w:val="28"/>
        </w:rPr>
        <w:t>
      В следующих таблицах приведены общие суммы сделок, заключенных со связанными сторонами в течение 2013 и 2012 годов, и соответствующее сальдо на 31 декабря 2013 и 2012 годов: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94"/>
        <w:gridCol w:w="3253"/>
        <w:gridCol w:w="2873"/>
        <w:gridCol w:w="2747"/>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p>
            <w:pPr>
              <w:spacing w:after="20"/>
              <w:ind w:left="20"/>
              <w:jc w:val="both"/>
            </w:pPr>
            <w:r>
              <w:rPr>
                <w:rFonts w:ascii="Times New Roman"/>
                <w:b w:val="false"/>
                <w:i w:val="false"/>
                <w:color w:val="000000"/>
                <w:sz w:val="20"/>
              </w:rPr>
              <w:t>
связанных</w:t>
            </w:r>
          </w:p>
          <w:p>
            <w:pPr>
              <w:spacing w:after="20"/>
              <w:ind w:left="20"/>
              <w:jc w:val="both"/>
            </w:pPr>
            <w:r>
              <w:rPr>
                <w:rFonts w:ascii="Times New Roman"/>
                <w:b w:val="false"/>
                <w:i w:val="false"/>
                <w:color w:val="000000"/>
                <w:sz w:val="20"/>
              </w:rPr>
              <w:t>
сторон</w:t>
            </w:r>
          </w:p>
          <w:p>
            <w:pPr>
              <w:spacing w:after="20"/>
              <w:ind w:left="20"/>
              <w:jc w:val="both"/>
            </w:pPr>
            <w:r>
              <w:rPr>
                <w:rFonts w:ascii="Times New Roman"/>
                <w:b w:val="false"/>
                <w:i w:val="false"/>
                <w:color w:val="000000"/>
                <w:sz w:val="20"/>
              </w:rPr>
              <w:t>
(Примечание 7, 8, 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p>
            <w:pPr>
              <w:spacing w:after="20"/>
              <w:ind w:left="20"/>
              <w:jc w:val="both"/>
            </w:pPr>
            <w:r>
              <w:rPr>
                <w:rFonts w:ascii="Times New Roman"/>
                <w:b w:val="false"/>
                <w:i w:val="false"/>
                <w:color w:val="000000"/>
                <w:sz w:val="20"/>
              </w:rPr>
              <w:t>
связанным</w:t>
            </w:r>
          </w:p>
          <w:p>
            <w:pPr>
              <w:spacing w:after="20"/>
              <w:ind w:left="20"/>
              <w:jc w:val="both"/>
            </w:pPr>
            <w:r>
              <w:rPr>
                <w:rFonts w:ascii="Times New Roman"/>
                <w:b w:val="false"/>
                <w:i w:val="false"/>
                <w:color w:val="000000"/>
                <w:sz w:val="20"/>
              </w:rPr>
              <w:t>
сторонам</w:t>
            </w:r>
          </w:p>
          <w:p>
            <w:pPr>
              <w:spacing w:after="20"/>
              <w:ind w:left="20"/>
              <w:jc w:val="both"/>
            </w:pPr>
            <w:r>
              <w:rPr>
                <w:rFonts w:ascii="Times New Roman"/>
                <w:b w:val="false"/>
                <w:i w:val="false"/>
                <w:color w:val="000000"/>
                <w:sz w:val="20"/>
              </w:rPr>
              <w:t>
(Примечание 14, 15)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w:t>
            </w:r>
          </w:p>
          <w:p>
            <w:pPr>
              <w:spacing w:after="20"/>
              <w:ind w:left="20"/>
              <w:jc w:val="both"/>
            </w:pPr>
            <w:r>
              <w:rPr>
                <w:rFonts w:ascii="Times New Roman"/>
                <w:b w:val="false"/>
                <w:i w:val="false"/>
                <w:color w:val="000000"/>
                <w:sz w:val="20"/>
              </w:rPr>
              <w:t>
средства и</w:t>
            </w:r>
          </w:p>
          <w:p>
            <w:pPr>
              <w:spacing w:after="20"/>
              <w:ind w:left="20"/>
              <w:jc w:val="both"/>
            </w:pPr>
            <w:r>
              <w:rPr>
                <w:rFonts w:ascii="Times New Roman"/>
                <w:b w:val="false"/>
                <w:i w:val="false"/>
                <w:color w:val="000000"/>
                <w:sz w:val="20"/>
              </w:rPr>
              <w:t>
депозиты,</w:t>
            </w:r>
          </w:p>
          <w:p>
            <w:pPr>
              <w:spacing w:after="20"/>
              <w:ind w:left="20"/>
              <w:jc w:val="both"/>
            </w:pPr>
            <w:r>
              <w:rPr>
                <w:rFonts w:ascii="Times New Roman"/>
                <w:b w:val="false"/>
                <w:i w:val="false"/>
                <w:color w:val="000000"/>
                <w:sz w:val="20"/>
              </w:rPr>
              <w:t>
размещенные</w:t>
            </w:r>
          </w:p>
          <w:p>
            <w:pPr>
              <w:spacing w:after="20"/>
              <w:ind w:left="20"/>
              <w:jc w:val="both"/>
            </w:pPr>
            <w:r>
              <w:rPr>
                <w:rFonts w:ascii="Times New Roman"/>
                <w:b w:val="false"/>
                <w:i w:val="false"/>
                <w:color w:val="000000"/>
                <w:sz w:val="20"/>
              </w:rPr>
              <w:t>
у связанных</w:t>
            </w:r>
          </w:p>
          <w:p>
            <w:pPr>
              <w:spacing w:after="20"/>
              <w:ind w:left="20"/>
              <w:jc w:val="both"/>
            </w:pPr>
            <w:r>
              <w:rPr>
                <w:rFonts w:ascii="Times New Roman"/>
                <w:b w:val="false"/>
                <w:i w:val="false"/>
                <w:color w:val="000000"/>
                <w:sz w:val="20"/>
              </w:rPr>
              <w:t>
сторон</w:t>
            </w:r>
          </w:p>
          <w:p>
            <w:pPr>
              <w:spacing w:after="20"/>
              <w:ind w:left="20"/>
              <w:jc w:val="both"/>
            </w:pPr>
            <w:r>
              <w:rPr>
                <w:rFonts w:ascii="Times New Roman"/>
                <w:b w:val="false"/>
                <w:i w:val="false"/>
                <w:color w:val="000000"/>
                <w:sz w:val="20"/>
              </w:rPr>
              <w:t>
(Примечание 10,12)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предприятия, контролируемые государством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2013 года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84.979</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2012 года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188.676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2013 года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469.797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808.362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219.354</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2012 года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211.877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 и совместные предприятия дочерних организаций</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2013 года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w:t>
            </w:r>
          </w:p>
          <w:p>
            <w:pPr>
              <w:spacing w:after="20"/>
              <w:ind w:left="20"/>
              <w:jc w:val="both"/>
            </w:pPr>
            <w:r>
              <w:rPr>
                <w:rFonts w:ascii="Times New Roman"/>
                <w:b w:val="false"/>
                <w:i w:val="false"/>
                <w:color w:val="000000"/>
                <w:sz w:val="20"/>
              </w:rPr>
              <w:t>
2012 года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475"/>
        <w:gridCol w:w="2244"/>
        <w:gridCol w:w="1938"/>
        <w:gridCol w:w="3274"/>
        <w:gridCol w:w="2198"/>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w:t>
            </w:r>
          </w:p>
          <w:p>
            <w:pPr>
              <w:spacing w:after="20"/>
              <w:ind w:left="20"/>
              <w:jc w:val="both"/>
            </w:pPr>
            <w:r>
              <w:rPr>
                <w:rFonts w:ascii="Times New Roman"/>
                <w:b w:val="false"/>
                <w:i w:val="false"/>
                <w:color w:val="000000"/>
                <w:sz w:val="20"/>
              </w:rPr>
              <w:t>
</w:t>
            </w:r>
            <w:r>
              <w:rPr>
                <w:rFonts w:ascii="Times New Roman"/>
                <w:b w:val="false"/>
                <w:i/>
                <w:color w:val="000000"/>
                <w:sz w:val="20"/>
              </w:rPr>
              <w:t>тенге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p>
            <w:pPr>
              <w:spacing w:after="20"/>
              <w:ind w:left="20"/>
              <w:jc w:val="both"/>
            </w:pPr>
            <w:r>
              <w:rPr>
                <w:rFonts w:ascii="Times New Roman"/>
                <w:b w:val="false"/>
                <w:i w:val="false"/>
                <w:color w:val="000000"/>
                <w:sz w:val="20"/>
              </w:rPr>
              <w:t>
полученные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 у связанных сторон (Примечание 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полученное от связанных сторон (Примечание 17, 20)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связанным сторонам (Примечание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предприятия, контролируемые государством</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49.915</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336.885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 и совместные предприятия дочерних организаций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связанные стороны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Природа сделок, заключенных со связанными сторонами в течение 2013 и 2012 годов, отражена в соответствующих примечаниях к отдельной финансовой отчетности.</w:t>
      </w:r>
    </w:p>
    <w:p>
      <w:pPr>
        <w:spacing w:after="0"/>
        <w:ind w:left="0"/>
        <w:jc w:val="both"/>
      </w:pPr>
      <w:r>
        <w:rPr>
          <w:rFonts w:ascii="Times New Roman"/>
          <w:b w:val="false"/>
          <w:i w:val="false"/>
          <w:color w:val="000000"/>
          <w:sz w:val="28"/>
        </w:rPr>
        <w:t>
      Общая сумма вознаграждения, выплаченная ключевому управленческому персоналу, включенная в общие и административные расходы в прилагаемом отдельном отчете о совокупном доходе, составляет 643 миллионов тенге и 437 миллионов тенге за годы, закончившиеся 31 декабря 2013 и 2012, соответственно. Вознаграждение, выплаченное ключевому управленческому персоналу, преимущественно состоит из расходов по заработной плате, установленной контрактами, и премиями, основанными на операционных результатах.</w:t>
      </w:r>
    </w:p>
    <w:bookmarkStart w:name="z75" w:id="76"/>
    <w:p>
      <w:pPr>
        <w:spacing w:after="0"/>
        <w:ind w:left="0"/>
        <w:jc w:val="both"/>
      </w:pPr>
      <w:r>
        <w:rPr>
          <w:rFonts w:ascii="Times New Roman"/>
          <w:b w:val="false"/>
          <w:i w:val="false"/>
          <w:color w:val="000000"/>
          <w:sz w:val="28"/>
        </w:rPr>
        <w:t xml:space="preserve">
      </w:t>
      </w:r>
      <w:r>
        <w:rPr>
          <w:rFonts w:ascii="Times New Roman"/>
          <w:b/>
          <w:i w:val="false"/>
          <w:color w:val="000000"/>
          <w:sz w:val="28"/>
        </w:rPr>
        <w:t>23. ЦЕЛИ И ПОЛИТИКА УПРАВЛЕНИЯ ФИНАНСОВЫМИ РИСКАМИ</w:t>
      </w:r>
    </w:p>
    <w:bookmarkEnd w:id="76"/>
    <w:p>
      <w:pPr>
        <w:spacing w:after="0"/>
        <w:ind w:left="0"/>
        <w:jc w:val="both"/>
      </w:pPr>
      <w:r>
        <w:rPr>
          <w:rFonts w:ascii="Times New Roman"/>
          <w:b w:val="false"/>
          <w:i w:val="false"/>
          <w:color w:val="000000"/>
          <w:sz w:val="28"/>
        </w:rPr>
        <w:t>
      В состав основных финансовых обязательств Фонда входят займы, полученные от кредитных учреждений и Правительства, облигации выпущенные, финансовые гарантии и прочая кредиторская задолженность. Указанные финансовые инструменты главным образом используются для привлечения финансирования операций Фонда. В состав финансовых активов Фонда входят займы, выданные дочерним организациям и кредитным учреждениям, банковские депозиты, прочие финансовые активы, прочая дебиторская задолженность, приобретенные облигации и государственные ценные бумаги, деньги и денежные эквиваленты, возникающие непосредственно в результате его операционной деятельности.</w:t>
      </w:r>
    </w:p>
    <w:p>
      <w:pPr>
        <w:spacing w:after="0"/>
        <w:ind w:left="0"/>
        <w:jc w:val="both"/>
      </w:pPr>
      <w:r>
        <w:rPr>
          <w:rFonts w:ascii="Times New Roman"/>
          <w:b w:val="false"/>
          <w:i w:val="false"/>
          <w:color w:val="000000"/>
          <w:sz w:val="28"/>
        </w:rPr>
        <w:t>
      Фонд подвержен рыночному риску, риску, связанному с процентными ставками, кредитному риску, валютному риску и риску ликвидности.</w:t>
      </w:r>
    </w:p>
    <w:bookmarkStart w:name="z76" w:id="77"/>
    <w:p>
      <w:pPr>
        <w:spacing w:after="0"/>
        <w:ind w:left="0"/>
        <w:jc w:val="both"/>
      </w:pPr>
      <w:r>
        <w:rPr>
          <w:rFonts w:ascii="Times New Roman"/>
          <w:b w:val="false"/>
          <w:i w:val="false"/>
          <w:color w:val="000000"/>
          <w:sz w:val="28"/>
        </w:rPr>
        <w:t xml:space="preserve">
      </w:t>
      </w:r>
      <w:r>
        <w:rPr>
          <w:rFonts w:ascii="Times New Roman"/>
          <w:b/>
          <w:i w:val="false"/>
          <w:color w:val="000000"/>
          <w:sz w:val="28"/>
        </w:rPr>
        <w:t>Риск, связанный с процентными ставками</w:t>
      </w:r>
    </w:p>
    <w:bookmarkEnd w:id="77"/>
    <w:p>
      <w:pPr>
        <w:spacing w:after="0"/>
        <w:ind w:left="0"/>
        <w:jc w:val="both"/>
      </w:pPr>
      <w:r>
        <w:rPr>
          <w:rFonts w:ascii="Times New Roman"/>
          <w:b w:val="false"/>
          <w:i w:val="false"/>
          <w:color w:val="000000"/>
          <w:sz w:val="28"/>
        </w:rPr>
        <w:t>
      Риск, связанный со ставками вознаграждения, представляет собой риск колебания стоимости финансового инструмента в результате изменения ставок вознаграждения на рынке.</w:t>
      </w:r>
    </w:p>
    <w:p>
      <w:pPr>
        <w:spacing w:after="0"/>
        <w:ind w:left="0"/>
        <w:jc w:val="both"/>
      </w:pPr>
      <w:r>
        <w:rPr>
          <w:rFonts w:ascii="Times New Roman"/>
          <w:b w:val="false"/>
          <w:i w:val="false"/>
          <w:color w:val="000000"/>
          <w:sz w:val="28"/>
        </w:rPr>
        <w:t>
      Подверженность Фонда риску, связанному со ставками вознаграждения в основном относится к полученным Фондом займом с плавающей процентной ставкой (</w:t>
      </w:r>
      <w:r>
        <w:rPr>
          <w:rFonts w:ascii="Times New Roman"/>
          <w:b w:val="false"/>
          <w:i/>
          <w:color w:val="000000"/>
          <w:sz w:val="28"/>
        </w:rPr>
        <w:t>Примечание 14</w:t>
      </w:r>
      <w:r>
        <w:rPr>
          <w:rFonts w:ascii="Times New Roman"/>
          <w:b w:val="false"/>
          <w:i w:val="false"/>
          <w:color w:val="000000"/>
          <w:sz w:val="28"/>
        </w:rPr>
        <w:t>). В то же время, чувствительность на прибыль Фонда до подоходного налога (через влияние на плавающую процентную ставку по займу) к возможным изменениям в процентных ставках, является несущественной в связи с наличием займов выданных с плавающей процентной ставкой, на аналогичных условиях и идентичной сумме (</w:t>
      </w:r>
      <w:r>
        <w:rPr>
          <w:rFonts w:ascii="Times New Roman"/>
          <w:b w:val="false"/>
          <w:i/>
          <w:color w:val="000000"/>
          <w:sz w:val="28"/>
        </w:rPr>
        <w:t>Примечание 7</w:t>
      </w:r>
      <w:r>
        <w:rPr>
          <w:rFonts w:ascii="Times New Roman"/>
          <w:b w:val="false"/>
          <w:i w:val="false"/>
          <w:color w:val="000000"/>
          <w:sz w:val="28"/>
        </w:rPr>
        <w:t>). Влияние на капитал Фонда отсутствует.</w:t>
      </w:r>
    </w:p>
    <w:bookmarkStart w:name="z77" w:id="78"/>
    <w:p>
      <w:pPr>
        <w:spacing w:after="0"/>
        <w:ind w:left="0"/>
        <w:jc w:val="both"/>
      </w:pPr>
      <w:r>
        <w:rPr>
          <w:rFonts w:ascii="Times New Roman"/>
          <w:b w:val="false"/>
          <w:i w:val="false"/>
          <w:color w:val="000000"/>
          <w:sz w:val="28"/>
        </w:rPr>
        <w:t xml:space="preserve">
      </w:t>
      </w:r>
      <w:r>
        <w:rPr>
          <w:rFonts w:ascii="Times New Roman"/>
          <w:b/>
          <w:i w:val="false"/>
          <w:color w:val="000000"/>
          <w:sz w:val="28"/>
        </w:rPr>
        <w:t>Кредитный риск</w:t>
      </w:r>
    </w:p>
    <w:bookmarkEnd w:id="78"/>
    <w:p>
      <w:pPr>
        <w:spacing w:after="0"/>
        <w:ind w:left="0"/>
        <w:jc w:val="both"/>
      </w:pPr>
      <w:r>
        <w:rPr>
          <w:rFonts w:ascii="Times New Roman"/>
          <w:b w:val="false"/>
          <w:i w:val="false"/>
          <w:color w:val="000000"/>
          <w:sz w:val="28"/>
        </w:rPr>
        <w:t>
      Кредитный риск, возникающий в результате невыполнения контрагентами условий договоров с финансовыми инструментами Фонда, обычно ограничивается суммами, при наличии таковых, на которые величина обязательств контрагентов превышает обязательства Фонда перед этими контрагентами. Политика Фонда предусматривает совершение операций с финансовыми инструментами с рядом кредитоспособных контрагентов. Максимальная величина подверженности кредитному риску равна балансовой стоимости каждого финансового актива. Фонд считает, что максимальная величина ее риска отражается суммой займов выданных (</w:t>
      </w:r>
      <w:r>
        <w:rPr>
          <w:rFonts w:ascii="Times New Roman"/>
          <w:b w:val="false"/>
          <w:i/>
          <w:color w:val="000000"/>
          <w:sz w:val="28"/>
        </w:rPr>
        <w:t>Примечание 7</w:t>
      </w:r>
      <w:r>
        <w:rPr>
          <w:rFonts w:ascii="Times New Roman"/>
          <w:b w:val="false"/>
          <w:i w:val="false"/>
          <w:color w:val="000000"/>
          <w:sz w:val="28"/>
        </w:rPr>
        <w:t>), средств в кредитных учреждениях (</w:t>
      </w:r>
      <w:r>
        <w:rPr>
          <w:rFonts w:ascii="Times New Roman"/>
          <w:b w:val="false"/>
          <w:i/>
          <w:color w:val="000000"/>
          <w:sz w:val="28"/>
        </w:rPr>
        <w:t>Примечание 8</w:t>
      </w:r>
      <w:r>
        <w:rPr>
          <w:rFonts w:ascii="Times New Roman"/>
          <w:b w:val="false"/>
          <w:i w:val="false"/>
          <w:color w:val="000000"/>
          <w:sz w:val="28"/>
        </w:rPr>
        <w:t>), прочих финансовых активов (Примечание 9), банковских депозитов (</w:t>
      </w:r>
      <w:r>
        <w:rPr>
          <w:rFonts w:ascii="Times New Roman"/>
          <w:b w:val="false"/>
          <w:i/>
          <w:color w:val="000000"/>
          <w:sz w:val="28"/>
        </w:rPr>
        <w:t>Примечание 10</w:t>
      </w:r>
      <w:r>
        <w:rPr>
          <w:rFonts w:ascii="Times New Roman"/>
          <w:b w:val="false"/>
          <w:i w:val="false"/>
          <w:color w:val="000000"/>
          <w:sz w:val="28"/>
        </w:rPr>
        <w:t>), прочих текущих активов (</w:t>
      </w:r>
      <w:r>
        <w:rPr>
          <w:rFonts w:ascii="Times New Roman"/>
          <w:b w:val="false"/>
          <w:i/>
          <w:color w:val="000000"/>
          <w:sz w:val="28"/>
        </w:rPr>
        <w:t>Примечание 11</w:t>
      </w:r>
      <w:r>
        <w:rPr>
          <w:rFonts w:ascii="Times New Roman"/>
          <w:b w:val="false"/>
          <w:i w:val="false"/>
          <w:color w:val="000000"/>
          <w:sz w:val="28"/>
        </w:rPr>
        <w:t>), и денежными средствами и их эквивалентами (</w:t>
      </w:r>
      <w:r>
        <w:rPr>
          <w:rFonts w:ascii="Times New Roman"/>
          <w:b w:val="false"/>
          <w:i/>
          <w:color w:val="000000"/>
          <w:sz w:val="28"/>
        </w:rPr>
        <w:t>Примечание 12</w:t>
      </w:r>
      <w:r>
        <w:rPr>
          <w:rFonts w:ascii="Times New Roman"/>
          <w:b w:val="false"/>
          <w:i w:val="false"/>
          <w:color w:val="000000"/>
          <w:sz w:val="28"/>
        </w:rPr>
        <w:t>), за вычетом резервов на обесценение, отраженных на отчетную дату.</w:t>
      </w:r>
    </w:p>
    <w:p>
      <w:pPr>
        <w:spacing w:after="0"/>
        <w:ind w:left="0"/>
        <w:jc w:val="both"/>
      </w:pPr>
      <w:r>
        <w:rPr>
          <w:rFonts w:ascii="Times New Roman"/>
          <w:b w:val="false"/>
          <w:i w:val="false"/>
          <w:color w:val="000000"/>
          <w:sz w:val="28"/>
        </w:rPr>
        <w:t>
      Концентрация кредитного риска может возникать при наличии нескольких сумм задолженности от одного заемщика или от группы заемщиков со сходными условиями деятельности, в отношении которых есть основания ожидать, что изменения экономических условий или иных обстоятельств могут повлиять на их способность выполнять свои обязательства.</w:t>
      </w:r>
    </w:p>
    <w:bookmarkStart w:name="z78" w:id="79"/>
    <w:p>
      <w:pPr>
        <w:spacing w:after="0"/>
        <w:ind w:left="0"/>
        <w:jc w:val="both"/>
      </w:pPr>
      <w:r>
        <w:rPr>
          <w:rFonts w:ascii="Times New Roman"/>
          <w:b w:val="false"/>
          <w:i w:val="false"/>
          <w:color w:val="000000"/>
          <w:sz w:val="28"/>
        </w:rPr>
        <w:t xml:space="preserve">
      </w:t>
      </w:r>
      <w:r>
        <w:rPr>
          <w:rFonts w:ascii="Times New Roman"/>
          <w:b/>
          <w:i w:val="false"/>
          <w:color w:val="000000"/>
          <w:sz w:val="28"/>
        </w:rPr>
        <w:t>Риск ликвидности</w:t>
      </w:r>
    </w:p>
    <w:bookmarkEnd w:id="79"/>
    <w:p>
      <w:pPr>
        <w:spacing w:after="0"/>
        <w:ind w:left="0"/>
        <w:jc w:val="both"/>
      </w:pPr>
      <w:r>
        <w:rPr>
          <w:rFonts w:ascii="Times New Roman"/>
          <w:b w:val="false"/>
          <w:i w:val="false"/>
          <w:color w:val="000000"/>
          <w:sz w:val="28"/>
        </w:rPr>
        <w:t>
      Риск ликвидности связан с возможностью того, что Фонд столкнется с трудностями при привлечении средств для выполнения своих финансовых обязательств. Риск ликвидности может возникнуть в результате невозможности оперативно реализовать финансовый актив по стоимости, приближающейся к его справедливой стоимости.</w:t>
      </w:r>
    </w:p>
    <w:p>
      <w:pPr>
        <w:spacing w:after="0"/>
        <w:ind w:left="0"/>
        <w:jc w:val="both"/>
      </w:pPr>
      <w:r>
        <w:rPr>
          <w:rFonts w:ascii="Times New Roman"/>
          <w:b w:val="false"/>
          <w:i w:val="false"/>
          <w:color w:val="000000"/>
          <w:sz w:val="28"/>
        </w:rPr>
        <w:t>
      Требования к ликвидности регулярно контролируются, и руководство Фонда следит за наличием средств в объеме, достаточном для выполнения обязательств по мере их возникновения.</w:t>
      </w:r>
    </w:p>
    <w:p>
      <w:pPr>
        <w:spacing w:after="0"/>
        <w:ind w:left="0"/>
        <w:jc w:val="both"/>
      </w:pPr>
      <w:r>
        <w:rPr>
          <w:rFonts w:ascii="Times New Roman"/>
          <w:b w:val="false"/>
          <w:i w:val="false"/>
          <w:color w:val="000000"/>
          <w:sz w:val="28"/>
        </w:rPr>
        <w:t>
      В следующей таблице представлена информация по состоянию на 31 декабря 2013 и 2012 годов о договорных недисконтированных платежах по финансовым обязательствам Фонда в разрезе сроков погашения этих обязательств.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1473"/>
        <w:gridCol w:w="1474"/>
        <w:gridCol w:w="1474"/>
        <w:gridCol w:w="1706"/>
        <w:gridCol w:w="2057"/>
        <w:gridCol w:w="2058"/>
      </w:tblGrid>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w:t>
            </w:r>
          </w:p>
          <w:p>
            <w:pPr>
              <w:spacing w:after="20"/>
              <w:ind w:left="20"/>
              <w:jc w:val="both"/>
            </w:pPr>
            <w:r>
              <w:rPr>
                <w:rFonts w:ascii="Times New Roman"/>
                <w:b w:val="false"/>
                <w:i w:val="false"/>
                <w:color w:val="000000"/>
                <w:sz w:val="20"/>
              </w:rPr>
              <w:t>
3 месяцев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месяцев до 1 года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лет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лет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2013 года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472.534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1.705.985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2.331.436</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Правительства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1.373.642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1.396.455</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491.920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3.079.627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1473"/>
        <w:gridCol w:w="1474"/>
        <w:gridCol w:w="1474"/>
        <w:gridCol w:w="1706"/>
        <w:gridCol w:w="2057"/>
        <w:gridCol w:w="2058"/>
      </w:tblGrid>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месяцев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месяцев до 1 года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лет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лет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2012 года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465.650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2.353.306</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Правительства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1.120.445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1.143.581</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485.516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2.878.445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3.499.165</w:t>
            </w:r>
          </w:p>
        </w:tc>
      </w:tr>
    </w:tbl>
    <w:p>
      <w:pPr>
        <w:spacing w:after="0"/>
        <w:ind w:left="0"/>
        <w:jc w:val="left"/>
      </w:pPr>
      <w:r>
        <w:br/>
      </w:r>
      <w:r>
        <w:rPr>
          <w:rFonts w:ascii="Times New Roman"/>
          <w:b w:val="false"/>
          <w:i w:val="false"/>
          <w:color w:val="000000"/>
          <w:sz w:val="28"/>
        </w:rPr>
        <w:t>
</w:t>
      </w:r>
    </w:p>
    <w:bookmarkStart w:name="z79" w:id="80"/>
    <w:p>
      <w:pPr>
        <w:spacing w:after="0"/>
        <w:ind w:left="0"/>
        <w:jc w:val="both"/>
      </w:pPr>
      <w:r>
        <w:rPr>
          <w:rFonts w:ascii="Times New Roman"/>
          <w:b w:val="false"/>
          <w:i w:val="false"/>
          <w:color w:val="000000"/>
          <w:sz w:val="28"/>
        </w:rPr>
        <w:t xml:space="preserve">
      </w:t>
      </w:r>
      <w:r>
        <w:rPr>
          <w:rFonts w:ascii="Times New Roman"/>
          <w:b/>
          <w:i w:val="false"/>
          <w:color w:val="000000"/>
          <w:sz w:val="28"/>
        </w:rPr>
        <w:t>Валютный риск</w:t>
      </w:r>
    </w:p>
    <w:bookmarkEnd w:id="80"/>
    <w:p>
      <w:pPr>
        <w:spacing w:after="0"/>
        <w:ind w:left="0"/>
        <w:jc w:val="both"/>
      </w:pPr>
      <w:r>
        <w:rPr>
          <w:rFonts w:ascii="Times New Roman"/>
          <w:b w:val="false"/>
          <w:i w:val="false"/>
          <w:color w:val="000000"/>
          <w:sz w:val="28"/>
        </w:rPr>
        <w:t>
      Помимо текущих счетов в банках в иностранной валюте, Фонд привлекает и выдает значительные суммы долгосрочных кредитов и займов в иностранной валюте и поэтому подвержен валютному риску.</w:t>
      </w:r>
    </w:p>
    <w:p>
      <w:pPr>
        <w:spacing w:after="0"/>
        <w:ind w:left="0"/>
        <w:jc w:val="both"/>
      </w:pPr>
      <w:r>
        <w:rPr>
          <w:rFonts w:ascii="Times New Roman"/>
          <w:b w:val="false"/>
          <w:i w:val="false"/>
          <w:color w:val="000000"/>
          <w:sz w:val="28"/>
        </w:rPr>
        <w:t>
      В следующей таблице представлен анализ чувствительности убытка/прибыли Фонда до учета подоходного налога (вследствие возможных изменений в справедливой стоимости денежных активов и обязательств) к возможным изменениям в обменных курсах иностранных валют при условии неизменности всех прочих параметров. Влияние на капитал Фонда отсутствует.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5044"/>
        <w:gridCol w:w="4034"/>
      </w:tblGrid>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(уменьшение) в обменных курсах</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убыток/ прибыль до учета подоходного налога</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bl>
    <w:p>
      <w:pPr>
        <w:spacing w:after="0"/>
        <w:ind w:left="0"/>
        <w:jc w:val="left"/>
      </w:pPr>
      <w:r>
        <w:br/>
      </w:r>
      <w:r>
        <w:rPr>
          <w:rFonts w:ascii="Times New Roman"/>
          <w:b w:val="false"/>
          <w:i w:val="false"/>
          <w:color w:val="000000"/>
          <w:sz w:val="28"/>
        </w:rPr>
        <w:t>
</w:t>
      </w:r>
    </w:p>
    <w:bookmarkStart w:name="z80" w:id="81"/>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капиталом</w:t>
      </w:r>
    </w:p>
    <w:bookmarkEnd w:id="81"/>
    <w:p>
      <w:pPr>
        <w:spacing w:after="0"/>
        <w:ind w:left="0"/>
        <w:jc w:val="both"/>
      </w:pPr>
      <w:r>
        <w:rPr>
          <w:rFonts w:ascii="Times New Roman"/>
          <w:b w:val="false"/>
          <w:i w:val="false"/>
          <w:color w:val="000000"/>
          <w:sz w:val="28"/>
        </w:rPr>
        <w:t>
      Основной целью управления капиталом является обеспечение стабильной кредитоспособности и нормального уровня достаточности капитала для непрерывной деятельности и максимизации прибыли для заинтересованных сторон. Фонд управляет капиталом и вносит изменения в его структуру и объем с учетом изменений в экономических условиях. Для поддержания оптимальной структуры капитала Фонд может выпускать акции и привлекать заемные средства.</w:t>
      </w:r>
    </w:p>
    <w:p>
      <w:pPr>
        <w:spacing w:after="0"/>
        <w:ind w:left="0"/>
        <w:jc w:val="both"/>
      </w:pPr>
      <w:r>
        <w:rPr>
          <w:rFonts w:ascii="Times New Roman"/>
          <w:b w:val="false"/>
          <w:i w:val="false"/>
          <w:color w:val="000000"/>
          <w:sz w:val="28"/>
        </w:rPr>
        <w:t>
      Управление капиталом в Фонде осуществляется путем привлечения денежных ресурсов на оптимально выгодных условиях для последующего финансирования деятельности, а также их инвестирования для решения стратегических задач, поставленных перед Фондом. Процесс управления капиталом включает в себя также регулярный мониторинг текущих условий на рынке капитала, стоимости заемного капитала и рисков, связанных с каждым классом капитала.</w:t>
      </w:r>
    </w:p>
    <w:p>
      <w:pPr>
        <w:spacing w:after="0"/>
        <w:ind w:left="0"/>
        <w:jc w:val="both"/>
      </w:pPr>
      <w:r>
        <w:rPr>
          <w:rFonts w:ascii="Times New Roman"/>
          <w:b w:val="false"/>
          <w:i w:val="false"/>
          <w:color w:val="000000"/>
          <w:sz w:val="28"/>
        </w:rPr>
        <w:t>
      В отношении капитала Фонда в процессе привлечения заемных средств внешними кредиторами был установлен коэффициент – отношение заемного капитала к собственному капиталу, значение которого не должно превышать пропорцию 4:1. Данный коэффициент в течение отчетного периода и по состоянию на отчетную дату выполнялся.</w:t>
      </w:r>
    </w:p>
    <w:p>
      <w:pPr>
        <w:spacing w:after="0"/>
        <w:ind w:left="0"/>
        <w:jc w:val="both"/>
      </w:pPr>
      <w:r>
        <w:rPr>
          <w:rFonts w:ascii="Times New Roman"/>
          <w:b w:val="false"/>
          <w:i w:val="false"/>
          <w:color w:val="000000"/>
          <w:sz w:val="28"/>
        </w:rPr>
        <w:t>
      В таблице представлены значение отношения заемного капитала к собственному капиталу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176"/>
        <w:gridCol w:w="5177"/>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убыток</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(971.945)</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(557.989)</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3.510.572</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3.850.730</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заемные средства</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1.599.419</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1.602.663</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5.453.393</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заемного капитала к собственному капиталу</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bl>
    <w:p>
      <w:pPr>
        <w:spacing w:after="0"/>
        <w:ind w:left="0"/>
        <w:jc w:val="left"/>
      </w:pPr>
      <w:r>
        <w:br/>
      </w:r>
      <w:r>
        <w:rPr>
          <w:rFonts w:ascii="Times New Roman"/>
          <w:b w:val="false"/>
          <w:i w:val="false"/>
          <w:color w:val="000000"/>
          <w:sz w:val="28"/>
        </w:rPr>
        <w:t>
</w:t>
      </w:r>
    </w:p>
    <w:bookmarkStart w:name="z81" w:id="82"/>
    <w:p>
      <w:pPr>
        <w:spacing w:after="0"/>
        <w:ind w:left="0"/>
        <w:jc w:val="both"/>
      </w:pPr>
      <w:r>
        <w:rPr>
          <w:rFonts w:ascii="Times New Roman"/>
          <w:b w:val="false"/>
          <w:i w:val="false"/>
          <w:color w:val="000000"/>
          <w:sz w:val="28"/>
        </w:rPr>
        <w:t xml:space="preserve">
      </w:t>
      </w:r>
      <w:r>
        <w:rPr>
          <w:rFonts w:ascii="Times New Roman"/>
          <w:b/>
          <w:i w:val="false"/>
          <w:color w:val="000000"/>
          <w:sz w:val="28"/>
        </w:rPr>
        <w:t>Иерархия источников оценки справедливой стоимости</w:t>
      </w:r>
    </w:p>
    <w:bookmarkEnd w:id="82"/>
    <w:p>
      <w:pPr>
        <w:spacing w:after="0"/>
        <w:ind w:left="0"/>
        <w:jc w:val="both"/>
      </w:pPr>
      <w:r>
        <w:rPr>
          <w:rFonts w:ascii="Times New Roman"/>
          <w:b w:val="false"/>
          <w:i w:val="false"/>
          <w:color w:val="000000"/>
          <w:sz w:val="28"/>
        </w:rPr>
        <w:t>
      Фонд использует следующую иерархию для определения справедливой стоимости финансовых инструментов и раскрытия информации о ней в разрезе моделей оценки:</w:t>
      </w:r>
    </w:p>
    <w:p>
      <w:pPr>
        <w:spacing w:after="0"/>
        <w:ind w:left="0"/>
        <w:jc w:val="both"/>
      </w:pPr>
      <w:r>
        <w:rPr>
          <w:rFonts w:ascii="Times New Roman"/>
          <w:b w:val="false"/>
          <w:i w:val="false"/>
          <w:color w:val="000000"/>
          <w:sz w:val="28"/>
        </w:rPr>
        <w:t>
      Уровень 1: цены на активных рынках по идентичным активам или обязательствам (без каких-либо корректировок).</w:t>
      </w:r>
    </w:p>
    <w:p>
      <w:pPr>
        <w:spacing w:after="0"/>
        <w:ind w:left="0"/>
        <w:jc w:val="both"/>
      </w:pPr>
      <w:r>
        <w:rPr>
          <w:rFonts w:ascii="Times New Roman"/>
          <w:b w:val="false"/>
          <w:i w:val="false"/>
          <w:color w:val="000000"/>
          <w:sz w:val="28"/>
        </w:rPr>
        <w:t>
      Уровень 2: другие методы, все исходные данные для которых, оказывающие существенное влияние на отражаемую справедливую стоимость, наблюдаются на рынке, либо непосредственно, либо опосредованно.</w:t>
      </w:r>
    </w:p>
    <w:p>
      <w:pPr>
        <w:spacing w:after="0"/>
        <w:ind w:left="0"/>
        <w:jc w:val="both"/>
      </w:pPr>
      <w:r>
        <w:rPr>
          <w:rFonts w:ascii="Times New Roman"/>
          <w:b w:val="false"/>
          <w:i w:val="false"/>
          <w:color w:val="000000"/>
          <w:sz w:val="28"/>
        </w:rPr>
        <w:t>
      Уровень 3: методы, в которых используются исходные данные, оказывающие существенное влияние на отражаемую справедливую стоимость, которые не основываются на наблюдаемой рыночной информации.</w:t>
      </w:r>
    </w:p>
    <w:p>
      <w:pPr>
        <w:spacing w:after="0"/>
        <w:ind w:left="0"/>
        <w:jc w:val="both"/>
      </w:pPr>
      <w:r>
        <w:rPr>
          <w:rFonts w:ascii="Times New Roman"/>
          <w:b w:val="false"/>
          <w:i w:val="false"/>
          <w:color w:val="000000"/>
          <w:sz w:val="28"/>
        </w:rPr>
        <w:t>
      Далее представлено сравнение по категориям балансовой стоимости и справедливой стоимости всех финансовых инструментов Фонда отражаемых по справедливой стоимости в отдельном бухгалтерском балансе: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3580"/>
        <w:gridCol w:w="3147"/>
        <w:gridCol w:w="2719"/>
        <w:gridCol w:w="995"/>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учитываемые по справедливой стоимости</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связанные с опционами колл/пут</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46.376</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оцениваемые по справедливой стоимости</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опционам колл/пут</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учитываемые по справедливой стоимости</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150.318</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связанные с опционами колл/пут</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оцениваемые по справедливой стоимости</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опционам колл/пут</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2" w:id="83"/>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Справедливая стоимость финансовых инструментов</w:t>
      </w:r>
    </w:p>
    <w:bookmarkEnd w:id="83"/>
    <w:p>
      <w:pPr>
        <w:spacing w:after="0"/>
        <w:ind w:left="0"/>
        <w:jc w:val="both"/>
      </w:pPr>
      <w:r>
        <w:rPr>
          <w:rFonts w:ascii="Times New Roman"/>
          <w:b w:val="false"/>
          <w:i w:val="false"/>
          <w:color w:val="000000"/>
          <w:sz w:val="28"/>
        </w:rPr>
        <w:t>
      Текущая стоимость финансовых инструментов Фонда по состоянию на 31 декабря 2013 и 2012 года является обоснованным приближением их справедливой стоимости, за исключением финансовых инструментов представленных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554"/>
        <w:gridCol w:w="2555"/>
        <w:gridCol w:w="1670"/>
        <w:gridCol w:w="2555"/>
        <w:gridCol w:w="1672"/>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справедливой стоимости</w:t>
            </w:r>
          </w:p>
          <w:p>
            <w:pPr>
              <w:spacing w:after="20"/>
              <w:ind w:left="20"/>
              <w:jc w:val="both"/>
            </w:pPr>
            <w:r>
              <w:rPr>
                <w:rFonts w:ascii="Times New Roman"/>
                <w:b w:val="false"/>
                <w:i w:val="false"/>
                <w:color w:val="000000"/>
                <w:sz w:val="20"/>
              </w:rPr>
              <w:t>
с использованием</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Котировок на активном рынке (Уровень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Существенных наблюдаемых исходных данных (Уровень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Существенных ненаблюдаемых исходных данных (Уровень 3)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фиксированной ставкой вознаграждения</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394.964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394.964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с фиксированной ставкой вознаграждения/облигации выпущенные</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(959.166)</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(989.543)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(989.543)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Правительства и Национального Банка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(197.547)</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финансовым гарантиям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554"/>
        <w:gridCol w:w="2555"/>
        <w:gridCol w:w="1670"/>
        <w:gridCol w:w="2555"/>
        <w:gridCol w:w="1672"/>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справедливой стоимости с использованием</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Котировок на активном рынке (Уровень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Существенных наблюдаемых исходных данных (Уровень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Существенных ненаблюдаемых исходных данных (Уровень 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394.861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фиксированной ставкой вознаграждения</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с фиксированной ставкой вознаграждения/облигации выпущенные</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(954.325)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(967.531)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(967.531)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Правительства и Национального Банка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финансовым гарантиям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Справедливая стоимость указанных выше финансовых инструментов была рассчитана посредством дисконтирования ожидаемых будущих потоков денежных средств по преобладающим процентным ставкам.</w:t>
      </w:r>
    </w:p>
    <w:bookmarkStart w:name="z83" w:id="84"/>
    <w:p>
      <w:pPr>
        <w:spacing w:after="0"/>
        <w:ind w:left="0"/>
        <w:jc w:val="both"/>
      </w:pPr>
      <w:r>
        <w:rPr>
          <w:rFonts w:ascii="Times New Roman"/>
          <w:b w:val="false"/>
          <w:i w:val="false"/>
          <w:color w:val="000000"/>
          <w:sz w:val="28"/>
        </w:rPr>
        <w:t xml:space="preserve">
      </w:t>
      </w:r>
      <w:r>
        <w:rPr>
          <w:rFonts w:ascii="Times New Roman"/>
          <w:b/>
          <w:i w:val="false"/>
          <w:color w:val="000000"/>
          <w:sz w:val="28"/>
        </w:rPr>
        <w:t>24. ФИНАНСОВЫЕ И УСЛОВНЫЕ ОБЯЗАТЕЛЬСТВА</w:t>
      </w:r>
    </w:p>
    <w:bookmarkEnd w:id="84"/>
    <w:bookmarkStart w:name="z84" w:id="85"/>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Условные обязательства</w:t>
      </w:r>
    </w:p>
    <w:bookmarkEnd w:id="85"/>
    <w:p>
      <w:pPr>
        <w:spacing w:after="0"/>
        <w:ind w:left="0"/>
        <w:jc w:val="both"/>
      </w:pPr>
      <w:r>
        <w:rPr>
          <w:rFonts w:ascii="Times New Roman"/>
          <w:b w:val="false"/>
          <w:i w:val="false"/>
          <w:color w:val="000000"/>
          <w:sz w:val="28"/>
        </w:rPr>
        <w:t>
      Фонд оценивает степень вероятности возникновения существенных обязательств и отражает соответствующий резерв в своей отдельной финансовой отчетности только тогда, когда существует достаточная вероятность того, что события, ведущие к возникновению обязательства, произойдут, а сумма соответствующего обязательства может быть достоверно определена. В данной отдельной финансовой отчетности не было создано резерва по каким-либо условным обязательствам.</w:t>
      </w:r>
    </w:p>
    <w:bookmarkStart w:name="z85" w:id="86"/>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Налогообложение</w:t>
      </w:r>
    </w:p>
    <w:bookmarkEnd w:id="86"/>
    <w:p>
      <w:pPr>
        <w:spacing w:after="0"/>
        <w:ind w:left="0"/>
        <w:jc w:val="both"/>
      </w:pPr>
      <w:r>
        <w:rPr>
          <w:rFonts w:ascii="Times New Roman"/>
          <w:b w:val="false"/>
          <w:i w:val="false"/>
          <w:color w:val="000000"/>
          <w:sz w:val="28"/>
        </w:rPr>
        <w:t>
      Казахстанское налоговое законодательство и нормативно-правовые акты являются предметом постоянных изменений и различных толкований. Нередки случаи расхождения во мнениях между местными, региональными и республиканскими налоговыми органами. Штрафы и пени за выявленные правонарушения на основании действующих в Казахстане законов могут быть существенными. Штрафные санкции включают в себя штрафы, как правило, в размере 50% от суммы дополнительно начисленных налогов, и пеню начисленную по ставке рефинансирования, установленной Национальным Банком Республики Казахстан, умноженной на 2,5. В результате, сумма штрафных санкций и пени может в несколько раз превышать суммы подлежащих доначислению налогов. Финансовые периоды остаются открытыми для проверки налоговыми органами в течение 5 (пяти) календарных лет, предшествующих году, в котором проводится проверка. При определенных обстоятельствах проверки могут охватывать более длительные периоды. Ввиду неопределенностей, связанных с Казахстанской налоговой системой, окончательная сумма налогов, штрафных санкций и пени, если таковые имеются, может превысить сумму, отнесенную на расходы по настоящее время и начисленную на 31 декабря 2013 года. Руководство считает, что на 31 декабря 2013 года его толкование применимого законодательства является соответствующим и существует вероятность того, что позиция Фонда по налогам будет подтверждена.</w:t>
      </w:r>
    </w:p>
    <w:bookmarkStart w:name="z86" w:id="87"/>
    <w:p>
      <w:pPr>
        <w:spacing w:after="0"/>
        <w:ind w:left="0"/>
        <w:jc w:val="both"/>
      </w:pPr>
      <w:r>
        <w:rPr>
          <w:rFonts w:ascii="Times New Roman"/>
          <w:b w:val="false"/>
          <w:i w:val="false"/>
          <w:color w:val="000000"/>
          <w:sz w:val="28"/>
        </w:rPr>
        <w:t xml:space="preserve">
      </w:t>
      </w:r>
      <w:r>
        <w:rPr>
          <w:rFonts w:ascii="Times New Roman"/>
          <w:b/>
          <w:i w:val="false"/>
          <w:color w:val="000000"/>
          <w:sz w:val="28"/>
        </w:rPr>
        <w:t>Провизии в отношении активов, размещенных в АО "БТА Банк"</w:t>
      </w:r>
    </w:p>
    <w:bookmarkEnd w:id="87"/>
    <w:p>
      <w:pPr>
        <w:spacing w:after="0"/>
        <w:ind w:left="0"/>
        <w:jc w:val="both"/>
      </w:pPr>
      <w:r>
        <w:rPr>
          <w:rFonts w:ascii="Times New Roman"/>
          <w:b w:val="false"/>
          <w:i w:val="false"/>
          <w:color w:val="000000"/>
          <w:sz w:val="28"/>
        </w:rPr>
        <w:t>
      В сентябре 2010 года Налоговый комитет Министерства финансов Республики Казахстан инициировал комплексную налоговую проверку деятельности Фонда за 2009 год. По результатам налоговой проверки налоговые органы считают неправомерным вычеты провизий для целей расчета корпоративного подоходного налога за 2009 год. Фонд с результатами налоговой проверки не согласен, на дату выпуска отдельной финансовой отчетности документы для обжалования направлены в Налоговый комитет.</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2275 от 30 декабря 2009 года были утверждены "Правила отнесения активов и условных обязательств к категории сомнительных и безнадежных национальным управляющим холдингом, а также юридическими лицами,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имеющих право на вычет суммы расходов по созданию провизий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лиц либо третьим лицам по обязательствам взаимосвязанных лиц (кроме активов и условных обязательств кредитных товариществ) (далее "Правила"). </w:t>
      </w:r>
    </w:p>
    <w:p>
      <w:pPr>
        <w:spacing w:after="0"/>
        <w:ind w:left="0"/>
        <w:jc w:val="both"/>
      </w:pPr>
      <w:r>
        <w:rPr>
          <w:rFonts w:ascii="Times New Roman"/>
          <w:b w:val="false"/>
          <w:i w:val="false"/>
          <w:color w:val="000000"/>
          <w:sz w:val="28"/>
        </w:rPr>
        <w:t>
      В соответствии с Правилами, Фонд создал и отнес на вычеты для целей расчета корпоративного подоходного налога провизии в отношении активов, размещенных в БТА, на сумму 177.352 миллиона тенге (далее "провизии").</w:t>
      </w:r>
    </w:p>
    <w:p>
      <w:pPr>
        <w:spacing w:after="0"/>
        <w:ind w:left="0"/>
        <w:jc w:val="both"/>
      </w:pPr>
      <w:r>
        <w:rPr>
          <w:rFonts w:ascii="Times New Roman"/>
          <w:b w:val="false"/>
          <w:i w:val="false"/>
          <w:color w:val="000000"/>
          <w:sz w:val="28"/>
        </w:rPr>
        <w:t>
      Руководство Фонда считает, что на 31 декабря 2013 года его толкование применимого законодательства (включая Правила) является соответствующим и позиция Фонда в отношении отнесения на вычеты данных провизий будет подтверждена. Соответственно, в данной отдельной финансовой отчетности Фонд не признал какие-либо резервы, связанными с возможными доначислениями по результатам налоговой проверки.</w:t>
      </w:r>
    </w:p>
    <w:bookmarkStart w:name="z87" w:id="88"/>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повторному использованию антикризисных средств</w:t>
      </w:r>
    </w:p>
    <w:bookmarkEnd w:id="88"/>
    <w:p>
      <w:pPr>
        <w:spacing w:after="0"/>
        <w:ind w:left="0"/>
        <w:jc w:val="both"/>
      </w:pPr>
      <w:r>
        <w:rPr>
          <w:rFonts w:ascii="Times New Roman"/>
          <w:b w:val="false"/>
          <w:i w:val="false"/>
          <w:color w:val="000000"/>
          <w:sz w:val="28"/>
        </w:rPr>
        <w:t>
      В соответствии с протоколами заседаний Государственной комиссии по вопросам модернизации экономики Республики Казахстан № 17-5/И-380 от 5 апреля 2012 года, № 17-5/11-10 от 30 января 2013 года и № 17-5/И-788 от 7 октября 2013 года Фонду надлежит осуществить финансирование ряда инвестиционных проектов на общую сумму 540.752 миллиона тенге в течение 2012-2014 годов. С учетом освоенных средств в 2012-2013 годах, обязательства Фонда по состоянию на 31 декабря 2013 года к освоению в 2014 году составляют 193.714 миллионов тенге (31 декабря 2012 года: 415.324 миллиона тенге), в том числе по следующим проектам: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Финансирование программы жилищного строительства – реализация программы "Доступное жилье"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821 от 21 июня 2012 года на строительство жилья через АО "Фонд недвижимости "Самрук-Казына" предусматривается использовать средства Фонда и средства Национального Фонда. В соответствии с протоколом заседания Государственной комиссии по вопросам модернизации экономики Республики Казахстан № 17-5/11-10 от 30 января 2013 года Фонд перераспределил средства на финансирование инвестиционного проекта "Строительство магистрального газопровода Запад-Север-Центр" (Карталы–Тобол-Кокшетау-Астана) в размере 56.615 миллионов тенге из средств, предусмотренных на финансирование программы "Доступное жилье". По состоянию на 31 декабря 2013 года обязательства Фонда по финансированию программы "Доступное жилье – 2020" с учетом перераспределенных средств составляют 8.100 миллионов тенге (31 декабря 2012 года: 36.200 миллионов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Реализация прочих инвестиционных проектов Фонда</w:t>
      </w:r>
    </w:p>
    <w:p>
      <w:pPr>
        <w:spacing w:after="0"/>
        <w:ind w:left="0"/>
        <w:jc w:val="both"/>
      </w:pPr>
      <w:r>
        <w:rPr>
          <w:rFonts w:ascii="Times New Roman"/>
          <w:b w:val="false"/>
          <w:i w:val="false"/>
          <w:color w:val="000000"/>
          <w:sz w:val="28"/>
        </w:rPr>
        <w:t>
      По состоянию на 31 декабря 2013 года обязательства Фонда по финансированию прочих инвестиционных проектов составляют 185.614 миллионов тенге (31 декабря 2012 года: 379.124 миллиона тенге).</w:t>
      </w:r>
    </w:p>
    <w:p>
      <w:pPr>
        <w:spacing w:after="0"/>
        <w:ind w:left="0"/>
        <w:jc w:val="both"/>
      </w:pPr>
      <w:r>
        <w:rPr>
          <w:rFonts w:ascii="Times New Roman"/>
          <w:b w:val="false"/>
          <w:i w:val="false"/>
          <w:color w:val="000000"/>
          <w:sz w:val="28"/>
        </w:rPr>
        <w:t>
      Кроме того, в соответствии с протоколом заседания Государственной комиссии по вопросам модернизации экономики Республики Казахстан № 17-5/11-10 от 30 января 2013 года в 2013 году Фонду поручено осуществить финансирование инвестиционного проекта "Строительство магистрального газопровода Запад-Север-Центр" (Карталы-Тобол-Кокшетау-Астана) в размере 60.000 миллионов тенге за счет собственных средств Фонда и/или НК КМГ, в том числе 20.000 миллионов тенге планируется выделить за счет средств НК КМГ.</w:t>
      </w:r>
    </w:p>
    <w:p>
      <w:pPr>
        <w:spacing w:after="0"/>
        <w:ind w:left="0"/>
        <w:jc w:val="both"/>
      </w:pPr>
      <w:r>
        <w:rPr>
          <w:rFonts w:ascii="Times New Roman"/>
          <w:b w:val="false"/>
          <w:i w:val="false"/>
          <w:color w:val="000000"/>
          <w:sz w:val="28"/>
        </w:rPr>
        <w:t>
      В соответствии с протоколом заседания Межведомственной комиссии по развитию нефтегазовой и энергетической отраслей № 17-5/07-145 от 19 апреля 2013 года реализация вышеуказанного проекта приостановлена сроком на 1 (один) год.</w:t>
      </w:r>
    </w:p>
    <w:p>
      <w:pPr>
        <w:spacing w:after="0"/>
        <w:ind w:left="0"/>
        <w:jc w:val="both"/>
      </w:pPr>
      <w:r>
        <w:rPr>
          <w:rFonts w:ascii="Times New Roman"/>
          <w:b w:val="false"/>
          <w:i w:val="false"/>
          <w:color w:val="000000"/>
          <w:sz w:val="28"/>
        </w:rPr>
        <w:t xml:space="preserve">
      Вместе с тем, данные средства и средства, перераспределенные из </w:t>
      </w:r>
      <w:r>
        <w:rPr>
          <w:rFonts w:ascii="Times New Roman"/>
          <w:b w:val="false"/>
          <w:i w:val="false"/>
          <w:color w:val="000000"/>
          <w:sz w:val="28"/>
        </w:rPr>
        <w:t>программы</w:t>
      </w:r>
      <w:r>
        <w:rPr>
          <w:rFonts w:ascii="Times New Roman"/>
          <w:b w:val="false"/>
          <w:i w:val="false"/>
          <w:color w:val="000000"/>
          <w:sz w:val="28"/>
        </w:rPr>
        <w:t xml:space="preserve"> "Доступное жилье", планируется возместить путем выделения из Республиканского бюджета в 2014 году средств на увеличение уставного капитала Фонда в размере 122.707 миллионов тенге. </w:t>
      </w:r>
    </w:p>
    <w:bookmarkStart w:name="z88"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Обязательства по инвестиционным проектам за счет средств Республиканского бюджета      </w:t>
      </w:r>
    </w:p>
    <w:bookmarkEnd w:id="89"/>
    <w:p>
      <w:pPr>
        <w:spacing w:after="0"/>
        <w:ind w:left="0"/>
        <w:jc w:val="both"/>
      </w:pPr>
      <w:r>
        <w:rPr>
          <w:rFonts w:ascii="Times New Roman"/>
          <w:b w:val="false"/>
          <w:i w:val="false"/>
          <w:color w:val="000000"/>
          <w:sz w:val="28"/>
        </w:rPr>
        <w:t>
      На 31 декабря 2013 года обязательства Фонда по реализации инвестиционных проектов за счет средств Республиканского бюджета составили 2.030 миллионов тенге (на 31 декабря 2012 года: 6.030 миллионов тенге).</w:t>
      </w:r>
    </w:p>
    <w:bookmarkStart w:name="z89" w:id="90"/>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Договорное обязательство на покупку акций Шекербанк</w:t>
      </w:r>
    </w:p>
    <w:bookmarkEnd w:id="90"/>
    <w:p>
      <w:pPr>
        <w:spacing w:after="0"/>
        <w:ind w:left="0"/>
        <w:jc w:val="both"/>
      </w:pPr>
      <w:r>
        <w:rPr>
          <w:rFonts w:ascii="Times New Roman"/>
          <w:b w:val="false"/>
          <w:i w:val="false"/>
          <w:color w:val="000000"/>
          <w:sz w:val="28"/>
        </w:rPr>
        <w:t>
      25 января 2012 года Фондом заключен договор приобретения 339.787.080 штук акций (33,98%) турецкого банка "Шекербанк" у АО "БТА Секьюритис" (дочерней организации АО "БТА Банк"). На 31 декабря 2013 года Фонд владеет 219.310.353 акциями (21,93%) (Примечание 6). В настоящее время приобретение оставшегося пакета акций невозможно, в связи с арестом, наложенным на акции банка "Шекербанк", принадлежащих АО "БТА Секьюритис", по иску Vakifbank T.A.O., предъявленному к БТА.</w:t>
      </w:r>
    </w:p>
    <w:bookmarkStart w:name="z90" w:id="91"/>
    <w:p>
      <w:pPr>
        <w:spacing w:after="0"/>
        <w:ind w:left="0"/>
        <w:jc w:val="both"/>
      </w:pPr>
      <w:r>
        <w:rPr>
          <w:rFonts w:ascii="Times New Roman"/>
          <w:b w:val="false"/>
          <w:i w:val="false"/>
          <w:color w:val="000000"/>
          <w:sz w:val="28"/>
        </w:rPr>
        <w:t xml:space="preserve">
      </w:t>
      </w:r>
      <w:r>
        <w:rPr>
          <w:rFonts w:ascii="Times New Roman"/>
          <w:b/>
          <w:i w:val="false"/>
          <w:color w:val="000000"/>
          <w:sz w:val="28"/>
        </w:rPr>
        <w:t>25. СОБЫТИЯ ПОСЛЕ ОТЧЕТНОЙ ДАТЫ</w:t>
      </w:r>
    </w:p>
    <w:bookmarkEnd w:id="91"/>
    <w:p>
      <w:pPr>
        <w:spacing w:after="0"/>
        <w:ind w:left="0"/>
        <w:jc w:val="both"/>
      </w:pPr>
      <w:r>
        <w:rPr>
          <w:rFonts w:ascii="Times New Roman"/>
          <w:b w:val="false"/>
          <w:i w:val="false"/>
          <w:color w:val="000000"/>
          <w:sz w:val="28"/>
        </w:rPr>
        <w:t xml:space="preserve">
      </w:t>
      </w:r>
      <w:r>
        <w:rPr>
          <w:rFonts w:ascii="Times New Roman"/>
          <w:b w:val="false"/>
          <w:i/>
          <w:color w:val="000000"/>
          <w:sz w:val="28"/>
        </w:rPr>
        <w:t>Реализаций акций БТА</w:t>
      </w:r>
    </w:p>
    <w:p>
      <w:pPr>
        <w:spacing w:after="0"/>
        <w:ind w:left="0"/>
        <w:jc w:val="both"/>
      </w:pPr>
      <w:r>
        <w:rPr>
          <w:rFonts w:ascii="Times New Roman"/>
          <w:b w:val="false"/>
          <w:i w:val="false"/>
          <w:color w:val="000000"/>
          <w:sz w:val="28"/>
        </w:rPr>
        <w:t>
      31 января 2014 года подписаны соглашения об отчуждении пакета акций БТА между Фондом и двумя покупателями – ККБ и г. Ракишевым. Сделка не будет считаться завершенной до выполнения сторонами ряда отлагательных условий (</w:t>
      </w:r>
      <w:r>
        <w:rPr>
          <w:rFonts w:ascii="Times New Roman"/>
          <w:b w:val="false"/>
          <w:i/>
          <w:color w:val="000000"/>
          <w:sz w:val="28"/>
        </w:rPr>
        <w:t>Примечание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Реализация акций Темирбанк и Альянс банк</w:t>
      </w:r>
    </w:p>
    <w:p>
      <w:pPr>
        <w:spacing w:after="0"/>
        <w:ind w:left="0"/>
        <w:jc w:val="both"/>
      </w:pPr>
      <w:r>
        <w:rPr>
          <w:rFonts w:ascii="Times New Roman"/>
          <w:b w:val="false"/>
          <w:i w:val="false"/>
          <w:color w:val="000000"/>
          <w:sz w:val="28"/>
        </w:rPr>
        <w:t>
      5 марта 2014 года подписано постановление Правительства по отчуждению пакетов акций Темирбанк и Альянс банк, таким образом, выполнено одно из отлагательных условий Фонда для закрытия сделки (</w:t>
      </w:r>
      <w:r>
        <w:rPr>
          <w:rFonts w:ascii="Times New Roman"/>
          <w:b w:val="false"/>
          <w:i/>
          <w:color w:val="000000"/>
          <w:sz w:val="28"/>
        </w:rPr>
        <w:t>Примечание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изменения в инвестициях в дочерние организации</w:t>
      </w:r>
    </w:p>
    <w:p>
      <w:pPr>
        <w:spacing w:after="0"/>
        <w:ind w:left="0"/>
        <w:jc w:val="both"/>
      </w:pPr>
      <w:r>
        <w:rPr>
          <w:rFonts w:ascii="Times New Roman"/>
          <w:b w:val="false"/>
          <w:i w:val="false"/>
          <w:color w:val="000000"/>
          <w:sz w:val="28"/>
        </w:rPr>
        <w:t>
      В течение первых четырех месяцев 2014 года Фонд осуществил дополнительные денежные взносы в уставные капиталы дочерних организаций в сумме 86.028 миллионов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Займы выданные</w:t>
      </w:r>
    </w:p>
    <w:p>
      <w:pPr>
        <w:spacing w:after="0"/>
        <w:ind w:left="0"/>
        <w:jc w:val="both"/>
      </w:pPr>
      <w:r>
        <w:rPr>
          <w:rFonts w:ascii="Times New Roman"/>
          <w:b w:val="false"/>
          <w:i w:val="false"/>
          <w:color w:val="000000"/>
          <w:sz w:val="28"/>
        </w:rPr>
        <w:t>
      16 января 2014 года Фонд заключил договор займа с АО "Самрук-энерго", в соответствии с которым Фонд предоставил займ в размере 200.000 миллионов тенге для финансирования приобретения 50% доли участия ТОО "Экибастузская ГРЭС-1" и 100% доли участия ТОО "Казгидротехэнерго". Финансирование осуществлено за счет средств Национального фонда в соответствии с протоколом заседания по управлению Национальным фондом Республики Казахстан № 01-7.9 от 11 апреля 2013 года.</w:t>
      </w:r>
    </w:p>
    <w:p>
      <w:pPr>
        <w:spacing w:after="0"/>
        <w:ind w:left="0"/>
        <w:jc w:val="both"/>
      </w:pPr>
      <w:r>
        <w:rPr>
          <w:rFonts w:ascii="Times New Roman"/>
          <w:b w:val="false"/>
          <w:i w:val="false"/>
          <w:color w:val="000000"/>
          <w:sz w:val="28"/>
        </w:rPr>
        <w:t xml:space="preserve">
      9 апреля 2014 года Фонд предоставил дополнительный транши АО "Фонд недвижимости "Самрук-Казына" в размере 5.000 миллионов тенге для финансирования проектов жилищного строительства в рамках </w:t>
      </w:r>
      <w:r>
        <w:rPr>
          <w:rFonts w:ascii="Times New Roman"/>
          <w:b w:val="false"/>
          <w:i w:val="false"/>
          <w:color w:val="000000"/>
          <w:sz w:val="28"/>
        </w:rPr>
        <w:t>Программы</w:t>
      </w:r>
      <w:r>
        <w:rPr>
          <w:rFonts w:ascii="Times New Roman"/>
          <w:b w:val="false"/>
          <w:i w:val="false"/>
          <w:color w:val="000000"/>
          <w:sz w:val="28"/>
        </w:rPr>
        <w:t xml:space="preserve"> "Доступное жилье – 2020", утвержденной постановлением Правительства Республики Казахстан № 821 от 21 июня 2012 года. Финансирование осуществлено за счет средств Национального фонда в соответствии с протоколом заседания Государственной комиссии по вопросам модернизации экономики Республики Казахстан № 17-5/И-380 от 5 апреля 2012 года.</w:t>
      </w:r>
    </w:p>
    <w:p>
      <w:pPr>
        <w:spacing w:after="0"/>
        <w:ind w:left="0"/>
        <w:jc w:val="both"/>
      </w:pPr>
      <w:r>
        <w:rPr>
          <w:rFonts w:ascii="Times New Roman"/>
          <w:b w:val="false"/>
          <w:i w:val="false"/>
          <w:color w:val="000000"/>
          <w:sz w:val="28"/>
        </w:rPr>
        <w:t>
      В январе 2014 года Kazakhmys Finance Plc осуществил досрочное погашение займов в размере 400 миллионов долларов США (эквивалент 61.808 миллионов тенге по курсу на дату оплаты) по проектам разработки медных месторождений Жомарт и Акбастау/Космурун.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Средства Правительства</w:t>
      </w:r>
    </w:p>
    <w:p>
      <w:pPr>
        <w:spacing w:after="0"/>
        <w:ind w:left="0"/>
        <w:jc w:val="both"/>
      </w:pPr>
      <w:r>
        <w:rPr>
          <w:rFonts w:ascii="Times New Roman"/>
          <w:b w:val="false"/>
          <w:i w:val="false"/>
          <w:color w:val="000000"/>
          <w:sz w:val="28"/>
        </w:rPr>
        <w:t>
      В январе 2014 года Фонд разместил 300.000.000 купонных облигаций, номинальной стоимостью 1.000 тенге за облигацию на общую сумму 300.000 миллионов тенге со сроком обращения облигаций 15 лет и купонным вознаграждением в размере 3% годовых. Облигации выкуплены Национальным Банком Республики Казахстан. Средства, полученные от реализации данных облигаций, в размере 200.000 миллионов тенге были использованы для выдачи займа АО "Самрук-энерго" в целях финансирования приобретения 50% доли участия ТОО "Экибастузская ГРЭС-1" и 100% доли участия ТОО "Казгидротехэнерго".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Займы полученные</w:t>
      </w:r>
    </w:p>
    <w:p>
      <w:pPr>
        <w:spacing w:after="0"/>
        <w:ind w:left="0"/>
        <w:jc w:val="both"/>
      </w:pPr>
      <w:r>
        <w:rPr>
          <w:rFonts w:ascii="Times New Roman"/>
          <w:b w:val="false"/>
          <w:i w:val="false"/>
          <w:color w:val="000000"/>
          <w:sz w:val="28"/>
        </w:rPr>
        <w:t>
      В январе 2014 года Фонд осуществил частичное досрочное погашение займов перед Государственным банком развития Китая в размере 400 миллионов долларов США (эквивалент 61.904 миллиона тенге по курсу на дату оплаты) по проектам разработки медных месторождений Жомарт и Акбастау/Космурун.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Девальвация тенге</w:t>
      </w:r>
    </w:p>
    <w:p>
      <w:pPr>
        <w:spacing w:after="0"/>
        <w:ind w:left="0"/>
        <w:jc w:val="both"/>
      </w:pPr>
      <w:r>
        <w:rPr>
          <w:rFonts w:ascii="Times New Roman"/>
          <w:b w:val="false"/>
          <w:i w:val="false"/>
          <w:color w:val="000000"/>
          <w:sz w:val="28"/>
        </w:rPr>
        <w:t xml:space="preserve">
      11 февраля 2014 года тенге девальвировал по отношению к доллару США и другим основным валютам. Обменный курс до и после девальвации составил 155,56 за 1 доллар США и 184,5 за 1 доллар США, соответственно, что близко к девальвации тенге на 19%. Чувствительность чистой прибыли Фонда до учета подоходного налога к возможным изменениям в обменных курсах тенге по отношению к доллару США раскрыто в </w:t>
      </w:r>
      <w:r>
        <w:rPr>
          <w:rFonts w:ascii="Times New Roman"/>
          <w:b w:val="false"/>
          <w:i/>
          <w:color w:val="000000"/>
          <w:sz w:val="28"/>
        </w:rPr>
        <w:t>Примечании 23</w:t>
      </w:r>
      <w:r>
        <w:rPr>
          <w:rFonts w:ascii="Times New Roman"/>
          <w:b w:val="false"/>
          <w:i w:val="false"/>
          <w:color w:val="000000"/>
          <w:sz w:val="28"/>
        </w:rPr>
        <w:t>. Данный анализ чувствительности показывает только возможный эффект девальвации тенге, как если бы она произошла по состоянию на 31 декабря 2013 года, при том условии, что все остальные параметры приняты как неизменные величины.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Взносы в уставный капитал</w:t>
      </w:r>
    </w:p>
    <w:p>
      <w:pPr>
        <w:spacing w:after="0"/>
        <w:ind w:left="0"/>
        <w:jc w:val="both"/>
      </w:pPr>
      <w:r>
        <w:rPr>
          <w:rFonts w:ascii="Times New Roman"/>
          <w:b w:val="false"/>
          <w:i w:val="false"/>
          <w:color w:val="000000"/>
          <w:sz w:val="28"/>
        </w:rPr>
        <w:t>
      В апреле 2014 года Акционер осуществил денежный взнос в уставный капитал Фонда в размере 54.500 миллионов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октября 2014 года</w:t>
            </w:r>
            <w:r>
              <w:br/>
            </w:r>
            <w:r>
              <w:rPr>
                <w:rFonts w:ascii="Times New Roman"/>
                <w:b w:val="false"/>
                <w:i w:val="false"/>
                <w:color w:val="000000"/>
                <w:sz w:val="20"/>
              </w:rPr>
              <w:t>№ 1121</w:t>
            </w:r>
          </w:p>
        </w:tc>
      </w:tr>
    </w:tbl>
    <w:bookmarkStart w:name="z92" w:id="92"/>
    <w:p>
      <w:pPr>
        <w:spacing w:after="0"/>
        <w:ind w:left="0"/>
        <w:jc w:val="both"/>
      </w:pPr>
      <w:r>
        <w:rPr>
          <w:rFonts w:ascii="Times New Roman"/>
          <w:b w:val="false"/>
          <w:i w:val="false"/>
          <w:color w:val="000000"/>
          <w:sz w:val="28"/>
        </w:rPr>
        <w:t>
      АО "Фонд Национального Благосостояния</w:t>
      </w:r>
    </w:p>
    <w:bookmarkEnd w:id="92"/>
    <w:p>
      <w:pPr>
        <w:spacing w:after="0"/>
        <w:ind w:left="0"/>
        <w:jc w:val="both"/>
      </w:pPr>
      <w:r>
        <w:rPr>
          <w:rFonts w:ascii="Times New Roman"/>
          <w:b w:val="false"/>
          <w:i w:val="false"/>
          <w:color w:val="000000"/>
          <w:sz w:val="28"/>
        </w:rPr>
        <w:t>
      "Самрук-Қазына"</w:t>
      </w:r>
    </w:p>
    <w:p>
      <w:pPr>
        <w:spacing w:after="0"/>
        <w:ind w:left="0"/>
        <w:jc w:val="both"/>
      </w:pPr>
      <w:r>
        <w:rPr>
          <w:rFonts w:ascii="Times New Roman"/>
          <w:b w:val="false"/>
          <w:i w:val="false"/>
          <w:color w:val="000000"/>
          <w:sz w:val="28"/>
        </w:rPr>
        <w:t>
      Консолидированная финансовая отчетность</w:t>
      </w:r>
    </w:p>
    <w:p>
      <w:pPr>
        <w:spacing w:after="0"/>
        <w:ind w:left="0"/>
        <w:jc w:val="both"/>
      </w:pPr>
      <w:r>
        <w:rPr>
          <w:rFonts w:ascii="Times New Roman"/>
          <w:b w:val="false"/>
          <w:i w:val="false"/>
          <w:color w:val="000000"/>
          <w:sz w:val="28"/>
        </w:rPr>
        <w:t>
      За год, закончившийся 31 декабря 2013 года</w:t>
      </w:r>
    </w:p>
    <w:p>
      <w:pPr>
        <w:spacing w:after="0"/>
        <w:ind w:left="0"/>
        <w:jc w:val="both"/>
      </w:pPr>
      <w:r>
        <w:rPr>
          <w:rFonts w:ascii="Times New Roman"/>
          <w:b w:val="false"/>
          <w:i w:val="false"/>
          <w:color w:val="000000"/>
          <w:sz w:val="28"/>
        </w:rPr>
        <w:t>
      с отчетом независимых аудиторов</w:t>
      </w:r>
    </w:p>
    <w:bookmarkStart w:name="z93" w:id="93"/>
    <w:p>
      <w:pPr>
        <w:spacing w:after="0"/>
        <w:ind w:left="0"/>
        <w:jc w:val="both"/>
      </w:pPr>
      <w:r>
        <w:rPr>
          <w:rFonts w:ascii="Times New Roman"/>
          <w:b w:val="false"/>
          <w:i w:val="false"/>
          <w:color w:val="000000"/>
          <w:sz w:val="28"/>
        </w:rPr>
        <w:t xml:space="preserve">
      </w:t>
      </w:r>
      <w:r>
        <w:rPr>
          <w:rFonts w:ascii="Times New Roman"/>
          <w:b/>
          <w:i w:val="false"/>
          <w:color w:val="000000"/>
          <w:sz w:val="28"/>
        </w:rPr>
        <w:t>СОДЕРЖАНИЕ</w:t>
      </w:r>
    </w:p>
    <w:bookmarkEnd w:id="93"/>
    <w:p>
      <w:pPr>
        <w:spacing w:after="0"/>
        <w:ind w:left="0"/>
        <w:jc w:val="both"/>
      </w:pPr>
      <w:r>
        <w:rPr>
          <w:rFonts w:ascii="Times New Roman"/>
          <w:b w:val="false"/>
          <w:i w:val="false"/>
          <w:color w:val="000000"/>
          <w:sz w:val="28"/>
        </w:rPr>
        <w:t>
      Отчет независимых аудиторов</w:t>
      </w:r>
    </w:p>
    <w:bookmarkStart w:name="z94" w:id="94"/>
    <w:p>
      <w:pPr>
        <w:spacing w:after="0"/>
        <w:ind w:left="0"/>
        <w:jc w:val="both"/>
      </w:pPr>
      <w:r>
        <w:rPr>
          <w:rFonts w:ascii="Times New Roman"/>
          <w:b w:val="false"/>
          <w:i w:val="false"/>
          <w:color w:val="000000"/>
          <w:sz w:val="28"/>
        </w:rPr>
        <w:t xml:space="preserve">
      </w:t>
      </w:r>
      <w:r>
        <w:rPr>
          <w:rFonts w:ascii="Times New Roman"/>
          <w:b/>
          <w:i w:val="false"/>
          <w:color w:val="000000"/>
          <w:sz w:val="28"/>
        </w:rPr>
        <w:t>Консолидированная финансовая отчетность</w:t>
      </w:r>
    </w:p>
    <w:bookmarkEnd w:id="94"/>
    <w:p>
      <w:pPr>
        <w:spacing w:after="0"/>
        <w:ind w:left="0"/>
        <w:jc w:val="both"/>
      </w:pPr>
      <w:r>
        <w:rPr>
          <w:rFonts w:ascii="Times New Roman"/>
          <w:b w:val="false"/>
          <w:i w:val="false"/>
          <w:color w:val="000000"/>
          <w:sz w:val="28"/>
        </w:rPr>
        <w:t>
      Консолидированный бухгалтерский баланс</w:t>
      </w:r>
    </w:p>
    <w:p>
      <w:pPr>
        <w:spacing w:after="0"/>
        <w:ind w:left="0"/>
        <w:jc w:val="both"/>
      </w:pPr>
      <w:r>
        <w:rPr>
          <w:rFonts w:ascii="Times New Roman"/>
          <w:b w:val="false"/>
          <w:i w:val="false"/>
          <w:color w:val="000000"/>
          <w:sz w:val="28"/>
        </w:rPr>
        <w:t>
      Консолидированный отчет о совокупном доходе</w:t>
      </w:r>
    </w:p>
    <w:p>
      <w:pPr>
        <w:spacing w:after="0"/>
        <w:ind w:left="0"/>
        <w:jc w:val="both"/>
      </w:pPr>
      <w:r>
        <w:rPr>
          <w:rFonts w:ascii="Times New Roman"/>
          <w:b w:val="false"/>
          <w:i w:val="false"/>
          <w:color w:val="000000"/>
          <w:sz w:val="28"/>
        </w:rPr>
        <w:t>
      Консолидированный отчет об изменениях в капитале</w:t>
      </w:r>
    </w:p>
    <w:p>
      <w:pPr>
        <w:spacing w:after="0"/>
        <w:ind w:left="0"/>
        <w:jc w:val="both"/>
      </w:pPr>
      <w:r>
        <w:rPr>
          <w:rFonts w:ascii="Times New Roman"/>
          <w:b w:val="false"/>
          <w:i w:val="false"/>
          <w:color w:val="000000"/>
          <w:sz w:val="28"/>
        </w:rPr>
        <w:t>
      Консолидированный отчет о движении денежных средств</w:t>
      </w:r>
    </w:p>
    <w:p>
      <w:pPr>
        <w:spacing w:after="0"/>
        <w:ind w:left="0"/>
        <w:jc w:val="both"/>
      </w:pPr>
      <w:r>
        <w:rPr>
          <w:rFonts w:ascii="Times New Roman"/>
          <w:b w:val="false"/>
          <w:i w:val="false"/>
          <w:color w:val="000000"/>
          <w:sz w:val="28"/>
        </w:rPr>
        <w:t>
      Примечания к консолидированной финансовой отчетности</w:t>
      </w:r>
    </w:p>
    <w:bookmarkStart w:name="z95" w:id="95"/>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независимых аудиторов</w:t>
      </w:r>
    </w:p>
    <w:bookmarkEnd w:id="95"/>
    <w:p>
      <w:pPr>
        <w:spacing w:after="0"/>
        <w:ind w:left="0"/>
        <w:jc w:val="both"/>
      </w:pPr>
      <w:r>
        <w:rPr>
          <w:rFonts w:ascii="Times New Roman"/>
          <w:b w:val="false"/>
          <w:i w:val="false"/>
          <w:color w:val="000000"/>
          <w:sz w:val="28"/>
        </w:rPr>
        <w:t xml:space="preserve">
      </w:t>
      </w:r>
      <w:r>
        <w:rPr>
          <w:rFonts w:ascii="Times New Roman"/>
          <w:b w:val="false"/>
          <w:i/>
          <w:color w:val="000000"/>
          <w:sz w:val="28"/>
        </w:rPr>
        <w:t>Акционеру и Руководству АО "Фонд Национального Благосостояния "Самрук-Қазына"</w:t>
      </w:r>
    </w:p>
    <w:p>
      <w:pPr>
        <w:spacing w:after="0"/>
        <w:ind w:left="0"/>
        <w:jc w:val="both"/>
      </w:pPr>
      <w:r>
        <w:rPr>
          <w:rFonts w:ascii="Times New Roman"/>
          <w:b w:val="false"/>
          <w:i w:val="false"/>
          <w:color w:val="000000"/>
          <w:sz w:val="28"/>
        </w:rPr>
        <w:t>
      Мы провели аудит прилагаемой консолидированной финансовой отчетности АО "Фонд Национального Благосостояния "Самрук-Қазына" и его дочерних организаций (далее "Фонд"), которая включает консолидированный бухгалтерский баланс по состоянию на 31 декабря 2013 года, консолидированный отчет о совокупном доходе, консолидированный отчет об изменениях в капитале и консолидированный отчет о движении денежных средств за год, закончившийся на указанную дату, а также информацию о существенных аспектах учетной политики и другую пояснительную информацию.</w:t>
      </w:r>
    </w:p>
    <w:bookmarkStart w:name="z96" w:id="96"/>
    <w:p>
      <w:pPr>
        <w:spacing w:after="0"/>
        <w:ind w:left="0"/>
        <w:jc w:val="both"/>
      </w:pPr>
      <w:r>
        <w:rPr>
          <w:rFonts w:ascii="Times New Roman"/>
          <w:b w:val="false"/>
          <w:i w:val="false"/>
          <w:color w:val="000000"/>
          <w:sz w:val="28"/>
        </w:rPr>
        <w:t xml:space="preserve">
      </w:t>
      </w:r>
      <w:r>
        <w:rPr>
          <w:rFonts w:ascii="Times New Roman"/>
          <w:b w:val="false"/>
          <w:i/>
          <w:color w:val="000000"/>
          <w:sz w:val="28"/>
        </w:rPr>
        <w:t>Ответственность руководства в отношении консолидированной финансовой отчетности</w:t>
      </w:r>
    </w:p>
    <w:bookmarkEnd w:id="96"/>
    <w:p>
      <w:pPr>
        <w:spacing w:after="0"/>
        <w:ind w:left="0"/>
        <w:jc w:val="both"/>
      </w:pPr>
      <w:r>
        <w:rPr>
          <w:rFonts w:ascii="Times New Roman"/>
          <w:b w:val="false"/>
          <w:i w:val="false"/>
          <w:color w:val="000000"/>
          <w:sz w:val="28"/>
        </w:rPr>
        <w:t>
      Руководство несет ответственность за подготовку и достоверное представление данной консолидированной финансовой отчетности в соответствии с Международными стандартами финансовой отчетности, а также за процедуры внутреннего контроля, необходимые, по мнению руководства, для обеспечения подготовки консолидированной финансовой отчетности, не содержащей существенных искажений вследствие недобросовестных действий или ошибки.</w:t>
      </w:r>
    </w:p>
    <w:bookmarkStart w:name="z97" w:id="97"/>
    <w:p>
      <w:pPr>
        <w:spacing w:after="0"/>
        <w:ind w:left="0"/>
        <w:jc w:val="both"/>
      </w:pPr>
      <w:r>
        <w:rPr>
          <w:rFonts w:ascii="Times New Roman"/>
          <w:b w:val="false"/>
          <w:i w:val="false"/>
          <w:color w:val="000000"/>
          <w:sz w:val="28"/>
        </w:rPr>
        <w:t xml:space="preserve">
      </w:t>
      </w:r>
      <w:r>
        <w:rPr>
          <w:rFonts w:ascii="Times New Roman"/>
          <w:b w:val="false"/>
          <w:i/>
          <w:color w:val="000000"/>
          <w:sz w:val="28"/>
        </w:rPr>
        <w:t>Ответственность аудиторов</w:t>
      </w:r>
    </w:p>
    <w:bookmarkEnd w:id="97"/>
    <w:p>
      <w:pPr>
        <w:spacing w:after="0"/>
        <w:ind w:left="0"/>
        <w:jc w:val="both"/>
      </w:pPr>
      <w:r>
        <w:rPr>
          <w:rFonts w:ascii="Times New Roman"/>
          <w:b w:val="false"/>
          <w:i w:val="false"/>
          <w:color w:val="000000"/>
          <w:sz w:val="28"/>
        </w:rPr>
        <w:t>
      Наша обязанность заключается в том, чтобы выразить мнение о данной консолидированной финансовой отчетности на основе проведенного аудита. Мы провели аудит в соответствии с Международными стандартами аудита. Данные стандарты требуют, чтобы мы соблюдали этические нормы и спланировали и провели аудит так, чтобы получить достаточную уверенность в отсутствии существенного искажения консолидированной финансовой отчетности.</w:t>
      </w:r>
    </w:p>
    <w:p>
      <w:pPr>
        <w:spacing w:after="0"/>
        <w:ind w:left="0"/>
        <w:jc w:val="both"/>
      </w:pPr>
      <w:r>
        <w:rPr>
          <w:rFonts w:ascii="Times New Roman"/>
          <w:b w:val="false"/>
          <w:i w:val="false"/>
          <w:color w:val="000000"/>
          <w:sz w:val="28"/>
        </w:rPr>
        <w:t>
      Аудит включает выполнение процедур, направленных на получение аудиторских доказательств в отношении сумм и информации, представленных в консолидированной финансовой отчетности. Выбор процедур основывается на суждении аудитора, включая оценку риска существенного искажения консолидированной финансовой отчетности вследствие недобросовестных действий или ошибки. При оценке этого риска аудитор рассматривает аспекты внутреннего контроля компании в отношении подготовки и достоверного представления консолидированной финансовой отчетности с тем, чтобы определить процедуры аудита, необходимые в конкретных обстоятельствах, а не для выражения мнения об эффективности системы внутреннего контроля компании. Аудит также включает оценку уместности выбранной учетной политики и обоснованности бухгалтерских оценок, сделанных руководством, и оценку представления консолидированной финансовой отчетности в целом.</w:t>
      </w:r>
    </w:p>
    <w:p>
      <w:pPr>
        <w:spacing w:after="0"/>
        <w:ind w:left="0"/>
        <w:jc w:val="both"/>
      </w:pPr>
      <w:r>
        <w:rPr>
          <w:rFonts w:ascii="Times New Roman"/>
          <w:b w:val="false"/>
          <w:i w:val="false"/>
          <w:color w:val="000000"/>
          <w:sz w:val="28"/>
        </w:rPr>
        <w:t>
      Мы считаем, что полученные нами аудиторские доказательства являются достаточными и надлежащими для выражения нашего мнения.</w:t>
      </w:r>
    </w:p>
    <w:bookmarkStart w:name="z98" w:id="98"/>
    <w:p>
      <w:pPr>
        <w:spacing w:after="0"/>
        <w:ind w:left="0"/>
        <w:jc w:val="both"/>
      </w:pPr>
      <w:r>
        <w:rPr>
          <w:rFonts w:ascii="Times New Roman"/>
          <w:b w:val="false"/>
          <w:i w:val="false"/>
          <w:color w:val="000000"/>
          <w:sz w:val="28"/>
        </w:rPr>
        <w:t xml:space="preserve">
      </w:t>
      </w:r>
      <w:r>
        <w:rPr>
          <w:rFonts w:ascii="Times New Roman"/>
          <w:b w:val="false"/>
          <w:i/>
          <w:color w:val="000000"/>
          <w:sz w:val="28"/>
        </w:rPr>
        <w:t>Мнение</w:t>
      </w:r>
    </w:p>
    <w:bookmarkEnd w:id="98"/>
    <w:p>
      <w:pPr>
        <w:spacing w:after="0"/>
        <w:ind w:left="0"/>
        <w:jc w:val="both"/>
      </w:pPr>
      <w:r>
        <w:rPr>
          <w:rFonts w:ascii="Times New Roman"/>
          <w:b w:val="false"/>
          <w:i w:val="false"/>
          <w:color w:val="000000"/>
          <w:sz w:val="28"/>
        </w:rPr>
        <w:t>
      По нашему мнению, консолидированная финансовая отчетность во всех существенных аспектах достоверно отражает консолидированное финансовое положение АО "Фонд Национального Благосостояния "Самрук-Қазына" и его дочерних организаций по состоянию на 31 декабря 2013 года, а также их консолидированные финансовые результаты и движение денежных средств за год, закончившийся на указанную дату, в соответствии с Международными стандартами финансовой отчетности.</w:t>
      </w:r>
    </w:p>
    <w:tbl>
      <w:tblPr>
        <w:tblW w:w="0" w:type="auto"/>
        <w:tblCellSpacing w:w="0" w:type="auto"/>
        <w:tblBorders>
          <w:top w:val="none"/>
          <w:left w:val="none"/>
          <w:bottom w:val="none"/>
          <w:right w:val="none"/>
          <w:insideH w:val="none"/>
          <w:insideV w:val="none"/>
        </w:tblBorders>
      </w:tblPr>
      <w:tblGrid>
        <w:gridCol w:w="4759"/>
        <w:gridCol w:w="7541"/>
      </w:tblGrid>
      <w:tr>
        <w:trPr>
          <w:trHeight w:val="30" w:hRule="atLeast"/>
        </w:trPr>
        <w:tc>
          <w:tcPr>
            <w:tcW w:w="4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Бахтиер Эшонкулов</w:t>
            </w:r>
          </w:p>
          <w:p>
            <w:pPr>
              <w:spacing w:after="20"/>
              <w:ind w:left="20"/>
              <w:jc w:val="both"/>
            </w:pPr>
            <w:r>
              <w:rPr>
                <w:rFonts w:ascii="Times New Roman"/>
                <w:b w:val="false"/>
                <w:i w:val="false"/>
                <w:color w:val="000000"/>
                <w:sz w:val="20"/>
              </w:rPr>
              <w:t>
</w:t>
            </w:r>
            <w:r>
              <w:rPr>
                <w:rFonts w:ascii="Times New Roman"/>
                <w:b w:val="false"/>
                <w:i/>
                <w:color w:val="000000"/>
                <w:sz w:val="20"/>
              </w:rPr>
              <w:t>Аудитор / партнер по аудиту</w:t>
            </w:r>
          </w:p>
        </w:tc>
        <w:tc>
          <w:tcPr>
            <w:tcW w:w="75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Евгений Жемалетдинов</w:t>
            </w:r>
          </w:p>
          <w:p>
            <w:pPr>
              <w:spacing w:after="20"/>
              <w:ind w:left="20"/>
              <w:jc w:val="both"/>
            </w:pPr>
            <w:r>
              <w:rPr>
                <w:rFonts w:ascii="Times New Roman"/>
                <w:b w:val="false"/>
                <w:i w:val="false"/>
                <w:color w:val="000000"/>
                <w:sz w:val="20"/>
              </w:rPr>
              <w:t>
</w:t>
            </w:r>
            <w:r>
              <w:rPr>
                <w:rFonts w:ascii="Times New Roman"/>
                <w:b w:val="false"/>
                <w:i/>
                <w:color w:val="000000"/>
                <w:sz w:val="20"/>
              </w:rPr>
              <w:t>Генеральный директор</w:t>
            </w:r>
          </w:p>
          <w:p>
            <w:pPr>
              <w:spacing w:after="20"/>
              <w:ind w:left="20"/>
              <w:jc w:val="both"/>
            </w:pPr>
            <w:r>
              <w:rPr>
                <w:rFonts w:ascii="Times New Roman"/>
                <w:b w:val="false"/>
                <w:i w:val="false"/>
                <w:color w:val="000000"/>
                <w:sz w:val="20"/>
              </w:rPr>
              <w:t>
</w:t>
            </w:r>
            <w:r>
              <w:rPr>
                <w:rFonts w:ascii="Times New Roman"/>
                <w:b w:val="false"/>
                <w:i/>
                <w:color w:val="000000"/>
                <w:sz w:val="20"/>
              </w:rPr>
              <w:t>ТОО "Эрнст энд Янг"</w:t>
            </w:r>
          </w:p>
        </w:tc>
      </w:tr>
      <w:tr>
        <w:trPr>
          <w:trHeight w:val="30" w:hRule="atLeast"/>
        </w:trPr>
        <w:tc>
          <w:tcPr>
            <w:tcW w:w="4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Квалификационное свидетельство аудитора № МФ-0000099 от 27 августа 2012 года</w:t>
            </w:r>
          </w:p>
        </w:tc>
        <w:tc>
          <w:tcPr>
            <w:tcW w:w="75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Государственная лицензия на занятие аудиторской деятельностью на территории Республики Казахстан: серия МФЮ – 2, № 0000003, выданная Министерством Финансов Республики Казахстан от 15 июля 2005 года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апреля 2014 года</w:t>
      </w:r>
    </w:p>
    <w:bookmarkStart w:name="z99" w:id="99"/>
    <w:p>
      <w:pPr>
        <w:spacing w:after="0"/>
        <w:ind w:left="0"/>
        <w:jc w:val="both"/>
      </w:pPr>
      <w:r>
        <w:rPr>
          <w:rFonts w:ascii="Times New Roman"/>
          <w:b w:val="false"/>
          <w:i w:val="false"/>
          <w:color w:val="000000"/>
          <w:sz w:val="28"/>
        </w:rPr>
        <w:t xml:space="preserve">
      </w:t>
      </w:r>
      <w:r>
        <w:rPr>
          <w:rFonts w:ascii="Times New Roman"/>
          <w:b/>
          <w:i w:val="false"/>
          <w:color w:val="000000"/>
          <w:sz w:val="28"/>
        </w:rPr>
        <w:t>КОНСОЛИДИРОВАННЫЙ БУХГАЛТЕРСКИЙ БАЛАНС</w:t>
      </w:r>
    </w:p>
    <w:bookmarkEnd w:id="99"/>
    <w:p>
      <w:pPr>
        <w:spacing w:after="0"/>
        <w:ind w:left="0"/>
        <w:jc w:val="both"/>
      </w:pPr>
      <w:r>
        <w:rPr>
          <w:rFonts w:ascii="Times New Roman"/>
          <w:b w:val="false"/>
          <w:i w:val="false"/>
          <w:color w:val="000000"/>
          <w:sz w:val="28"/>
        </w:rPr>
        <w:t>
      По состоянию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1314"/>
        <w:gridCol w:w="4599"/>
        <w:gridCol w:w="459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(пересчитано)*</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7.018.234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6.093.002</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358.276</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совместные предприятия и </w:t>
            </w:r>
          </w:p>
          <w:p>
            <w:pPr>
              <w:spacing w:after="20"/>
              <w:ind w:left="20"/>
              <w:jc w:val="both"/>
            </w:pPr>
            <w:r>
              <w:rPr>
                <w:rFonts w:ascii="Times New Roman"/>
                <w:b w:val="false"/>
                <w:i w:val="false"/>
                <w:color w:val="000000"/>
                <w:sz w:val="20"/>
              </w:rPr>
              <w:t>
ассоциированные компании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647.083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1.386.384</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282.676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269.627</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отсроченному налогу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77.964</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активы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464.934</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461.896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421.092</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10.587.376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10.422.323</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346.300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409.508</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к возмещению</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248.792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193.950</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подоходному налогу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78.372</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дебиторская задолженность</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361.069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342.352</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665.326</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1.291.888</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1.076.442</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активы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267.809</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активы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298.175</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1.468.426</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3.620.270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4.800.360</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классифицированные как предназначенные для продажи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1.086.843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51.521</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15.294.489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1314"/>
        <w:gridCol w:w="4599"/>
        <w:gridCol w:w="459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(пересчитано)*</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и обязательства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относящийся к Акционеру материнской компании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по переоценке инвестиций, имеющихся </w:t>
            </w:r>
          </w:p>
          <w:p>
            <w:pPr>
              <w:spacing w:after="20"/>
              <w:ind w:left="20"/>
              <w:jc w:val="both"/>
            </w:pPr>
            <w:r>
              <w:rPr>
                <w:rFonts w:ascii="Times New Roman"/>
                <w:b w:val="false"/>
                <w:i w:val="false"/>
                <w:color w:val="000000"/>
                <w:sz w:val="20"/>
              </w:rPr>
              <w:t>
в наличии для продажи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24.846</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пересчету иностранных валют</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219.712</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капитальные резервы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Нераспределенная прибыль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1.947.379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1.944.252</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6.727.301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6.614.324</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Неконтрольная доля участия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779.291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801.135</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7.506.592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7.415.459</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3.366.527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3.526.943</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 Республики Казахстан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210.810</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финансовой аренде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136.312</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отсроченному налогу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336.950</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вознаграждениям работникам</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45.940</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106.663</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272.798</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296.660</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4.493.557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4.703.041</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607.839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680.962</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 Республики Казахстан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559.831</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финансовой аренде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124.202</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вознаграждениям работникам</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 к уплате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48.841</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и прочая кредиторская задолженность</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496.946</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230.763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636.058</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517.515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575.195</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2.074.390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3.135.387</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связанные с активами, </w:t>
            </w:r>
          </w:p>
          <w:p>
            <w:pPr>
              <w:spacing w:after="20"/>
              <w:ind w:left="20"/>
              <w:jc w:val="both"/>
            </w:pPr>
            <w:r>
              <w:rPr>
                <w:rFonts w:ascii="Times New Roman"/>
                <w:b w:val="false"/>
                <w:i w:val="false"/>
                <w:color w:val="000000"/>
                <w:sz w:val="20"/>
              </w:rPr>
              <w:t xml:space="preserve">
классифицированными как предназначенные для продажи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1.219.950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7.787.897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7.858.745</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15.294.489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15.274.204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Некоторые приведенные здесь суммы не соответствуют консолидированной финансовой отчетности за 2012 год, поскольку отражают произведенные пересчеты, подробная информация о которых приводится в Примечании 2.</w:t>
      </w:r>
    </w:p>
    <w:tbl>
      <w:tblPr>
        <w:tblW w:w="0" w:type="auto"/>
        <w:tblCellSpacing w:w="0" w:type="auto"/>
        <w:tblBorders>
          <w:top w:val="none"/>
          <w:left w:val="none"/>
          <w:bottom w:val="none"/>
          <w:right w:val="none"/>
          <w:insideH w:val="none"/>
          <w:insideV w:val="none"/>
        </w:tblBorders>
      </w:tblPr>
      <w:tblGrid>
        <w:gridCol w:w="1502"/>
        <w:gridCol w:w="10798"/>
      </w:tblGrid>
      <w:tr>
        <w:trPr>
          <w:trHeight w:val="30" w:hRule="atLeast"/>
        </w:trPr>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Финансовый директор – член Правления</w:t>
            </w:r>
          </w:p>
        </w:tc>
        <w:tc>
          <w:tcPr>
            <w:tcW w:w="10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Нурлан Рахметов</w:t>
            </w:r>
          </w:p>
        </w:tc>
      </w:tr>
      <w:tr>
        <w:trPr>
          <w:trHeight w:val="30" w:hRule="atLeast"/>
        </w:trPr>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Главный бухгалтер</w:t>
            </w:r>
          </w:p>
        </w:tc>
        <w:tc>
          <w:tcPr>
            <w:tcW w:w="10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Алмаз Абдрахманова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1095"/>
        <w:gridCol w:w="3962"/>
        <w:gridCol w:w="3963"/>
      </w:tblGrid>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миллионах тенге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(пересчитано)*</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Выручка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5.048.176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4.697.225</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субсидии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5.077.172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4.725.082</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(3.390.245)</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1.430.162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1.334.837</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(343.669)</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транспортировке и реализации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(347.457)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(377.334)</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выбытия дочерних организаций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(219.448)</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доход, нетто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37.133</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операционной деятельности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526.664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436.342</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(208.751)</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прибыли совместных предприятий и ассоциированных компаний, нетто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540.513</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курсовая разница, нетто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от продолжающейся деятельности до учета подоходного налога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889.973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801.624</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(243.789)</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за год от продолжающейся деятельности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612.729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557.835</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(Убыток)/прибыль от прекращенной деятельности, за вычетом налогов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580.063</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439.757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1.137.898</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(пересчитано)*</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Прочий совокупный доход, за вычетом налогов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 подлежащий переклассификации в состав прибыли или убытка в последующих периодах: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валют отчетности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убыток от переоценки инвестиций, имеющихся в наличии для продажи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реализованная прибыль по инвестициям, имеющимся в наличии для продажи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146.706</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 инструментам хеджирования денежных потоков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 подлежащий переклассификации в состав прибыли или убытка в последующих периодах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164.315</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 не подлежащий переклассификации в состав прибыли или убытка в последующих периодах: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актуарных убытков по планам с установленными выплатами, за вычетом налогов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убыток, не подлежащий переклассификации в состав прибыли или убытка в последующих периодах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 за год, за вычетом налогов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164.315</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совокупного дохода за год, за вычетом подоходного налога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1.302.213</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 приходящаяся 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Акционера материнской компании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407.246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1.067.577</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Неконтрольную долю участия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439.757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1.137.898</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совокупного дохода за год, за вычетом подоходного налога, приходящаяся 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Акционера материнской компании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1.233.075</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Неконтрольную долю участия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69.138</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Некоторые приведенные здесь суммы не соответствуют консолидированной финансовой отчетности за 2012 год, поскольку отражают произведенные пересчеты, подробная информация о которых приводится в Примечаниях 2 и 6.</w:t>
      </w:r>
    </w:p>
    <w:tbl>
      <w:tblPr>
        <w:tblW w:w="0" w:type="auto"/>
        <w:tblCellSpacing w:w="0" w:type="auto"/>
        <w:tblBorders>
          <w:top w:val="none"/>
          <w:left w:val="none"/>
          <w:bottom w:val="none"/>
          <w:right w:val="none"/>
          <w:insideH w:val="none"/>
          <w:insideV w:val="none"/>
        </w:tblBorders>
      </w:tblPr>
      <w:tblGrid>
        <w:gridCol w:w="1502"/>
        <w:gridCol w:w="10798"/>
      </w:tblGrid>
      <w:tr>
        <w:trPr>
          <w:trHeight w:val="30" w:hRule="atLeast"/>
        </w:trPr>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Финансовый директор – член Правления</w:t>
            </w:r>
          </w:p>
        </w:tc>
        <w:tc>
          <w:tcPr>
            <w:tcW w:w="10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Нурлан Рахметов</w:t>
            </w:r>
          </w:p>
        </w:tc>
      </w:tr>
      <w:tr>
        <w:trPr>
          <w:trHeight w:val="30" w:hRule="atLeast"/>
        </w:trPr>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Главный бухгалтер</w:t>
            </w:r>
          </w:p>
        </w:tc>
        <w:tc>
          <w:tcPr>
            <w:tcW w:w="10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Алмаз Абдрахманова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639"/>
        <w:gridCol w:w="1306"/>
        <w:gridCol w:w="1281"/>
        <w:gridCol w:w="1084"/>
        <w:gridCol w:w="985"/>
        <w:gridCol w:w="1306"/>
        <w:gridCol w:w="1306"/>
        <w:gridCol w:w="1282"/>
        <w:gridCol w:w="1308"/>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Приходится на Акционера материнской компании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инвестиций, имеющихся в наличии для продажи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пересчету иностранных валют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капитальные резервы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Неконтрольная доля участия</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31 декабря 2011 года (как представлено ранее)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823.433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4.970.620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758.983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5.729.603</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(Примечание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31 декабря 2011 года (пересчитано)*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4.992.546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758.983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5.751.529</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год</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1.067.577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1.233.075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1.302.213</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акций</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354.782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354.782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от Правительства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89.617</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изменения условий сделок по займам от Правительства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304.650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304.650</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Дивиденды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(318.487)</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 с Акционером</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выплат на основе долевых инструментов</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долей участия в дочерних организациях – приобретение долей неконтролирующими акционерами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28.541</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долей участия в дочерних организациях – приобретение неконтрольной доли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 дочерними организациями собственных акций с рынка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(39.917)</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распределения Акционеру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(63.890)</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31 декабря 2012 года (пересчитано)*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1.944.252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6.614.324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7.415.459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655"/>
        <w:gridCol w:w="1338"/>
        <w:gridCol w:w="1009"/>
        <w:gridCol w:w="1110"/>
        <w:gridCol w:w="1162"/>
        <w:gridCol w:w="1338"/>
        <w:gridCol w:w="1339"/>
        <w:gridCol w:w="1162"/>
        <w:gridCol w:w="1340"/>
      </w:tblGrid>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31 декабря 2012 года (как представлено ранее)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1.920.696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6.590.396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7.391.531</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(Примечание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31 декабря 2012 года (пересчитано)*</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1.944.252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6.614.324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7.415.459</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год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485.358</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акций</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49.128</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от Правительства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249.828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249.828</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Дивиденды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(69.798)</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 с Акционером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(464.847)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(480.677)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(480.677)</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дочерних организаций</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распределения Акционеру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(147.534)</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в капитале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31 декабря 2013 года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1.947.379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6.727.301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779.291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7.506.592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Некоторые приведенные здесь суммы не соответствуют консолидированной финансовой отчетности за 2012 год, поскольку отражают произведенные пересчеты, подробная информация о которых приводится в Примечании 2.</w:t>
      </w:r>
    </w:p>
    <w:tbl>
      <w:tblPr>
        <w:tblW w:w="0" w:type="auto"/>
        <w:tblCellSpacing w:w="0" w:type="auto"/>
        <w:tblBorders>
          <w:top w:val="none"/>
          <w:left w:val="none"/>
          <w:bottom w:val="none"/>
          <w:right w:val="none"/>
          <w:insideH w:val="none"/>
          <w:insideV w:val="none"/>
        </w:tblBorders>
      </w:tblPr>
      <w:tblGrid>
        <w:gridCol w:w="1502"/>
        <w:gridCol w:w="10798"/>
      </w:tblGrid>
      <w:tr>
        <w:trPr>
          <w:trHeight w:val="30" w:hRule="atLeast"/>
        </w:trPr>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Финансовый директор – член Правления</w:t>
            </w:r>
          </w:p>
        </w:tc>
        <w:tc>
          <w:tcPr>
            <w:tcW w:w="10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Нурлан Рахметов</w:t>
            </w:r>
          </w:p>
        </w:tc>
      </w:tr>
      <w:tr>
        <w:trPr>
          <w:trHeight w:val="30" w:hRule="atLeast"/>
        </w:trPr>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Главный бухгалтер</w:t>
            </w:r>
          </w:p>
        </w:tc>
        <w:tc>
          <w:tcPr>
            <w:tcW w:w="10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Алмаз Абдрахманова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2853"/>
        <w:gridCol w:w="3283"/>
        <w:gridCol w:w="3284"/>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(пересчитано)*</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 операционной деятельности: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продолжающейся деятельности до учета подоходного налога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889.973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801.624</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(Убыток)/прибыль от прекращенной деятельности до учета подоходного налога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589.737</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на: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истощение и амортизацию</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28, 29, 30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356.069</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321.457</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Долю в прибыли совместных предприятий и ассоциированных компаний, нетто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(540.513)</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Убыток/(прибыль) от выбытия прекращенной деятельности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(201.996)</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230.746</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219.448</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вознаграждениям работников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резервы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выбытия основных средств и прочих долгосрочных активов, нетто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выбытия дочерних организаций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сомнительным долгам и прочим текущим активам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убыток от курсовой разницы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операции по группам выбытия, классифицированным как предназначенные для продажи, отраженные в прекращенной деятельности: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реструктуризации БТА Банка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(1.068.482)</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облигациям на восстановление, признанные БТА Банком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628.572</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группы выбытия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158.729</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выкупа собственных облигаций БТА Банком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корректировки по прекращенной деятельности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 операционной деятельности до изменений в активах и обязательствах</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1.105.266</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922.104</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прочих долгосрочных активах</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(47.410)</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займах клиентам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(342.811)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в средствах в кредитных учреждениях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(48.106)</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прочих финансовых активах</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(36.195)</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в НДС к возмещению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(70.227)</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торговой дебиторской задолженности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в прочих текущих активах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займах и в займах Правительства Республики Казахстан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431.872</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производных финансовых инструментах</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торговой и прочей кредиторской задолженности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средствах клиентов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прочих обязательствах</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операционной деятельности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804.648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699.910</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 уплаченный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(196.694)</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уплаченные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(146.160)</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полученные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 денежных средств от операционной деятельности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461.440</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375.049</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p>
            <w:pPr>
              <w:spacing w:after="20"/>
              <w:ind w:left="20"/>
              <w:jc w:val="both"/>
            </w:pPr>
            <w:r>
              <w:rPr>
                <w:rFonts w:ascii="Times New Roman"/>
                <w:b w:val="false"/>
                <w:i w:val="false"/>
                <w:color w:val="000000"/>
                <w:sz w:val="20"/>
              </w:rPr>
              <w:t>
(пересчитано)*</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 инвестиционной деятельности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банковских депозитов, нетто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(229.771)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совместных предприятий и ассоциированных компаний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(294.398)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дочерних организаций, за вычетом приобретенных денежных средств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выбывших дочерних организаций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дочерних организаций, которые перегруппированы в группы выбытия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(1.169.053)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(952.675)</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(63.727)</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прочих финансовых активов, нетто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43.849</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основных средств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выплаченные за долгосрочные активы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(107.107)</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 от совместных предприятий и ассоциированных компаний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438.759</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590.940</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 связи с погашением финансового обязательства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ассоциированных компаний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225.739</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дочерних организаций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опциона на покупку акций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расходование денежных средств в инвестиционной деятельности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(1.689.474)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(500.958)</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потоки от финансовой деятельности: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 займам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1.283.082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919.369</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(752.206)</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(627.614)</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финансовой аренде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дочерними организациями собственных акций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(39.919)</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Акционером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выплаченные неконтрольным долям участия в дочерних организаций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(149.704)</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в уставный капитал неконтролирующими акционерами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выплаченные Акционеру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(159.113)</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в уставный капитал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поступление/(расходование) денежных средств в финансовой деятельности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492.305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(60.503)</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уменьшение денежных средств и их эквивалентов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(735.729)</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(186.412)</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изменений обменных курсов на денежные средства и их эквиваленты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на начало года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1.468.426</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1.646.615</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на конец года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Некоторые приведенные здесь суммы не соответствуют консолидированной финансовой отчетности за 2012 год, поскольку отражают произведенные пересчеты, подробная информация о которых приводится в Примечаниях 2 и 6.</w:t>
      </w:r>
    </w:p>
    <w:tbl>
      <w:tblPr>
        <w:tblW w:w="0" w:type="auto"/>
        <w:tblCellSpacing w:w="0" w:type="auto"/>
        <w:tblBorders>
          <w:top w:val="none"/>
          <w:left w:val="none"/>
          <w:bottom w:val="none"/>
          <w:right w:val="none"/>
          <w:insideH w:val="none"/>
          <w:insideV w:val="none"/>
        </w:tblBorders>
      </w:tblPr>
      <w:tblGrid>
        <w:gridCol w:w="1502"/>
        <w:gridCol w:w="10798"/>
      </w:tblGrid>
      <w:tr>
        <w:trPr>
          <w:trHeight w:val="30" w:hRule="atLeast"/>
        </w:trPr>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Финансовый директор – член Правления</w:t>
            </w:r>
          </w:p>
        </w:tc>
        <w:tc>
          <w:tcPr>
            <w:tcW w:w="10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Нурлан Рахметов</w:t>
            </w:r>
          </w:p>
        </w:tc>
      </w:tr>
      <w:tr>
        <w:trPr>
          <w:trHeight w:val="30" w:hRule="atLeast"/>
        </w:trPr>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Главный бухгалтер</w:t>
            </w:r>
          </w:p>
        </w:tc>
        <w:tc>
          <w:tcPr>
            <w:tcW w:w="10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Алмаз Абдрахманова</w:t>
            </w:r>
          </w:p>
        </w:tc>
      </w:tr>
    </w:tbl>
    <w:p>
      <w:pPr>
        <w:spacing w:after="0"/>
        <w:ind w:left="0"/>
        <w:jc w:val="left"/>
      </w:pPr>
      <w:r>
        <w:br/>
      </w:r>
      <w:r>
        <w:rPr>
          <w:rFonts w:ascii="Times New Roman"/>
          <w:b w:val="false"/>
          <w:i w:val="false"/>
          <w:color w:val="000000"/>
          <w:sz w:val="28"/>
        </w:rPr>
        <w:t>
</w:t>
      </w:r>
    </w:p>
    <w:bookmarkStart w:name="z100" w:id="100"/>
    <w:p>
      <w:pPr>
        <w:spacing w:after="0"/>
        <w:ind w:left="0"/>
        <w:jc w:val="both"/>
      </w:pPr>
      <w:r>
        <w:rPr>
          <w:rFonts w:ascii="Times New Roman"/>
          <w:b w:val="false"/>
          <w:i w:val="false"/>
          <w:color w:val="000000"/>
          <w:sz w:val="28"/>
        </w:rPr>
        <w:t xml:space="preserve">
      </w:t>
      </w:r>
      <w:r>
        <w:rPr>
          <w:rFonts w:ascii="Times New Roman"/>
          <w:b/>
          <w:i w:val="false"/>
          <w:color w:val="000000"/>
          <w:sz w:val="28"/>
        </w:rPr>
        <w:t>1. ОБЩАЯ ИНФОРМАЦИЯ</w:t>
      </w:r>
    </w:p>
    <w:bookmarkEnd w:id="100"/>
    <w:bookmarkStart w:name="z101" w:id="101"/>
    <w:p>
      <w:pPr>
        <w:spacing w:after="0"/>
        <w:ind w:left="0"/>
        <w:jc w:val="both"/>
      </w:pPr>
      <w:r>
        <w:rPr>
          <w:rFonts w:ascii="Times New Roman"/>
          <w:b w:val="false"/>
          <w:i w:val="false"/>
          <w:color w:val="000000"/>
          <w:sz w:val="28"/>
        </w:rPr>
        <w:t xml:space="preserve">
      </w:t>
      </w:r>
      <w:r>
        <w:rPr>
          <w:rFonts w:ascii="Times New Roman"/>
          <w:b/>
          <w:i w:val="false"/>
          <w:color w:val="000000"/>
          <w:sz w:val="28"/>
        </w:rPr>
        <w:t>Корпоративная информация</w:t>
      </w:r>
    </w:p>
    <w:bookmarkEnd w:id="101"/>
    <w:p>
      <w:pPr>
        <w:spacing w:after="0"/>
        <w:ind w:left="0"/>
        <w:jc w:val="both"/>
      </w:pPr>
      <w:r>
        <w:rPr>
          <w:rFonts w:ascii="Times New Roman"/>
          <w:b w:val="false"/>
          <w:i w:val="false"/>
          <w:color w:val="000000"/>
          <w:sz w:val="28"/>
        </w:rPr>
        <w:t>
      АО "Фонд Национального Благосостояния "Самрук-Қазына" (далее "Фонд" или "Самрук-Казына") было образовано 3 ноября 2008 года в соответствии с Указом Президента Республики Казахстан от 13 октября 2008 года и Постановлением Правительства Республики Казахстан от 17 октября 2008 года. Образование было осуществлено посредством слияния АО "Фонд Устойчивого Развития "Қазына" (далее "Қазына") и АО "Казахстанский Холдинг по Управлению Государственными Активами "Самрук" (далее "Самрук") и дополнительной передачи Государством Фонду своей доли участия в некоторых предприятиях, принадлежащих Правительству Республики Казахстан (далее по тексту "Государство" или "Правительство"). Правительство, представленное Комитетом государственного имущества и приватизации Министерства финансов Республики Казахстан, является единственным акционером Фонда (далее "Акционер").</w:t>
      </w:r>
    </w:p>
    <w:p>
      <w:pPr>
        <w:spacing w:after="0"/>
        <w:ind w:left="0"/>
        <w:jc w:val="both"/>
      </w:pPr>
      <w:r>
        <w:rPr>
          <w:rFonts w:ascii="Times New Roman"/>
          <w:b w:val="false"/>
          <w:i w:val="false"/>
          <w:color w:val="000000"/>
          <w:sz w:val="28"/>
        </w:rPr>
        <w:t>
      Основной целью Правительства при данной реорганизации является повышение эффективности менеджмента и оптимизация организационных структур в дочерних организациях Фонда, с целью успешного выполнения их стратегических задач, установленных в соответствующих программах Правительства и планах развития компаний.</w:t>
      </w:r>
    </w:p>
    <w:p>
      <w:pPr>
        <w:spacing w:after="0"/>
        <w:ind w:left="0"/>
        <w:jc w:val="both"/>
      </w:pPr>
      <w:r>
        <w:rPr>
          <w:rFonts w:ascii="Times New Roman"/>
          <w:b w:val="false"/>
          <w:i w:val="false"/>
          <w:color w:val="000000"/>
          <w:sz w:val="28"/>
        </w:rPr>
        <w:t xml:space="preserve">
      Фонд является холдингом, объединяющим ряд государственных предприятий, перечисленных в Примечании 36 (далее "Группа"). Деятельность Фонда до 22-го февраля 2012 года регулировалась Законом Республики Казахстан "О Фонде национального благосостояния" № 134-4 от 13 февраля 2009 года и была направлена на содействие в обеспечении устойчивого развития экономики страны; модернизации и диверсификации экономики; повышение эффективности деятельности компаний Фонда. 1 февраля 2012 года был принят Закон Республики Казахстан "О Фонде национального благосостояния" № 550-4, в соответствии с которым деятельность Фонда должна быть сфокусирована на повышении национального благосостояния Республики Казахстан посредством увеличения долгосрочной стоимости (ценности) организаций, входящих в Группу, и эффективного управления активами Группы. </w:t>
      </w:r>
    </w:p>
    <w:p>
      <w:pPr>
        <w:spacing w:after="0"/>
        <w:ind w:left="0"/>
        <w:jc w:val="both"/>
      </w:pPr>
      <w:r>
        <w:rPr>
          <w:rFonts w:ascii="Times New Roman"/>
          <w:b w:val="false"/>
          <w:i w:val="false"/>
          <w:color w:val="000000"/>
          <w:sz w:val="28"/>
        </w:rPr>
        <w:t>
      Для управленческих целей деятельность Группы подразделяется в соответствии с видом производимой продукции и типом оказываемых услуг на семь операционных сегментов (Примечание 41):</w:t>
      </w:r>
    </w:p>
    <w:p>
      <w:pPr>
        <w:spacing w:after="0"/>
        <w:ind w:left="0"/>
        <w:jc w:val="both"/>
      </w:pPr>
      <w:r>
        <w:rPr>
          <w:rFonts w:ascii="Times New Roman"/>
          <w:b w:val="false"/>
          <w:i w:val="false"/>
          <w:color w:val="000000"/>
          <w:sz w:val="28"/>
        </w:rPr>
        <w:t>
      - Нефтегазовый сегмент включает операции по разведке и добыче нефти и газа, транспортировке нефти и газа, переработке и продаже сырой нефти, газа и продуктов переработки;</w:t>
      </w:r>
    </w:p>
    <w:p>
      <w:pPr>
        <w:spacing w:after="0"/>
        <w:ind w:left="0"/>
        <w:jc w:val="both"/>
      </w:pPr>
      <w:r>
        <w:rPr>
          <w:rFonts w:ascii="Times New Roman"/>
          <w:b w:val="false"/>
          <w:i w:val="false"/>
          <w:color w:val="000000"/>
          <w:sz w:val="28"/>
        </w:rPr>
        <w:t>
      - Сегмент транспортировки включает операции по железнодорожной и воздушной перевозке грузов и пассажиров;</w:t>
      </w:r>
    </w:p>
    <w:p>
      <w:pPr>
        <w:spacing w:after="0"/>
        <w:ind w:left="0"/>
        <w:jc w:val="both"/>
      </w:pPr>
      <w:r>
        <w:rPr>
          <w:rFonts w:ascii="Times New Roman"/>
          <w:b w:val="false"/>
          <w:i w:val="false"/>
          <w:color w:val="000000"/>
          <w:sz w:val="28"/>
        </w:rPr>
        <w:t>
      - Сегмент телекоммуникаций включает операции по услугам фиксированной связи, включая местную, междугороднюю и международную связь (включая страны, входящие и не входящие в СНГ), а также услуги аренды каналов связи, передачи данных и беспроводной связи;</w:t>
      </w:r>
    </w:p>
    <w:p>
      <w:pPr>
        <w:spacing w:after="0"/>
        <w:ind w:left="0"/>
        <w:jc w:val="both"/>
      </w:pPr>
      <w:r>
        <w:rPr>
          <w:rFonts w:ascii="Times New Roman"/>
          <w:b w:val="false"/>
          <w:i w:val="false"/>
          <w:color w:val="000000"/>
          <w:sz w:val="28"/>
        </w:rPr>
        <w:t>
      - Энергетический сегмент включает операции по производству и передаче электрической энергии, по технической диспетчеризации отпуска электроэнергии в электроэнергетическую систему и потребления импортируемой электроэнергии, функции централизованного оперативно-диспетчерского управления объектами Единой электроэнергетической системы Республики Казахстан;</w:t>
      </w:r>
    </w:p>
    <w:p>
      <w:pPr>
        <w:spacing w:after="0"/>
        <w:ind w:left="0"/>
        <w:jc w:val="both"/>
      </w:pPr>
      <w:r>
        <w:rPr>
          <w:rFonts w:ascii="Times New Roman"/>
          <w:b w:val="false"/>
          <w:i w:val="false"/>
          <w:color w:val="000000"/>
          <w:sz w:val="28"/>
        </w:rPr>
        <w:t>
      - Горнопромышленный сегмент включает операции по разведке, добыче, переработке и продаже минеральных ресурсов, предприятия оборонного комплекса и гражданского машиностроения, по развитию химической отрасли и геологоразведки;</w:t>
      </w:r>
    </w:p>
    <w:p>
      <w:pPr>
        <w:spacing w:after="0"/>
        <w:ind w:left="0"/>
        <w:jc w:val="both"/>
      </w:pPr>
      <w:r>
        <w:rPr>
          <w:rFonts w:ascii="Times New Roman"/>
          <w:b w:val="false"/>
          <w:i w:val="false"/>
          <w:color w:val="000000"/>
          <w:sz w:val="28"/>
        </w:rPr>
        <w:t>
      - Сегмент финансовых институтов и институтов развития включает операции по развитию и стимулированию инвестиционной и инновационной деятельности во всех сегментах экономики Казахстана. Данный сегмент также включает коммерческие банки, приобретенные Фондом в 2009 году;</w:t>
      </w:r>
    </w:p>
    <w:p>
      <w:pPr>
        <w:spacing w:after="0"/>
        <w:ind w:left="0"/>
        <w:jc w:val="both"/>
      </w:pPr>
      <w:r>
        <w:rPr>
          <w:rFonts w:ascii="Times New Roman"/>
          <w:b w:val="false"/>
          <w:i w:val="false"/>
          <w:color w:val="000000"/>
          <w:sz w:val="28"/>
        </w:rPr>
        <w:t>
      - Сегмент Корпоративный центр и проекты включает инвестиционные и финансовые операции Фонда, в том числе предоставление займов связанным и сторонним организациям.</w:t>
      </w:r>
    </w:p>
    <w:p>
      <w:pPr>
        <w:spacing w:after="0"/>
        <w:ind w:left="0"/>
        <w:jc w:val="both"/>
      </w:pPr>
      <w:r>
        <w:rPr>
          <w:rFonts w:ascii="Times New Roman"/>
          <w:b w:val="false"/>
          <w:i w:val="false"/>
          <w:color w:val="000000"/>
          <w:sz w:val="28"/>
        </w:rPr>
        <w:t>
      Зарегистрированный офис Фонда расположен по адресу: г. Астана, ул. Конаева 8, Республика Казахстан.</w:t>
      </w:r>
    </w:p>
    <w:p>
      <w:pPr>
        <w:spacing w:after="0"/>
        <w:ind w:left="0"/>
        <w:jc w:val="both"/>
      </w:pPr>
      <w:r>
        <w:rPr>
          <w:rFonts w:ascii="Times New Roman"/>
          <w:b w:val="false"/>
          <w:i w:val="false"/>
          <w:color w:val="000000"/>
          <w:sz w:val="28"/>
        </w:rPr>
        <w:t>
      Данная консолидированная финансовая отчетность была утверждена к выпуск 25 апреля 2014 года финансовым директором – Членом Правления и Главным бухгалтером Фонда.</w:t>
      </w:r>
    </w:p>
    <w:bookmarkStart w:name="z102" w:id="102"/>
    <w:p>
      <w:pPr>
        <w:spacing w:after="0"/>
        <w:ind w:left="0"/>
        <w:jc w:val="both"/>
      </w:pPr>
      <w:r>
        <w:rPr>
          <w:rFonts w:ascii="Times New Roman"/>
          <w:b w:val="false"/>
          <w:i w:val="false"/>
          <w:color w:val="000000"/>
          <w:sz w:val="28"/>
        </w:rPr>
        <w:t xml:space="preserve">
      </w:t>
      </w:r>
      <w:r>
        <w:rPr>
          <w:rFonts w:ascii="Times New Roman"/>
          <w:b/>
          <w:i w:val="false"/>
          <w:color w:val="000000"/>
          <w:sz w:val="28"/>
        </w:rPr>
        <w:t>План стабилизации экономики и финансовой системы</w:t>
      </w:r>
    </w:p>
    <w:bookmarkEnd w:id="102"/>
    <w:p>
      <w:pPr>
        <w:spacing w:after="0"/>
        <w:ind w:left="0"/>
        <w:jc w:val="both"/>
      </w:pPr>
      <w:r>
        <w:rPr>
          <w:rFonts w:ascii="Times New Roman"/>
          <w:b w:val="false"/>
          <w:i w:val="false"/>
          <w:color w:val="000000"/>
          <w:sz w:val="28"/>
        </w:rPr>
        <w:t xml:space="preserve">
      В целях обеспечения стабильности экономики и финансовой системы страны в условиях мирового финансового кризиса постановлением Правительства № 1085 от 25 ноября 2008 года был утвержден </w:t>
      </w:r>
      <w:r>
        <w:rPr>
          <w:rFonts w:ascii="Times New Roman"/>
          <w:b w:val="false"/>
          <w:i w:val="false"/>
          <w:color w:val="000000"/>
          <w:sz w:val="28"/>
        </w:rPr>
        <w:t>План</w:t>
      </w:r>
      <w:r>
        <w:rPr>
          <w:rFonts w:ascii="Times New Roman"/>
          <w:b w:val="false"/>
          <w:i w:val="false"/>
          <w:color w:val="000000"/>
          <w:sz w:val="28"/>
        </w:rPr>
        <w:t xml:space="preserve"> совместных действий Правительства, Национального Банка и Агентства по регулированию и надзору финансового рынка и финансовых организаций Республики Казахстан по стабилизации экономики и финансовой системы на 2009-2010 годы (далее по тексту "План Стабилизации"). План Стабилизации предусматривал ряд мероприятий, направленных на следующие цели:</w:t>
      </w:r>
    </w:p>
    <w:p>
      <w:pPr>
        <w:spacing w:after="0"/>
        <w:ind w:left="0"/>
        <w:jc w:val="both"/>
      </w:pPr>
      <w:r>
        <w:rPr>
          <w:rFonts w:ascii="Times New Roman"/>
          <w:b w:val="false"/>
          <w:i w:val="false"/>
          <w:color w:val="000000"/>
          <w:sz w:val="28"/>
        </w:rPr>
        <w:t>
      - Стабилизация финансового сектора;</w:t>
      </w:r>
    </w:p>
    <w:p>
      <w:pPr>
        <w:spacing w:after="0"/>
        <w:ind w:left="0"/>
        <w:jc w:val="both"/>
      </w:pPr>
      <w:r>
        <w:rPr>
          <w:rFonts w:ascii="Times New Roman"/>
          <w:b w:val="false"/>
          <w:i w:val="false"/>
          <w:color w:val="000000"/>
          <w:sz w:val="28"/>
        </w:rPr>
        <w:t>
      - Стабилизация рынка недвижимости;</w:t>
      </w:r>
    </w:p>
    <w:p>
      <w:pPr>
        <w:spacing w:after="0"/>
        <w:ind w:left="0"/>
        <w:jc w:val="both"/>
      </w:pPr>
      <w:r>
        <w:rPr>
          <w:rFonts w:ascii="Times New Roman"/>
          <w:b w:val="false"/>
          <w:i w:val="false"/>
          <w:color w:val="000000"/>
          <w:sz w:val="28"/>
        </w:rPr>
        <w:t>
      - Поддержка малого и среднего бизнеса;</w:t>
      </w:r>
    </w:p>
    <w:p>
      <w:pPr>
        <w:spacing w:after="0"/>
        <w:ind w:left="0"/>
        <w:jc w:val="both"/>
      </w:pPr>
      <w:r>
        <w:rPr>
          <w:rFonts w:ascii="Times New Roman"/>
          <w:b w:val="false"/>
          <w:i w:val="false"/>
          <w:color w:val="000000"/>
          <w:sz w:val="28"/>
        </w:rPr>
        <w:t>
      - Развитие агропромышленного комплекса;</w:t>
      </w:r>
    </w:p>
    <w:p>
      <w:pPr>
        <w:spacing w:after="0"/>
        <w:ind w:left="0"/>
        <w:jc w:val="both"/>
      </w:pPr>
      <w:r>
        <w:rPr>
          <w:rFonts w:ascii="Times New Roman"/>
          <w:b w:val="false"/>
          <w:i w:val="false"/>
          <w:color w:val="000000"/>
          <w:sz w:val="28"/>
        </w:rPr>
        <w:t>
      - Реализация инновационных, индустриальных и инфраструктурных проектов.</w:t>
      </w:r>
    </w:p>
    <w:p>
      <w:pPr>
        <w:spacing w:after="0"/>
        <w:ind w:left="0"/>
        <w:jc w:val="both"/>
      </w:pPr>
      <w:r>
        <w:rPr>
          <w:rFonts w:ascii="Times New Roman"/>
          <w:b w:val="false"/>
          <w:i w:val="false"/>
          <w:color w:val="000000"/>
          <w:sz w:val="28"/>
        </w:rPr>
        <w:t>
      Фонд выступает основным оператором Правительства по реализации Плана Стабилизации.</w:t>
      </w:r>
    </w:p>
    <w:p>
      <w:pPr>
        <w:spacing w:after="0"/>
        <w:ind w:left="0"/>
        <w:jc w:val="both"/>
      </w:pPr>
      <w:r>
        <w:rPr>
          <w:rFonts w:ascii="Times New Roman"/>
          <w:b w:val="false"/>
          <w:i w:val="false"/>
          <w:color w:val="000000"/>
          <w:sz w:val="28"/>
        </w:rPr>
        <w:t>
      В рамках Плана Стабилизации в части стабилизации финансового сектора в 2009 году Фонд приобрел контрольные пакеты акций АО "БТА Банк" и АО "Альянс Банк" и значительные доли в АО "Народный Банк Казахстана" и АО "Казкоммерцбанк". Данные меры были направлены на предоставление банкам дополнительной ликвидности и обеспечение их платежеспособности. В 2012 и 2011 годах Фонд реализовал все простые и часть привилегированных акций АО "Народный Банк Казахстана".</w:t>
      </w:r>
    </w:p>
    <w:p>
      <w:pPr>
        <w:spacing w:after="0"/>
        <w:ind w:left="0"/>
        <w:jc w:val="both"/>
      </w:pPr>
      <w:r>
        <w:rPr>
          <w:rFonts w:ascii="Times New Roman"/>
          <w:b w:val="false"/>
          <w:i w:val="false"/>
          <w:color w:val="000000"/>
          <w:sz w:val="28"/>
        </w:rPr>
        <w:t xml:space="preserve">
      В 2010 году в рамках плана реструктуризации обязательств АО "БТА Банк" (далее "БТА Банк"), утвержденного в марте 2010 года, Фонд приобрел вновь выпущенные простые акции АО "Темiрбанк" (далее "Темирбанк"), дочерней организации БТА Банка. </w:t>
      </w:r>
    </w:p>
    <w:p>
      <w:pPr>
        <w:spacing w:after="0"/>
        <w:ind w:left="0"/>
        <w:jc w:val="both"/>
      </w:pPr>
      <w:r>
        <w:rPr>
          <w:rFonts w:ascii="Times New Roman"/>
          <w:b w:val="false"/>
          <w:i w:val="false"/>
          <w:color w:val="000000"/>
          <w:sz w:val="28"/>
        </w:rPr>
        <w:t xml:space="preserve">
      В 2010 году Альянс Банк, БТА Банк и Темирбанк завершили процесс реструктуризации своей задолженности. Способность Альянс Банка и Темирбанка продолжать придерживаться принципа непрерывной деятельности в значительной степени зависит от успешной реализации новых бизнес-моделей в соответствии с условиями реструктуризации. </w:t>
      </w:r>
    </w:p>
    <w:p>
      <w:pPr>
        <w:spacing w:after="0"/>
        <w:ind w:left="0"/>
        <w:jc w:val="both"/>
      </w:pPr>
      <w:r>
        <w:rPr>
          <w:rFonts w:ascii="Times New Roman"/>
          <w:b w:val="false"/>
          <w:i w:val="false"/>
          <w:color w:val="000000"/>
          <w:sz w:val="28"/>
        </w:rPr>
        <w:t>
      Способность БТА Банка продолжать придерживаться принципа непрерывной деятельности зависит в значительной степени от успешной реализации новой бизнес-модели в соответствии с условиями второй реструктуризации своих долгов, завершенной в декабре 2012 года.</w:t>
      </w:r>
    </w:p>
    <w:bookmarkStart w:name="z103" w:id="103"/>
    <w:p>
      <w:pPr>
        <w:spacing w:after="0"/>
        <w:ind w:left="0"/>
        <w:jc w:val="both"/>
      </w:pPr>
      <w:r>
        <w:rPr>
          <w:rFonts w:ascii="Times New Roman"/>
          <w:b w:val="false"/>
          <w:i w:val="false"/>
          <w:color w:val="000000"/>
          <w:sz w:val="28"/>
        </w:rPr>
        <w:t xml:space="preserve">
      </w:t>
      </w:r>
      <w:r>
        <w:rPr>
          <w:rFonts w:ascii="Times New Roman"/>
          <w:b/>
          <w:i w:val="false"/>
          <w:color w:val="000000"/>
          <w:sz w:val="28"/>
        </w:rPr>
        <w:t>2. ОСНОВА ПОДГОТОВКИ ФИНАНСОВОЙ ОТЧЕТНОСТИ</w:t>
      </w:r>
    </w:p>
    <w:bookmarkEnd w:id="103"/>
    <w:p>
      <w:pPr>
        <w:spacing w:after="0"/>
        <w:ind w:left="0"/>
        <w:jc w:val="both"/>
      </w:pPr>
      <w:r>
        <w:rPr>
          <w:rFonts w:ascii="Times New Roman"/>
          <w:b w:val="false"/>
          <w:i w:val="false"/>
          <w:color w:val="000000"/>
          <w:sz w:val="28"/>
        </w:rPr>
        <w:t>
      Данная консолидированная финансовая отчетность подготовлена на основе принципа первоначальной стоимости, за исключением случаев, описанных в учетной политике и примечаниях к данной консолидированной финансовой отчетности.</w:t>
      </w:r>
    </w:p>
    <w:p>
      <w:pPr>
        <w:spacing w:after="0"/>
        <w:ind w:left="0"/>
        <w:jc w:val="both"/>
      </w:pPr>
      <w:r>
        <w:rPr>
          <w:rFonts w:ascii="Times New Roman"/>
          <w:b w:val="false"/>
          <w:i w:val="false"/>
          <w:color w:val="000000"/>
          <w:sz w:val="28"/>
        </w:rPr>
        <w:t>
      Данная консолидированная финансовая отчетность представлена в тенге, и все денежные суммы округлены до миллионов тенге, за исключением специально оговоренных случаев.</w:t>
      </w:r>
    </w:p>
    <w:bookmarkStart w:name="z104" w:id="104"/>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 о соответствии</w:t>
      </w:r>
    </w:p>
    <w:bookmarkEnd w:id="104"/>
    <w:p>
      <w:pPr>
        <w:spacing w:after="0"/>
        <w:ind w:left="0"/>
        <w:jc w:val="both"/>
      </w:pPr>
      <w:r>
        <w:rPr>
          <w:rFonts w:ascii="Times New Roman"/>
          <w:b w:val="false"/>
          <w:i w:val="false"/>
          <w:color w:val="000000"/>
          <w:sz w:val="28"/>
        </w:rPr>
        <w:t>
      Прилагаемая консолидированная финансовая отчетность была подготовлена в соответствии с Международными стандартами финансовой отчетности (далее "МСФО") в редакции, утвержденной Советом по Международным стандартам финансовой отчетности (далее "Совет по МСФО").</w:t>
      </w:r>
    </w:p>
    <w:p>
      <w:pPr>
        <w:spacing w:after="0"/>
        <w:ind w:left="0"/>
        <w:jc w:val="both"/>
      </w:pPr>
      <w:r>
        <w:rPr>
          <w:rFonts w:ascii="Times New Roman"/>
          <w:b w:val="false"/>
          <w:i w:val="false"/>
          <w:color w:val="000000"/>
          <w:sz w:val="28"/>
        </w:rPr>
        <w:t>
      Подготовка консолидированной финансовой отчетности в соответствии с МСФО требует применения определенных критичных учетных оценок, а также требует от руководства применения суждений по допущениям в ходе применения учетной политики. Сферы применения, включающие в себя повышенный уровень сложности или применения допущений, а также области, в которых применение оценок и допущений является существенным для консолидированной финансовой отчетности, раскрыты в Примечании 4.</w:t>
      </w:r>
    </w:p>
    <w:bookmarkStart w:name="z105" w:id="105"/>
    <w:p>
      <w:pPr>
        <w:spacing w:after="0"/>
        <w:ind w:left="0"/>
        <w:jc w:val="both"/>
      </w:pPr>
      <w:r>
        <w:rPr>
          <w:rFonts w:ascii="Times New Roman"/>
          <w:b w:val="false"/>
          <w:i w:val="false"/>
          <w:color w:val="000000"/>
          <w:sz w:val="28"/>
        </w:rPr>
        <w:t xml:space="preserve">
      </w:t>
      </w:r>
      <w:r>
        <w:rPr>
          <w:rFonts w:ascii="Times New Roman"/>
          <w:b/>
          <w:i w:val="false"/>
          <w:color w:val="000000"/>
          <w:sz w:val="28"/>
        </w:rPr>
        <w:t>Пересчет ранее представленных данных в связи с передачей предприятия, находящегося под общим контролем</w:t>
      </w:r>
    </w:p>
    <w:bookmarkEnd w:id="10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1539 от 4 декабря 2012 года, 26 июля 2013 года Группе был передан государственный пакет акций АО "Национальная компания "Актауский международный морской торговый порт". Поскольку передача пакета акций АО "Национальная компания "Актауский международный морской торговый порт" представляет собой объединение предприятий под общим контролем, данная консолидированная финансовая отчетность была подготовлена с использованием метода учета компании-предшественника. Соответственно, данная консолидированная финансовая отчетность представлена таким образом, как если бы передача акций АО "Национальная компания "Актауский международный морской торговый порт" произошла на дату наиболее раннего представленного периода, и, как результат, сравнительная информация за прошлые отчетности была пересчитана.</w:t>
      </w:r>
    </w:p>
    <w:p>
      <w:pPr>
        <w:spacing w:after="0"/>
        <w:ind w:left="0"/>
        <w:jc w:val="both"/>
      </w:pPr>
      <w:r>
        <w:rPr>
          <w:rFonts w:ascii="Times New Roman"/>
          <w:b w:val="false"/>
          <w:i w:val="false"/>
          <w:color w:val="000000"/>
          <w:sz w:val="28"/>
        </w:rPr>
        <w:t>
      Активы и обязательства АО "Национальная компания "Актауский международный морской торговый порт" были учтены в данной консолидированной финансовой отчетности по балансовой стоимости в их финансовой отчетности, с соответствующим зачислением разницы в капитал.</w:t>
      </w:r>
    </w:p>
    <w:p>
      <w:pPr>
        <w:spacing w:after="0"/>
        <w:ind w:left="0"/>
        <w:jc w:val="both"/>
      </w:pPr>
      <w:r>
        <w:rPr>
          <w:rFonts w:ascii="Times New Roman"/>
          <w:b w:val="false"/>
          <w:i w:val="false"/>
          <w:color w:val="000000"/>
          <w:sz w:val="28"/>
        </w:rPr>
        <w:t>
      Эффект изменений в сравнительных данных приведен в следующей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1"/>
        <w:gridCol w:w="4809"/>
      </w:tblGrid>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финансовой отчетности АО "Национальная компания "Актауский международный морской торговый порт"</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консолидированный бухгалтерский баланс по состоянию на 31 декабря 2012 года: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в основных средствах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25.964</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нематериальных активах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средствах в кредитных учреждениях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прочих долгосрочных активах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долгосрочных активах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товарно-материальных запасах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предоплате по подоходному налогу</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торговой дебиторской задолженности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текущих средствах в кредитных учреждениях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прочих текущих активах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денежных средствах и их эквивалентах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текущих активах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общей сумме активов</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в займах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обязательствах по отсроченному налогу</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долгосрочных обязательствах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в займах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торговой и прочей кредиторской задолженности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прочих текущих обязательствах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краткосрочных обязательствах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в общей сумме обязательств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w:t>
            </w:r>
          </w:p>
        </w:tc>
      </w:tr>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чистых активах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3"/>
        <w:gridCol w:w="5117"/>
      </w:tblGrid>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консолидированный отчет о совокупном доходе за 2012 год</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Выручка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транспортировке и реализации</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доход, нетто</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операционной деятельности</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курсовая разница, нетто</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до учета подоходного налога</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 от продолжающейся деятельности</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прекращенной деятельности</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 за год</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совокупного дохода за год, за вычетом налогообложения</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 приходящаяся на:</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Акционера материнской компании</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Неконтрольную долю участия</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6" w:id="106"/>
    <w:p>
      <w:pPr>
        <w:spacing w:after="0"/>
        <w:ind w:left="0"/>
        <w:jc w:val="both"/>
      </w:pPr>
      <w:r>
        <w:rPr>
          <w:rFonts w:ascii="Times New Roman"/>
          <w:b w:val="false"/>
          <w:i w:val="false"/>
          <w:color w:val="000000"/>
          <w:sz w:val="28"/>
        </w:rPr>
        <w:t xml:space="preserve">
      </w:t>
      </w:r>
      <w:r>
        <w:rPr>
          <w:rFonts w:ascii="Times New Roman"/>
          <w:b/>
          <w:i w:val="false"/>
          <w:color w:val="000000"/>
          <w:sz w:val="28"/>
        </w:rPr>
        <w:t>Пересчет иностранной валюты</w:t>
      </w:r>
    </w:p>
    <w:bookmarkEnd w:id="106"/>
    <w:p>
      <w:pPr>
        <w:spacing w:after="0"/>
        <w:ind w:left="0"/>
        <w:jc w:val="both"/>
      </w:pPr>
      <w:r>
        <w:rPr>
          <w:rFonts w:ascii="Times New Roman"/>
          <w:b w:val="false"/>
          <w:i w:val="false"/>
          <w:color w:val="000000"/>
          <w:sz w:val="28"/>
        </w:rPr>
        <w:t xml:space="preserve">
      </w:t>
      </w:r>
      <w:r>
        <w:rPr>
          <w:rFonts w:ascii="Times New Roman"/>
          <w:b w:val="false"/>
          <w:i/>
          <w:color w:val="000000"/>
          <w:sz w:val="28"/>
        </w:rPr>
        <w:t>Функциональная валюта и валюта представления</w:t>
      </w:r>
    </w:p>
    <w:p>
      <w:pPr>
        <w:spacing w:after="0"/>
        <w:ind w:left="0"/>
        <w:jc w:val="both"/>
      </w:pPr>
      <w:r>
        <w:rPr>
          <w:rFonts w:ascii="Times New Roman"/>
          <w:b w:val="false"/>
          <w:i w:val="false"/>
          <w:color w:val="000000"/>
          <w:sz w:val="28"/>
        </w:rPr>
        <w:t>
      Элементы финансовой отчетности каждого из предприятий Группы, включенные в данную консолидированную финансовую отчетность, оцениваются с использованием валюты основной экономической среды, в которой предприятия осуществляют свою деятельность далее (далее – "функциональная валюта"). Консолидированная финансовая отчетность представлена в тенге, который является валютой представления отчетности Группы.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Операции и сальдо счетов</w:t>
      </w:r>
    </w:p>
    <w:p>
      <w:pPr>
        <w:spacing w:after="0"/>
        <w:ind w:left="0"/>
        <w:jc w:val="both"/>
      </w:pPr>
      <w:r>
        <w:rPr>
          <w:rFonts w:ascii="Times New Roman"/>
          <w:b w:val="false"/>
          <w:i w:val="false"/>
          <w:color w:val="000000"/>
          <w:sz w:val="28"/>
        </w:rPr>
        <w:t>
      Операции в иностранной валюте пересчитываются в функциональную валюту с использованием валютных курсов на дату осуществления операции. Доходы и убытки от курсовой разницы, возникающие в результате расчетов по таким операциям, и от пересчета монетарных активов и обязательств, выраженных в иностранной валюте, по курсам на конец года, признаются в прибылях и убытках.</w:t>
      </w:r>
    </w:p>
    <w:p>
      <w:pPr>
        <w:spacing w:after="0"/>
        <w:ind w:left="0"/>
        <w:jc w:val="both"/>
      </w:pPr>
      <w:r>
        <w:rPr>
          <w:rFonts w:ascii="Times New Roman"/>
          <w:b w:val="false"/>
          <w:i w:val="false"/>
          <w:color w:val="000000"/>
          <w:sz w:val="28"/>
        </w:rPr>
        <w:t>
      Немонетарные статьи, которые оцениваются на основе исторической стоимости в иностранной валюте, пересчитываются по курсам, действовавшим на дату совершения первоначальных сделок. Немонетарные статьи, которые оцениваются по справедливой стоимости в иностранной валюте, пересчитываются по курсам, действовавшим на дату определения справедливой стоимости.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Предприятия Группы</w:t>
      </w:r>
    </w:p>
    <w:p>
      <w:pPr>
        <w:spacing w:after="0"/>
        <w:ind w:left="0"/>
        <w:jc w:val="both"/>
      </w:pPr>
      <w:r>
        <w:rPr>
          <w:rFonts w:ascii="Times New Roman"/>
          <w:b w:val="false"/>
          <w:i w:val="false"/>
          <w:color w:val="000000"/>
          <w:sz w:val="28"/>
        </w:rPr>
        <w:t>
      Доходы, убытки и финансовое положение всех дочерних организаций, совместных предприятий и ассоциированных компаний Группы (ни одна из которых не оперирует в валютах гиперинфляционных экономик), функциональная валюта которых отличается от валюты представления, пересчитываются в валюту представления следующим образом:</w:t>
      </w:r>
    </w:p>
    <w:p>
      <w:pPr>
        <w:spacing w:after="0"/>
        <w:ind w:left="0"/>
        <w:jc w:val="both"/>
      </w:pPr>
      <w:r>
        <w:rPr>
          <w:rFonts w:ascii="Times New Roman"/>
          <w:b w:val="false"/>
          <w:i w:val="false"/>
          <w:color w:val="000000"/>
          <w:sz w:val="28"/>
        </w:rPr>
        <w:t>
      - активы и обязательства по каждому из представленных бухгалтерских балансов пересчитываются по курсам на отчетные даты;</w:t>
      </w:r>
    </w:p>
    <w:p>
      <w:pPr>
        <w:spacing w:after="0"/>
        <w:ind w:left="0"/>
        <w:jc w:val="both"/>
      </w:pPr>
      <w:r>
        <w:rPr>
          <w:rFonts w:ascii="Times New Roman"/>
          <w:b w:val="false"/>
          <w:i w:val="false"/>
          <w:color w:val="000000"/>
          <w:sz w:val="28"/>
        </w:rPr>
        <w:t>
      - доходы и расходы по каждому из отчетов о совокупном доходе пересчитываются по средним курсам (кроме случаев, когда средний курс не является разумным приближением совокупного эффекта курсов на дату осуществления операции; в этом случае доходы и расходы пересчитываются по курсу на дату осуществления операции); и</w:t>
      </w:r>
    </w:p>
    <w:p>
      <w:pPr>
        <w:spacing w:after="0"/>
        <w:ind w:left="0"/>
        <w:jc w:val="both"/>
      </w:pPr>
      <w:r>
        <w:rPr>
          <w:rFonts w:ascii="Times New Roman"/>
          <w:b w:val="false"/>
          <w:i w:val="false"/>
          <w:color w:val="000000"/>
          <w:sz w:val="28"/>
        </w:rPr>
        <w:t>
      - все курсовые разницы признаются в качестве отдельного компонента в прочем совокупном доходе.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Курсы обмена валют</w:t>
      </w:r>
    </w:p>
    <w:p>
      <w:pPr>
        <w:spacing w:after="0"/>
        <w:ind w:left="0"/>
        <w:jc w:val="both"/>
      </w:pPr>
      <w:r>
        <w:rPr>
          <w:rFonts w:ascii="Times New Roman"/>
          <w:b w:val="false"/>
          <w:i w:val="false"/>
          <w:color w:val="000000"/>
          <w:sz w:val="28"/>
        </w:rPr>
        <w:t>
      Средневзвешенные курсы обмена валют, установленные на Казахстанской Фондовой Бирже (далее по тексту "КФБ"), используются в качестве официальных курсов обмена валют в Республике Казахстан.</w:t>
      </w:r>
    </w:p>
    <w:p>
      <w:pPr>
        <w:spacing w:after="0"/>
        <w:ind w:left="0"/>
        <w:jc w:val="both"/>
      </w:pPr>
      <w:r>
        <w:rPr>
          <w:rFonts w:ascii="Times New Roman"/>
          <w:b w:val="false"/>
          <w:i w:val="false"/>
          <w:color w:val="000000"/>
          <w:sz w:val="28"/>
        </w:rPr>
        <w:t>
      В следующей таблице представлен обменный курс иностранной валюты к тенге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5574"/>
        <w:gridCol w:w="5575"/>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Российский рубль</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Швейцарский франк</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Обменный курс КФБ на 25 апреля 2014 года составлял 182,01 тенге за 1 доллар США.</w:t>
      </w:r>
    </w:p>
    <w:bookmarkStart w:name="z107" w:id="107"/>
    <w:p>
      <w:pPr>
        <w:spacing w:after="0"/>
        <w:ind w:left="0"/>
        <w:jc w:val="both"/>
      </w:pPr>
      <w:r>
        <w:rPr>
          <w:rFonts w:ascii="Times New Roman"/>
          <w:b w:val="false"/>
          <w:i w:val="false"/>
          <w:color w:val="000000"/>
          <w:sz w:val="28"/>
        </w:rPr>
        <w:t xml:space="preserve">
      </w:t>
      </w:r>
      <w:r>
        <w:rPr>
          <w:rFonts w:ascii="Times New Roman"/>
          <w:b/>
          <w:i w:val="false"/>
          <w:color w:val="000000"/>
          <w:sz w:val="28"/>
        </w:rPr>
        <w:t>3. ОБЗОР СУЩЕСТВЕННЫХ АСПЕКТОВ УЧЕТНОЙ ПОЛИТИКИ</w:t>
      </w:r>
    </w:p>
    <w:bookmarkEnd w:id="107"/>
    <w:bookmarkStart w:name="z108" w:id="108"/>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Изменения в учетной политике и принципах раскрытия информации</w:t>
      </w:r>
    </w:p>
    <w:bookmarkEnd w:id="108"/>
    <w:p>
      <w:pPr>
        <w:spacing w:after="0"/>
        <w:ind w:left="0"/>
        <w:jc w:val="both"/>
      </w:pPr>
      <w:r>
        <w:rPr>
          <w:rFonts w:ascii="Times New Roman"/>
          <w:b w:val="false"/>
          <w:i w:val="false"/>
          <w:color w:val="000000"/>
          <w:sz w:val="28"/>
        </w:rPr>
        <w:t>
      Учетная политика, применяемая при подготовке данной консолидированной финансовой отчетности, соответствует той, которая использовалась при подготовке годовой консолидированной финансовой отчетности за год, закончившийся 31 декабря 2012 года, за исключением поправок к стандартам: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МСФО 10 "Консолидированная финансовая отчетность", и МСБУ 27 "Отдельная финансовая отчетность"</w:t>
      </w:r>
    </w:p>
    <w:p>
      <w:pPr>
        <w:spacing w:after="0"/>
        <w:ind w:left="0"/>
        <w:jc w:val="both"/>
      </w:pPr>
      <w:r>
        <w:rPr>
          <w:rFonts w:ascii="Times New Roman"/>
          <w:b w:val="false"/>
          <w:i w:val="false"/>
          <w:color w:val="000000"/>
          <w:sz w:val="28"/>
        </w:rPr>
        <w:t>
      МСФО 10 предусматривает единую модель контроля, которая применяется в отношении всех компаний, включая компании специального назначения. МСФО 10 заменяет ту часть МСБУ 27 "Консолидированная и отдельная финансовая отчетность", в которой содержались требования к консолидированной финансовой отчетности. Стандарт также содержит указания по вопросам, которые рассматривались в Интерпретации ПКИ-12 "Консолидация – компании специального назначения". МСФО 10 меняет определение "контроль" таким образом, что считается, что инвестор контролирует объект инвестиций, если он имеет право на переменную отдачу от инвестиции или подвержен риску, связанному с ее изменением, и может влиять на данную отдачу вследствие своих полномочий в отношении объекта инвестиций. Согласно определению контроля в МСФО 10 инвестор контролирует объект инвестиций только в том случае, если выполняются все три условия: (a) наличие у инвестора полномочий в отношении объекта инвестиций; (б) наличие у инвестора права на переменную отдачу от инвестиции или подверженность риску, связанному с ее изменением; (в) наличие у инвестора возможности использования своих полномочий в отношении объекта инвестиций с целью влияния на переменную отдачу от инвестиции. МСФО 10 не оказал влияния на консолидацию инвестиций Группы.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МСФО 11 "Соглашения о совместной деятельности" и МСБУ 28 "Инвестиции в ассоциированные компании и совместные предприятия"</w:t>
      </w:r>
    </w:p>
    <w:p>
      <w:pPr>
        <w:spacing w:after="0"/>
        <w:ind w:left="0"/>
        <w:jc w:val="both"/>
      </w:pPr>
      <w:r>
        <w:rPr>
          <w:rFonts w:ascii="Times New Roman"/>
          <w:b w:val="false"/>
          <w:i w:val="false"/>
          <w:color w:val="000000"/>
          <w:sz w:val="28"/>
        </w:rPr>
        <w:t xml:space="preserve">
      МСФО 11 заменяет МСБУ 31 "Участие в совместной деятельности" и Интерпретацию ПКИ-13 "Совместно контролируемые компании – немонетарные вклады участников". МСФО 11 исключает возможность учета совместно контролируемых компаний методом пропорциональной консолидации. Вместо этого совместно контролируемые компании, удовлетворяющие определению совместных предприятий согласно МСФО 11, учитываются по методу долевого участия. </w:t>
      </w:r>
    </w:p>
    <w:p>
      <w:pPr>
        <w:spacing w:after="0"/>
        <w:ind w:left="0"/>
        <w:jc w:val="both"/>
      </w:pPr>
      <w:r>
        <w:rPr>
          <w:rFonts w:ascii="Times New Roman"/>
          <w:b w:val="false"/>
          <w:i w:val="false"/>
          <w:color w:val="000000"/>
          <w:sz w:val="28"/>
        </w:rPr>
        <w:t>
      МСФО 11 вступает в силу отношений годовых отчетных периодов, начинающихся 1 января 2013 года или после этой даты. МСФО 11 не оказал влияния на консолидированную финансовую отчетность Группы.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МСФО 12 "Раскрытие информации о долях участия в других компаниях"</w:t>
      </w:r>
    </w:p>
    <w:p>
      <w:pPr>
        <w:spacing w:after="0"/>
        <w:ind w:left="0"/>
        <w:jc w:val="both"/>
      </w:pPr>
      <w:r>
        <w:rPr>
          <w:rFonts w:ascii="Times New Roman"/>
          <w:b w:val="false"/>
          <w:i w:val="false"/>
          <w:color w:val="000000"/>
          <w:sz w:val="28"/>
        </w:rPr>
        <w:t xml:space="preserve">
      МСФО 12 содержит требования к раскрытию информации, которая относится к долям участия компании в дочерних организациях, соглашениях о совместной деятельности, ассоциированных и структурированных компаниях. Требования МСФО 12 являются более обширными, чем ранее применявшиеся требования в отношении раскрытия информации о дочерних организациях. В настоящее время у Группы имеются дочерние организации с существенными неконтрольными долями участия, но неконсолидируемые структурированные компании отсутствуют.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МСФО 13 "Оценка справедливой стоимости"</w:t>
      </w:r>
    </w:p>
    <w:p>
      <w:pPr>
        <w:spacing w:after="0"/>
        <w:ind w:left="0"/>
        <w:jc w:val="both"/>
      </w:pPr>
      <w:r>
        <w:rPr>
          <w:rFonts w:ascii="Times New Roman"/>
          <w:b w:val="false"/>
          <w:i w:val="false"/>
          <w:color w:val="000000"/>
          <w:sz w:val="28"/>
        </w:rPr>
        <w:t>
      МСФО 13 объединяет в одном стандарте все указания относительно оценки справедливой стоимости согласно МСФО. МСФО 13 не вносит изменений в определение того, когда компании должны использовать справедливую стоимость, а предоставляет указания относительно оценки справедливой стоимости согласно МСФО. МСФО 13 определяет справедливую стоимость как цену выхода. Согласно указаниям в МСФО 13, Группа повторно проанализировала свою политику в отношении оценки справедливой стоимости, в частности, используемые исходные данные для оценки, такие, как например риск неисполнения обязательств, учитываемые при оценке обязательств по справедливой стоимости. МСФО 13 также требует раскрытия дополнительной информации.</w:t>
      </w:r>
    </w:p>
    <w:p>
      <w:pPr>
        <w:spacing w:after="0"/>
        <w:ind w:left="0"/>
        <w:jc w:val="both"/>
      </w:pPr>
      <w:r>
        <w:rPr>
          <w:rFonts w:ascii="Times New Roman"/>
          <w:b w:val="false"/>
          <w:i w:val="false"/>
          <w:color w:val="000000"/>
          <w:sz w:val="28"/>
        </w:rPr>
        <w:t>
      Применение МСФО 13 не оказало существенного влияния на оценки справедливой стоимости, определяемой Группой. Там, где это необходимо, дополнительная информация раскрывается в отдельных примечаниях по активам и обязательствам, для которых определялась справедливая стоимость. Иерархия источников справедливой стоимости представлена в Примечании 39.</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Поправки к МСБУ 1 "Представление статей прочего совокупного дохода"</w:t>
      </w:r>
    </w:p>
    <w:p>
      <w:pPr>
        <w:spacing w:after="0"/>
        <w:ind w:left="0"/>
        <w:jc w:val="both"/>
      </w:pPr>
      <w:r>
        <w:rPr>
          <w:rFonts w:ascii="Times New Roman"/>
          <w:b w:val="false"/>
          <w:i w:val="false"/>
          <w:color w:val="000000"/>
          <w:sz w:val="28"/>
        </w:rPr>
        <w:t>
      Поправки к МСБУ 1 изменяют группировку статей, представляемых в составе прочего совокупного дохода. Статьи, которые могут быть переклассифицированы в состав прибыли или убытка в определенный момент в будущем (например, чистый доход или расход от хеджирования чистых инвестиций, курсовые разницы при пересчете отчетности зарубежных подразделений, чистое изменение хеджирования денежных потоков и чистые расходы или доходы по финансовым активам, имеющимся в наличии для продажи), должны представляться отдельно от статей, которые не будут переклассифицированы (например, переоценка земли и зданий). Поправки оказывают влияние исключительно на представление информации и не затрагивают консолидированное финансовое положение или консолидированные финансовые результаты деятельности Группы.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МСБУ 19 "Вознаграждения работникам" (в редакции 2011 года)</w:t>
      </w:r>
    </w:p>
    <w:p>
      <w:pPr>
        <w:spacing w:after="0"/>
        <w:ind w:left="0"/>
        <w:jc w:val="both"/>
      </w:pPr>
      <w:r>
        <w:rPr>
          <w:rFonts w:ascii="Times New Roman"/>
          <w:b w:val="false"/>
          <w:i w:val="false"/>
          <w:color w:val="000000"/>
          <w:sz w:val="28"/>
        </w:rPr>
        <w:t>
      МСБУ 19 включает в себя ряд поправок относительно учета планов с установленными выплатами. В частности, в соответствии с новой редакцией стандарта актуарные доходы и расходы, признаются в составе прочего совокупного дохода и не подлежат последующей переклассификации в состав прибыли или убытка; ожидаемая доходность активов плана более не признается в составе прибыли или убытка, а вместо этого применяется требование о признании процентов по чистому обязательству (активу) плана с установленными выплатами в составе прибыли или убытка, которые рассчитываются на основании ставки дисконтирования для оценки обязательства по установленным выплатам; стоимость услуг прошлых лет, права на вознаграждения за которые еще не перешли, признаются в составе прибыли или убытка на более раннюю из следующих дат: дата изменений плана, или дата признания соответствующих затрат на реструктуризацию или выходных пособий. Прочие поправки касаются новых требований в отношении раскрытия информации, например, требования в отношении раскрытия количественной информации о чувствительности. Принятие МСБУ 19 не оказало значительное влияние на консолидированное финансовое положение и финансовые результаты Группы.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Поправка к МСБУ 36 "Обесценение активов" - "Раскрытие информации о возмещаемой стоимости для нефинансовых активов"</w:t>
      </w:r>
    </w:p>
    <w:p>
      <w:pPr>
        <w:spacing w:after="0"/>
        <w:ind w:left="0"/>
        <w:jc w:val="both"/>
      </w:pPr>
      <w:r>
        <w:rPr>
          <w:rFonts w:ascii="Times New Roman"/>
          <w:b w:val="false"/>
          <w:i w:val="false"/>
          <w:color w:val="000000"/>
          <w:sz w:val="28"/>
        </w:rPr>
        <w:t>
      Данные поправки устраняют нежелательные последствия для раскрытия информации согласно МСБУ 36, связанные с вступлением в силу МСФО 13. Кроме того, данные поправки требуют раскрытия информации о возмещаемой стоимости активов или ПГДП, по которым в течение отчетного периода был признан или восстановлен убыток от обесценения. Данные поправки применяются ретроспективно в отношении годовых отчетных периодов, начинающихся с 1 января 2014 года или после этой даты, при этом допускается досрочное применение при условии применения МСФО 13. Группа досрочно применила данные поправки к МСБУ 36 в текущем отчетном периоде, поскольку раскрытие измененной/дополнительной информации является полезным, как и предполагалось Советом по МСФО. Данные поправки будут также учитываться при раскрытии информации в будущем.</w:t>
      </w:r>
    </w:p>
    <w:p>
      <w:pPr>
        <w:spacing w:after="0"/>
        <w:ind w:left="0"/>
        <w:jc w:val="both"/>
      </w:pPr>
      <w:r>
        <w:rPr>
          <w:rFonts w:ascii="Times New Roman"/>
          <w:b w:val="false"/>
          <w:i w:val="false"/>
          <w:color w:val="000000"/>
          <w:sz w:val="28"/>
        </w:rPr>
        <w:t>
      Группа досрочно не применяет какие-либо другие стандарты, интерпретации или поправки к ним, которые были выпущены, но еще не вступили в силу.</w:t>
      </w:r>
    </w:p>
    <w:bookmarkStart w:name="z109" w:id="109"/>
    <w:p>
      <w:pPr>
        <w:spacing w:after="0"/>
        <w:ind w:left="0"/>
        <w:jc w:val="both"/>
      </w:pPr>
      <w:r>
        <w:rPr>
          <w:rFonts w:ascii="Times New Roman"/>
          <w:b w:val="false"/>
          <w:i w:val="false"/>
          <w:color w:val="000000"/>
          <w:sz w:val="28"/>
        </w:rPr>
        <w:t xml:space="preserve">
      </w:t>
      </w:r>
      <w:r>
        <w:rPr>
          <w:rFonts w:ascii="Times New Roman"/>
          <w:b/>
          <w:i w:val="false"/>
          <w:color w:val="000000"/>
          <w:sz w:val="28"/>
        </w:rPr>
        <w:t>Выпущенные, но еще не вступившие в силу стандарты и интерпретации</w:t>
      </w:r>
    </w:p>
    <w:bookmarkEnd w:id="109"/>
    <w:p>
      <w:pPr>
        <w:spacing w:after="0"/>
        <w:ind w:left="0"/>
        <w:jc w:val="both"/>
      </w:pPr>
      <w:r>
        <w:rPr>
          <w:rFonts w:ascii="Times New Roman"/>
          <w:b w:val="false"/>
          <w:i w:val="false"/>
          <w:color w:val="000000"/>
          <w:sz w:val="28"/>
        </w:rPr>
        <w:t>
      Ниже приводятся стандарты и интерпретации, которые были выпущены, но еще не вступили в силу на дату выпуска консолидированной финансовой отчетности Группы. Группа намерена применить эти стандарты с даты их вступления в силу.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МСФО 9 "Финансовые инструменты: классификация и оценка"</w:t>
      </w:r>
    </w:p>
    <w:p>
      <w:pPr>
        <w:spacing w:after="0"/>
        <w:ind w:left="0"/>
        <w:jc w:val="both"/>
      </w:pPr>
      <w:r>
        <w:rPr>
          <w:rFonts w:ascii="Times New Roman"/>
          <w:b w:val="false"/>
          <w:i w:val="false"/>
          <w:color w:val="000000"/>
          <w:sz w:val="28"/>
        </w:rPr>
        <w:t xml:space="preserve">
      МСФО 9, выпущенный по результатам первого этапа проекта Совета по МСФО по замене МСБУ 39, применяется в отношении классификации и оценки финансовых активов и финансовых обязательств, как они определены в МСБУ 39. Первоначально предполагалось, что стандарт вступит в силу в отношении годовых отчетных периодов, начинающихся 1 января 2013 года или после этой даты, но в результате выпуска Поправок к МСФО 9 "Дата обязательного применения МСФО 9 и переходные требования к раскрытию информации", опубликованных в декабре 2011 года, дата обязательного применения была перенесена на 1 января 2015 года. В ходе последующих этапов Совет по МСФО рассмотрит учет хеджирования и обесценение финансовых активов.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"Инвестиционные компании" (Поправки к МСФО (IFRS) 10, МСФО (IFRS) 12 и МСФО (IAS) 27)</w:t>
      </w:r>
    </w:p>
    <w:p>
      <w:pPr>
        <w:spacing w:after="0"/>
        <w:ind w:left="0"/>
        <w:jc w:val="both"/>
      </w:pPr>
      <w:r>
        <w:rPr>
          <w:rFonts w:ascii="Times New Roman"/>
          <w:b w:val="false"/>
          <w:i w:val="false"/>
          <w:color w:val="000000"/>
          <w:sz w:val="28"/>
        </w:rPr>
        <w:t>
      Данные поправки вступают в силу для годовых отчетных периодов, начинающихся 1 января 2014 года или после этой даты, и предусматривают исключение из требований о консолидации для компаний, которые отвечают определению инвестиционной компании согласно МСФО (IFRS) 10. Исключение из требований о консолидации требует, чтобы инвестиционные компании учитывали дочерние организации по справедливой стоимости через прибыль или убыток. Фонд не ожидает, что данная поправка будет применима, поскольку ни одна из дочерних организаций Фонда не отвечает определению инвестиционной компании согласно МСФО (IFRS) 10.</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Поправки к МСБУ 32 "Взаимозачет финансовых активов и финансовых обязательств"</w:t>
      </w:r>
    </w:p>
    <w:p>
      <w:pPr>
        <w:spacing w:after="0"/>
        <w:ind w:left="0"/>
        <w:jc w:val="both"/>
      </w:pPr>
      <w:r>
        <w:rPr>
          <w:rFonts w:ascii="Times New Roman"/>
          <w:b w:val="false"/>
          <w:i w:val="false"/>
          <w:color w:val="000000"/>
          <w:sz w:val="28"/>
        </w:rPr>
        <w:t>
      В рамках данных поправок разъясняется значение фразы "в настоящий момент обладает юридическим закрепленным правом на осуществление взаимозачета". Поправки также описывают, как следует правильно применять критерии взаимозачета в МСБУ 32 в отношении систем расчетов (таких, как системы единого клирингового центра), в рамках которых используются механизмы неодновременных валовых платежей. Предполагается, что данные поправки не окажут влияние на консолидированное финансовое положение или консолидированные финансовые результаты деятельности Группы. Поправки вступают в силу в отношении годовых отчетных периодов, начинающихся 1 января 2014 года или после этой даты.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Интерпретация IFRIC 21 "Обязательные платежи"</w:t>
      </w:r>
    </w:p>
    <w:p>
      <w:pPr>
        <w:spacing w:after="0"/>
        <w:ind w:left="0"/>
        <w:jc w:val="both"/>
      </w:pPr>
      <w:r>
        <w:rPr>
          <w:rFonts w:ascii="Times New Roman"/>
          <w:b w:val="false"/>
          <w:i w:val="false"/>
          <w:color w:val="000000"/>
          <w:sz w:val="28"/>
        </w:rPr>
        <w:t>
      В Интерпретации IFRIC 21 разъясняется, что компания признает обязательство в отношении обязательных платежей тогда, когда происходит действие, влекущее за собой их уплату. В случае обязательного платежа, выплата которого требуется в случае достижения минимального порогового значения, в интерпретации устанавливается запрет на признание предполагаемого обязательства до достижения установленного минимального порогового значения. Интерпретация IFRIC 21 вступает в силу для годовых отчетных периодов, начинающихся 1 января 2014 года или после этой даты. Предполагается, что Интерпретация IFRIC 21 не окажет влияние на консолидированное финансовое положение или финансовые результаты деятельности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Поправки к МСФО (IAS) 39 "Новация производных инструментов и продолжение учета хеджирования"</w:t>
      </w:r>
    </w:p>
    <w:p>
      <w:pPr>
        <w:spacing w:after="0"/>
        <w:ind w:left="0"/>
        <w:jc w:val="both"/>
      </w:pPr>
      <w:r>
        <w:rPr>
          <w:rFonts w:ascii="Times New Roman"/>
          <w:b w:val="false"/>
          <w:i w:val="false"/>
          <w:color w:val="000000"/>
          <w:sz w:val="28"/>
        </w:rPr>
        <w:t>
      В данных поправках предусматривается исключение из требования о прекращении учета хеджирования в случае, когда новация производного инструмента, определенного как инструмент хеджирования, отвечает установленным критериям. Данные поправки вступают в силу для годовых отчетных периодов, начинающихся 1 января 2014 года или после этой даты. Данные поправки будут приняты во внимание при рассмотрении будущих операций.</w:t>
      </w:r>
    </w:p>
    <w:bookmarkStart w:name="z110" w:id="110"/>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Принципы консолидации</w:t>
      </w:r>
    </w:p>
    <w:bookmarkEnd w:id="110"/>
    <w:p>
      <w:pPr>
        <w:spacing w:after="0"/>
        <w:ind w:left="0"/>
        <w:jc w:val="both"/>
      </w:pPr>
      <w:r>
        <w:rPr>
          <w:rFonts w:ascii="Times New Roman"/>
          <w:b w:val="false"/>
          <w:i w:val="false"/>
          <w:color w:val="000000"/>
          <w:sz w:val="28"/>
        </w:rPr>
        <w:t>
      Консолидированная финансовая отчетность включает финансовую отчетность Фонда и контролируемых им дочерних организаций (Примечание 36).</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Дочерние организации</w:t>
      </w:r>
    </w:p>
    <w:p>
      <w:pPr>
        <w:spacing w:after="0"/>
        <w:ind w:left="0"/>
        <w:jc w:val="both"/>
      </w:pPr>
      <w:r>
        <w:rPr>
          <w:rFonts w:ascii="Times New Roman"/>
          <w:b w:val="false"/>
          <w:i w:val="false"/>
          <w:color w:val="000000"/>
          <w:sz w:val="28"/>
        </w:rPr>
        <w:t>
      Дочерние организации – это те предприятия, которые контролируются Группой. Контроль осуществляется в том случае, если Группа имеет право на переменную отдачу от инвестиций или подвержена риску, связанному с ее изменением и может влиять на данную отдачу вследствие своих полномочий в отношении объекта инвестиций. В частности, Группа контролирует объект инвестиций только в том случае, если выполняются следующие условия:</w:t>
      </w:r>
    </w:p>
    <w:p>
      <w:pPr>
        <w:spacing w:after="0"/>
        <w:ind w:left="0"/>
        <w:jc w:val="both"/>
      </w:pPr>
      <w:r>
        <w:rPr>
          <w:rFonts w:ascii="Times New Roman"/>
          <w:b w:val="false"/>
          <w:i w:val="false"/>
          <w:color w:val="000000"/>
          <w:sz w:val="28"/>
        </w:rPr>
        <w:t>
      - наличие у Группы полномочий в отношении объекта инвестиций (т.е. существующие права, обеспечивающие текущую возможность управлять соответствующей деятельностью объекта инвестиций);</w:t>
      </w:r>
    </w:p>
    <w:p>
      <w:pPr>
        <w:spacing w:after="0"/>
        <w:ind w:left="0"/>
        <w:jc w:val="both"/>
      </w:pPr>
      <w:r>
        <w:rPr>
          <w:rFonts w:ascii="Times New Roman"/>
          <w:b w:val="false"/>
          <w:i w:val="false"/>
          <w:color w:val="000000"/>
          <w:sz w:val="28"/>
        </w:rPr>
        <w:t>
      - наличие у Группы права на переменную отдачу от инвестиций иди подверженности риску, связанному с ее изменением;</w:t>
      </w:r>
    </w:p>
    <w:p>
      <w:pPr>
        <w:spacing w:after="0"/>
        <w:ind w:left="0"/>
        <w:jc w:val="both"/>
      </w:pPr>
      <w:r>
        <w:rPr>
          <w:rFonts w:ascii="Times New Roman"/>
          <w:b w:val="false"/>
          <w:i w:val="false"/>
          <w:color w:val="000000"/>
          <w:sz w:val="28"/>
        </w:rPr>
        <w:t>
      - наличие у Группы возможности использования своих полномочий в отношении объекта инвестиций с целью влияния на переменную отдачу от инвестиции.</w:t>
      </w:r>
    </w:p>
    <w:p>
      <w:pPr>
        <w:spacing w:after="0"/>
        <w:ind w:left="0"/>
        <w:jc w:val="both"/>
      </w:pPr>
      <w:r>
        <w:rPr>
          <w:rFonts w:ascii="Times New Roman"/>
          <w:b w:val="false"/>
          <w:i w:val="false"/>
          <w:color w:val="000000"/>
          <w:sz w:val="28"/>
        </w:rPr>
        <w:t>
      При наличии у Группы менее чем большинство прав голоса или аналогичных прав в отношении объекта инвестиций, Группа учитывает все уместные факты и обстоятельства при оценке наличия полномочий в отношении данного объекта инвестиций:</w:t>
      </w:r>
    </w:p>
    <w:p>
      <w:pPr>
        <w:spacing w:after="0"/>
        <w:ind w:left="0"/>
        <w:jc w:val="both"/>
      </w:pPr>
      <w:r>
        <w:rPr>
          <w:rFonts w:ascii="Times New Roman"/>
          <w:b w:val="false"/>
          <w:i w:val="false"/>
          <w:color w:val="000000"/>
          <w:sz w:val="28"/>
        </w:rPr>
        <w:t>
      - соглашение с другими лицами, обладающими правами голоса в объекте инвестиций;</w:t>
      </w:r>
    </w:p>
    <w:p>
      <w:pPr>
        <w:spacing w:after="0"/>
        <w:ind w:left="0"/>
        <w:jc w:val="both"/>
      </w:pPr>
      <w:r>
        <w:rPr>
          <w:rFonts w:ascii="Times New Roman"/>
          <w:b w:val="false"/>
          <w:i w:val="false"/>
          <w:color w:val="000000"/>
          <w:sz w:val="28"/>
        </w:rPr>
        <w:t>
      - права, обусловленные другими соглашениями;</w:t>
      </w:r>
    </w:p>
    <w:p>
      <w:pPr>
        <w:spacing w:after="0"/>
        <w:ind w:left="0"/>
        <w:jc w:val="both"/>
      </w:pPr>
      <w:r>
        <w:rPr>
          <w:rFonts w:ascii="Times New Roman"/>
          <w:b w:val="false"/>
          <w:i w:val="false"/>
          <w:color w:val="000000"/>
          <w:sz w:val="28"/>
        </w:rPr>
        <w:t>
      - права голоса и потенциальные права голоса, принадлежащие Группе.</w:t>
      </w:r>
    </w:p>
    <w:p>
      <w:pPr>
        <w:spacing w:after="0"/>
        <w:ind w:left="0"/>
        <w:jc w:val="both"/>
      </w:pPr>
      <w:r>
        <w:rPr>
          <w:rFonts w:ascii="Times New Roman"/>
          <w:b w:val="false"/>
          <w:i w:val="false"/>
          <w:color w:val="000000"/>
          <w:sz w:val="28"/>
        </w:rPr>
        <w:t>
      Группа повторно анализирует наличие контроля в отношении объекта инвестиций, если факты и обстоятельства свидетельствуют об изменении одного или нескольких из трех компонентов контроля. Консолидация дочерней организации начинается, когда Группа получает контроль над дочерней организацией, и прекращается, когда Группа утрачивает контроль над дочерней организацией. Активы, обязательства, доходы и расходы дочерней организации, приобретение или выбытие которой произошло в течение года, включается в консолидированной отчет о совокупном доходе с даты получения Группой контроля и отражаются до даты потери Группой контроля над дочерней организацией.</w:t>
      </w:r>
    </w:p>
    <w:p>
      <w:pPr>
        <w:spacing w:after="0"/>
        <w:ind w:left="0"/>
        <w:jc w:val="both"/>
      </w:pPr>
      <w:r>
        <w:rPr>
          <w:rFonts w:ascii="Times New Roman"/>
          <w:b w:val="false"/>
          <w:i w:val="false"/>
          <w:color w:val="000000"/>
          <w:sz w:val="28"/>
        </w:rPr>
        <w:t>
      За исключением приобретения в сделке между предприятиями, находящимися под общим контролем, дочерние организации консолидируются с момента их приобретения, которым является дата приобретения Группой контроля над ними, до даты, когда такой контроль прекращается. При приобретении дочерней организации, стоимость приобретения распределяется на активы и обязательства на основе их справедливой стоимости на дату приобретения. Финансовая отчетность дочерних организаций готовится за тот же отчетный период, что и финансовая отчетность Фонда, с использованием согласованной учетной политики.</w:t>
      </w:r>
    </w:p>
    <w:p>
      <w:pPr>
        <w:spacing w:after="0"/>
        <w:ind w:left="0"/>
        <w:jc w:val="both"/>
      </w:pPr>
      <w:r>
        <w:rPr>
          <w:rFonts w:ascii="Times New Roman"/>
          <w:b w:val="false"/>
          <w:i w:val="false"/>
          <w:color w:val="000000"/>
          <w:sz w:val="28"/>
        </w:rPr>
        <w:t>
      Все внутригрупповые сальдо по сделкам и сделки, включая нереализованную прибыль, возникающую по внутригрупповым сделкам, были полностью исключены из отчетности. Нереализованные убытки исключены таким же образом, как и нереализованная прибыль, за исключением того, что они исключаются только в той степени, в которой не существует свидетельства об обесценении.</w:t>
      </w:r>
    </w:p>
    <w:p>
      <w:pPr>
        <w:spacing w:after="0"/>
        <w:ind w:left="0"/>
        <w:jc w:val="both"/>
      </w:pPr>
      <w:r>
        <w:rPr>
          <w:rFonts w:ascii="Times New Roman"/>
          <w:b w:val="false"/>
          <w:i w:val="false"/>
          <w:color w:val="000000"/>
          <w:sz w:val="28"/>
        </w:rPr>
        <w:t>
      Неконтрольная доля участия представляет собой часть капитала дочерних организаций, которые не принадлежат Группе, и показывается отдельно в составе капитала в консолидированном бухгалтерском балансе, отдельно от капитала, относящегося к Акционеру. Убытки дочерней организации относятся на неконтрольную долю участия даже в том случае, если это приводит к ее отрицательному сальдо.</w:t>
      </w:r>
    </w:p>
    <w:p>
      <w:pPr>
        <w:spacing w:after="0"/>
        <w:ind w:left="0"/>
        <w:jc w:val="both"/>
      </w:pPr>
      <w:r>
        <w:rPr>
          <w:rFonts w:ascii="Times New Roman"/>
          <w:b w:val="false"/>
          <w:i w:val="false"/>
          <w:color w:val="000000"/>
          <w:sz w:val="28"/>
        </w:rPr>
        <w:t>
      Изменение доли участия в дочерней организации без потери контроля учитывается как операция с капиталом. Если Группа утрачивает контроль над дочерней организацией, она:</w:t>
      </w:r>
    </w:p>
    <w:p>
      <w:pPr>
        <w:spacing w:after="0"/>
        <w:ind w:left="0"/>
        <w:jc w:val="both"/>
      </w:pPr>
      <w:r>
        <w:rPr>
          <w:rFonts w:ascii="Times New Roman"/>
          <w:b w:val="false"/>
          <w:i w:val="false"/>
          <w:color w:val="000000"/>
          <w:sz w:val="28"/>
        </w:rPr>
        <w:t>
      - Прекращает признание активов и обязательства дочерней организации (в том числе относящегося к ней гудвилла);</w:t>
      </w:r>
    </w:p>
    <w:p>
      <w:pPr>
        <w:spacing w:after="0"/>
        <w:ind w:left="0"/>
        <w:jc w:val="both"/>
      </w:pPr>
      <w:r>
        <w:rPr>
          <w:rFonts w:ascii="Times New Roman"/>
          <w:b w:val="false"/>
          <w:i w:val="false"/>
          <w:color w:val="000000"/>
          <w:sz w:val="28"/>
        </w:rPr>
        <w:t>
      - Прекращает признание балансовой стоимости неконтрольной доли участия;</w:t>
      </w:r>
    </w:p>
    <w:p>
      <w:pPr>
        <w:spacing w:after="0"/>
        <w:ind w:left="0"/>
        <w:jc w:val="both"/>
      </w:pPr>
      <w:r>
        <w:rPr>
          <w:rFonts w:ascii="Times New Roman"/>
          <w:b w:val="false"/>
          <w:i w:val="false"/>
          <w:color w:val="000000"/>
          <w:sz w:val="28"/>
        </w:rPr>
        <w:t>
      - Прекращает признание накопленных курсовых разниц, отраженных в капитале;</w:t>
      </w:r>
    </w:p>
    <w:p>
      <w:pPr>
        <w:spacing w:after="0"/>
        <w:ind w:left="0"/>
        <w:jc w:val="both"/>
      </w:pPr>
      <w:r>
        <w:rPr>
          <w:rFonts w:ascii="Times New Roman"/>
          <w:b w:val="false"/>
          <w:i w:val="false"/>
          <w:color w:val="000000"/>
          <w:sz w:val="28"/>
        </w:rPr>
        <w:t>
      - Признает справедливую стоимость полученного вознаграждения;</w:t>
      </w:r>
    </w:p>
    <w:p>
      <w:pPr>
        <w:spacing w:after="0"/>
        <w:ind w:left="0"/>
        <w:jc w:val="both"/>
      </w:pPr>
      <w:r>
        <w:rPr>
          <w:rFonts w:ascii="Times New Roman"/>
          <w:b w:val="false"/>
          <w:i w:val="false"/>
          <w:color w:val="000000"/>
          <w:sz w:val="28"/>
        </w:rPr>
        <w:t>
      - Признает справедливую стоимость оставшейся инвестиции;</w:t>
      </w:r>
    </w:p>
    <w:p>
      <w:pPr>
        <w:spacing w:after="0"/>
        <w:ind w:left="0"/>
        <w:jc w:val="both"/>
      </w:pPr>
      <w:r>
        <w:rPr>
          <w:rFonts w:ascii="Times New Roman"/>
          <w:b w:val="false"/>
          <w:i w:val="false"/>
          <w:color w:val="000000"/>
          <w:sz w:val="28"/>
        </w:rPr>
        <w:t>
      - Признает образовавшийся в результате операции излишек или дефицит в качестве прибыли или убытка;</w:t>
      </w:r>
    </w:p>
    <w:p>
      <w:pPr>
        <w:spacing w:after="0"/>
        <w:ind w:left="0"/>
        <w:jc w:val="both"/>
      </w:pPr>
      <w:r>
        <w:rPr>
          <w:rFonts w:ascii="Times New Roman"/>
          <w:b w:val="false"/>
          <w:i w:val="false"/>
          <w:color w:val="000000"/>
          <w:sz w:val="28"/>
        </w:rPr>
        <w:t>
      - Переклассифицирует долю материнской компании в компонентах, ранее признанных в составе прочего совокупного дохода, в состав прибыли или убытка или нераспределенной прибыли, как если бы Группа осуществила непосредственное выбытие соответствующих активов или обязательств.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Инвестиции в совместные предприятия и ассоциированные компании</w:t>
      </w:r>
    </w:p>
    <w:p>
      <w:pPr>
        <w:spacing w:after="0"/>
        <w:ind w:left="0"/>
        <w:jc w:val="both"/>
      </w:pPr>
      <w:r>
        <w:rPr>
          <w:rFonts w:ascii="Times New Roman"/>
          <w:b w:val="false"/>
          <w:i w:val="false"/>
          <w:color w:val="000000"/>
          <w:sz w:val="28"/>
        </w:rPr>
        <w:t xml:space="preserve">
      Группа имеет доли участия в совместных предприятиях в форме совместно контролируемых компаний, в которых участники совместной деятельности вступили в договорное соглашение, устанавливающее совместный контроль над их экономической деятельностью. Группа также имеет доли участия в ассоциированных компаниях, в которых она имеет значительное влияние над их экономической деятельностью. Инвестиции Группы в совместные предприятия и ассоциированные компании учитываются по методу долевого участия. </w:t>
      </w:r>
    </w:p>
    <w:p>
      <w:pPr>
        <w:spacing w:after="0"/>
        <w:ind w:left="0"/>
        <w:jc w:val="both"/>
      </w:pPr>
      <w:r>
        <w:rPr>
          <w:rFonts w:ascii="Times New Roman"/>
          <w:b w:val="false"/>
          <w:i w:val="false"/>
          <w:color w:val="000000"/>
          <w:sz w:val="28"/>
        </w:rPr>
        <w:t>
      В соответствии с методом долевого участия инвестиции в совместное предприятие / ассоциированную компанию учитываются в консолидированном бухгалтерском балансе по первоначальной стоимости плюс изменения, возникшие после приобретения в доле чистых активов совместного предприятия / ассоциированной компании, принадлежащей Группе. Гудвилл, относящийся к совместному предприятию / ассоциированной компании, включается в балансовую стоимость инвестиции и не амортизируется, а также не подвергается отдельной проверке на предмет обесценения.</w:t>
      </w:r>
    </w:p>
    <w:p>
      <w:pPr>
        <w:spacing w:after="0"/>
        <w:ind w:left="0"/>
        <w:jc w:val="both"/>
      </w:pPr>
      <w:r>
        <w:rPr>
          <w:rFonts w:ascii="Times New Roman"/>
          <w:b w:val="false"/>
          <w:i w:val="false"/>
          <w:color w:val="000000"/>
          <w:sz w:val="28"/>
        </w:rPr>
        <w:t>
      Консолидированный отчет о совокупном доходе отражает долю финансовых результатов деятельности совместного предприятия / ассоциированной компании. Если имело место изменение, непосредственно признанное в капитале совместного предприятия / ассоциированной компании, Группа признает свою долю такого изменения и раскрывает этот факт, когда это применимо, в консолидированном отчете об изменениях в капитале. Нереализованные прибыли и убытки, возникающие по операциям Группы с совместным предприятием / ассоциированной компанией, исключены в той степени, в которой Группа имеет долю участия в совместном предприятии / ассоциированной компании.</w:t>
      </w:r>
    </w:p>
    <w:p>
      <w:pPr>
        <w:spacing w:after="0"/>
        <w:ind w:left="0"/>
        <w:jc w:val="both"/>
      </w:pPr>
      <w:r>
        <w:rPr>
          <w:rFonts w:ascii="Times New Roman"/>
          <w:b w:val="false"/>
          <w:i w:val="false"/>
          <w:color w:val="000000"/>
          <w:sz w:val="28"/>
        </w:rPr>
        <w:t>
      Доля в прибыли совместных предприятий / ассоциированных компаний представлена непосредственно в консолидированном отчете о совокупном доходе. Она представляет собой прибыль, приходящуюся на акционеров совместного предприятия / ассоциированной компании, и поэтому определяется как прибыль после учета налогообложения и неконтрольной доли участия в дочерних организациях совместных предприятий / ассоциированных компаний.</w:t>
      </w:r>
    </w:p>
    <w:p>
      <w:pPr>
        <w:spacing w:after="0"/>
        <w:ind w:left="0"/>
        <w:jc w:val="both"/>
      </w:pPr>
      <w:r>
        <w:rPr>
          <w:rFonts w:ascii="Times New Roman"/>
          <w:b w:val="false"/>
          <w:i w:val="false"/>
          <w:color w:val="000000"/>
          <w:sz w:val="28"/>
        </w:rPr>
        <w:t>
      Финансовая отчетность совместного предприятия / ассоциированной компании составляется за тот же отчетный период, что и финансовая отчетность материнской компании. В случае необходимости в нее вносятся корректировки с целью приведения учетной политики в соответствие с учетной политикой Группы.</w:t>
      </w:r>
    </w:p>
    <w:p>
      <w:pPr>
        <w:spacing w:after="0"/>
        <w:ind w:left="0"/>
        <w:jc w:val="both"/>
      </w:pPr>
      <w:r>
        <w:rPr>
          <w:rFonts w:ascii="Times New Roman"/>
          <w:b w:val="false"/>
          <w:i w:val="false"/>
          <w:color w:val="000000"/>
          <w:sz w:val="28"/>
        </w:rPr>
        <w:t>
      После применения метода долевого участия Группа определяет необходимость признания дополнительного убытка от обесценения по инвестициям Группы в совместные предприятия / ассоциированные компании. На каждую отчетную дату Группа устанавливает наличие объективных свидетельств обесценения инвестиций в совместные предприятия / ассоциированные компании. В случае наличия таких свидетельств Группа рассчитывает сумму обесценения как разницу между возмещаемой стоимостью инвестиции в совместное предприятие / ассоциированную компанию и ее балансовой стоимостью, и признает убыток от обесценения в консолидированном отчете о совокупном доходе.</w:t>
      </w:r>
    </w:p>
    <w:p>
      <w:pPr>
        <w:spacing w:after="0"/>
        <w:ind w:left="0"/>
        <w:jc w:val="both"/>
      </w:pPr>
      <w:r>
        <w:rPr>
          <w:rFonts w:ascii="Times New Roman"/>
          <w:b w:val="false"/>
          <w:i w:val="false"/>
          <w:color w:val="000000"/>
          <w:sz w:val="28"/>
        </w:rPr>
        <w:t>
      В случае потери совместного контроля над совместным предприятием / значительного влияния над ассоциированной компанией Группа оценивает и признает оставшиеся инвестиции по справедливой стоимости. Разница между балансовой стоимостью совместного предприятия / ассоциированной компании на момент потери совместного контроля / значительного влияния и справедливой стоимостью оставшихся инвестиций и поступлениями от выбытия признается в прибылях или убытках.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Объединение предприятий</w:t>
      </w:r>
    </w:p>
    <w:p>
      <w:pPr>
        <w:spacing w:after="0"/>
        <w:ind w:left="0"/>
        <w:jc w:val="both"/>
      </w:pPr>
      <w:r>
        <w:rPr>
          <w:rFonts w:ascii="Times New Roman"/>
          <w:b w:val="false"/>
          <w:i w:val="false"/>
          <w:color w:val="000000"/>
          <w:sz w:val="28"/>
        </w:rPr>
        <w:t xml:space="preserve">
      Объединения предприятий (бизнеса) учитываются с использованием метода приобретения. Стоимость приобретения оценивается как сумма переданного вознаграждения, оцененного по справедливой стоимости на дату приобретения, и неконтрольной доли участия в приобретаемой компании. Для каждой сделки по объединению бизнеса приобретающая сторона оценивает неконтрольную долю участия в приобретаемой компании либо по справедливой стоимости, либо по пропорциональной доле в идентифицируемых чистых активах приобретаемой компании. Затраты, понесенные в связи с приобретением, включаются в состав общих и административных расходов. </w:t>
      </w:r>
    </w:p>
    <w:p>
      <w:pPr>
        <w:spacing w:after="0"/>
        <w:ind w:left="0"/>
        <w:jc w:val="both"/>
      </w:pPr>
      <w:r>
        <w:rPr>
          <w:rFonts w:ascii="Times New Roman"/>
          <w:b w:val="false"/>
          <w:i w:val="false"/>
          <w:color w:val="000000"/>
          <w:sz w:val="28"/>
        </w:rPr>
        <w:t xml:space="preserve">
      Если Группа приобретает бизнес, она соответствующим образом классифицирует приобретенные финансовые активы и принятые обязательства в зависимости от условий договора, экономической ситуации и соответствующих условий на дату приобретения. Сюда относится анализ на предмет необходимости выделения приобретаемой компанией встроенных в основные договоры производных инструментов. </w:t>
      </w:r>
    </w:p>
    <w:p>
      <w:pPr>
        <w:spacing w:after="0"/>
        <w:ind w:left="0"/>
        <w:jc w:val="both"/>
      </w:pPr>
      <w:r>
        <w:rPr>
          <w:rFonts w:ascii="Times New Roman"/>
          <w:b w:val="false"/>
          <w:i w:val="false"/>
          <w:color w:val="000000"/>
          <w:sz w:val="28"/>
        </w:rPr>
        <w:t>
      В случае поэтапного объединения бизнеса, ранее принадлежавшая Группе доля участия в приобретаемой компании переоценивается по справедливой стоимости на дату приобретения контроля через прибыль или убыток.</w:t>
      </w:r>
    </w:p>
    <w:p>
      <w:pPr>
        <w:spacing w:after="0"/>
        <w:ind w:left="0"/>
        <w:jc w:val="both"/>
      </w:pPr>
      <w:r>
        <w:rPr>
          <w:rFonts w:ascii="Times New Roman"/>
          <w:b w:val="false"/>
          <w:i w:val="false"/>
          <w:color w:val="000000"/>
          <w:sz w:val="28"/>
        </w:rPr>
        <w:t>
      Условное вознаграждение, подлежащее передаче приобретающей стороной, должно признаваться по справедливой стоимости на дату приобретения. Последующие изменения справедливой стоимости условного вознаграждения, которое может быть активом или обязательством, должны признаваться согласно МСБУ 39 либо в составе прибыли или убытка, либо как изменение прочего совокупного дохода. Если условное вознаграждение классифицируется в качестве капитала, оно не должно переоцениваться до момента его полного погашения в составе капитала.</w:t>
      </w:r>
    </w:p>
    <w:p>
      <w:pPr>
        <w:spacing w:after="0"/>
        <w:ind w:left="0"/>
        <w:jc w:val="both"/>
      </w:pPr>
      <w:r>
        <w:rPr>
          <w:rFonts w:ascii="Times New Roman"/>
          <w:b w:val="false"/>
          <w:i w:val="false"/>
          <w:color w:val="000000"/>
          <w:sz w:val="28"/>
        </w:rPr>
        <w:t xml:space="preserve">
      Гудвилл изначально оценивается по первоначальной стоимости, определяемой как превышение суммы переданного вознаграждения и признанной неконтрольной доли участия над суммой чистых идентифицируемых активов, приобретенных Группой, и принятых ею обязательств. Если данное вознаграждение меньше справедливой стоимости чистых активов приобретенной дочерней организации, разница признается в составе прибыли или убытка. </w:t>
      </w:r>
    </w:p>
    <w:p>
      <w:pPr>
        <w:spacing w:after="0"/>
        <w:ind w:left="0"/>
        <w:jc w:val="both"/>
      </w:pPr>
      <w:r>
        <w:rPr>
          <w:rFonts w:ascii="Times New Roman"/>
          <w:b w:val="false"/>
          <w:i w:val="false"/>
          <w:color w:val="000000"/>
          <w:sz w:val="28"/>
        </w:rPr>
        <w:t>
      Впоследствии гудвилл оценивается по первоначальной стоимости за вычетом накопленных убытков от обесценения. Для целей проверки гудвилла, приобретенного при объединении бизнеса, на предмет обесценения, гудвилл, начиная с даты приобретения Группой компании, распределяется на каждое из подразделений Группы, генерирующих денежные потоки, которые, как предполагается, извлекут выгоду от объединения бизнеса, независимо от того, относятся или нет другие активы или обязательства приобретаемой компании к указанным подразделениям.</w:t>
      </w:r>
    </w:p>
    <w:p>
      <w:pPr>
        <w:spacing w:after="0"/>
        <w:ind w:left="0"/>
        <w:jc w:val="both"/>
      </w:pPr>
      <w:r>
        <w:rPr>
          <w:rFonts w:ascii="Times New Roman"/>
          <w:b w:val="false"/>
          <w:i w:val="false"/>
          <w:color w:val="000000"/>
          <w:sz w:val="28"/>
        </w:rPr>
        <w:t>
      Если гудвилл составляет часть подразделения, генерирующего денежные потоки, и часть этого подразделения выбывает, гудвилл, относящийся к прекращенной деятельности, включается в текущую стоимость этой деятельности при определении прибыли или убытка от ее выбытия. В этих обстоятельствах выбывший гудвилл оценивается на основе соотношения стоимости прекращенной деятельности и стоимости оставшейся части подразделения, генерирующего денежные потоки.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дочерних организаций у сторон, находящихся под общим контролем</w:t>
      </w:r>
    </w:p>
    <w:p>
      <w:pPr>
        <w:spacing w:after="0"/>
        <w:ind w:left="0"/>
        <w:jc w:val="both"/>
      </w:pPr>
      <w:r>
        <w:rPr>
          <w:rFonts w:ascii="Times New Roman"/>
          <w:b w:val="false"/>
          <w:i w:val="false"/>
          <w:color w:val="000000"/>
          <w:sz w:val="28"/>
        </w:rPr>
        <w:t xml:space="preserve">
      Учет приобретения дочерних организаций у сторон, находящихся под общим контролем (предприятия, контролируемые Государством), ведется по методу объединения долей. </w:t>
      </w:r>
    </w:p>
    <w:p>
      <w:pPr>
        <w:spacing w:after="0"/>
        <w:ind w:left="0"/>
        <w:jc w:val="both"/>
      </w:pPr>
      <w:r>
        <w:rPr>
          <w:rFonts w:ascii="Times New Roman"/>
          <w:b w:val="false"/>
          <w:i w:val="false"/>
          <w:color w:val="000000"/>
          <w:sz w:val="28"/>
        </w:rPr>
        <w:t>
      Активы и обязательства переданной дочерней организации, находящейся под общим контролем, отражаются в данной консолидированной финансовой отчетности по их балансовой стоимости в отчетности передающей компании (предшествующего владельца) на дату передачи. Гудвилл, возникший при первоначальном приобретении организации предшествующим владельцем, также отражается в данной консолидированной финансовой отчетности. Разница между общей балансовой стоимостью чистых активов, включая гудвилл предшествующего владельца, и суммой выплаченных средств, учтена в данной консолидированной финансовой отчетности как корректировка капитала.</w:t>
      </w:r>
    </w:p>
    <w:p>
      <w:pPr>
        <w:spacing w:after="0"/>
        <w:ind w:left="0"/>
        <w:jc w:val="both"/>
      </w:pPr>
      <w:r>
        <w:rPr>
          <w:rFonts w:ascii="Times New Roman"/>
          <w:b w:val="false"/>
          <w:i w:val="false"/>
          <w:color w:val="000000"/>
          <w:sz w:val="28"/>
        </w:rPr>
        <w:t>
      Данная консолидированная финансовая отчетность, составлена так, как если бы такая дочерняя организация была приобретена Группой на дату ее первоначального приобретения предшествующим владельцем.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Изменение доли участия в имеющихся дочерних организациях</w:t>
      </w:r>
    </w:p>
    <w:p>
      <w:pPr>
        <w:spacing w:after="0"/>
        <w:ind w:left="0"/>
        <w:jc w:val="both"/>
      </w:pPr>
      <w:r>
        <w:rPr>
          <w:rFonts w:ascii="Times New Roman"/>
          <w:b w:val="false"/>
          <w:i w:val="false"/>
          <w:color w:val="000000"/>
          <w:sz w:val="28"/>
        </w:rPr>
        <w:t>
      В сделках, где продается или приобретается часть доли участия в существующей дочерней организации, с сохранением контроля, разница между балансовой стоимостью отчуждаемой или приобретаемой доли в чистых активах дочерней организации и стоимостью реализации или приобретения этой доли отражается как увеличение или уменьшение нераспределенной прибыли.</w:t>
      </w:r>
    </w:p>
    <w:bookmarkStart w:name="z111" w:id="111"/>
    <w:p>
      <w:pPr>
        <w:spacing w:after="0"/>
        <w:ind w:left="0"/>
        <w:jc w:val="both"/>
      </w:pPr>
      <w:r>
        <w:rPr>
          <w:rFonts w:ascii="Times New Roman"/>
          <w:b w:val="false"/>
          <w:i w:val="false"/>
          <w:color w:val="000000"/>
          <w:sz w:val="28"/>
        </w:rPr>
        <w:t xml:space="preserve">
      </w:t>
      </w:r>
      <w:r>
        <w:rPr>
          <w:rFonts w:ascii="Times New Roman"/>
          <w:b/>
          <w:i w:val="false"/>
          <w:color w:val="000000"/>
          <w:sz w:val="28"/>
        </w:rPr>
        <w:t>Активы, классифицированные как предназначенные для продажи, и прекращенная деятельность</w:t>
      </w:r>
    </w:p>
    <w:bookmarkEnd w:id="111"/>
    <w:p>
      <w:pPr>
        <w:spacing w:after="0"/>
        <w:ind w:left="0"/>
        <w:jc w:val="both"/>
      </w:pPr>
      <w:r>
        <w:rPr>
          <w:rFonts w:ascii="Times New Roman"/>
          <w:b w:val="false"/>
          <w:i w:val="false"/>
          <w:color w:val="000000"/>
          <w:sz w:val="28"/>
        </w:rPr>
        <w:t>
      Активы и группы выбытия, классифицированные как предназначенные для продажи, оцениваются по меньшему из двух значений – балансовой стоимости и справедливой стоимости за вычетом затрат на продажу. Активы и группы выбытия классифицируются как предназначенные для продажи, если их балансовая стоимость подлежит возмещению посредством сделки по продаже, а не в результате продолжающегося использования. Данное условие считается соблюденным лишь в том случае, если вероятность продажи высока, а актив или группа выбытия могут быть незамедлительно проданы в своем текущем состоянии. Руководство должно иметь твердое намерение совершить продажу, в отношении которой должно ожидаться соответствие критериям признания в качестве завершенной сделки продажи в течение 1 года с даты классификации.</w:t>
      </w:r>
    </w:p>
    <w:p>
      <w:pPr>
        <w:spacing w:after="0"/>
        <w:ind w:left="0"/>
        <w:jc w:val="both"/>
      </w:pPr>
      <w:r>
        <w:rPr>
          <w:rFonts w:ascii="Times New Roman"/>
          <w:b w:val="false"/>
          <w:i w:val="false"/>
          <w:color w:val="000000"/>
          <w:sz w:val="28"/>
        </w:rPr>
        <w:t>
      В консолидированном отчете о совокупном доходе за отчетный период, а также за сравнительный период прошлого года, доходы и расходы от прекращенной деятельности учитываются отдельно от обычных доходов и расходов, даже если после продажи Группа сохраняет неконтрольную долю участия в дочерней организации. Прибыль или убыток после учета подоходного налога представляются в консолидированном отчете о совокупном доходе отдельно.</w:t>
      </w:r>
    </w:p>
    <w:p>
      <w:pPr>
        <w:spacing w:after="0"/>
        <w:ind w:left="0"/>
        <w:jc w:val="both"/>
      </w:pPr>
      <w:r>
        <w:rPr>
          <w:rFonts w:ascii="Times New Roman"/>
          <w:b w:val="false"/>
          <w:i w:val="false"/>
          <w:color w:val="000000"/>
          <w:sz w:val="28"/>
        </w:rPr>
        <w:t>
      Основные средства и нематериальные активы после классификации в качестве предназначенных для продажи не подлежат амортизации.</w:t>
      </w:r>
    </w:p>
    <w:bookmarkStart w:name="z112" w:id="112"/>
    <w:p>
      <w:pPr>
        <w:spacing w:after="0"/>
        <w:ind w:left="0"/>
        <w:jc w:val="both"/>
      </w:pPr>
      <w:r>
        <w:rPr>
          <w:rFonts w:ascii="Times New Roman"/>
          <w:b w:val="false"/>
          <w:i w:val="false"/>
          <w:color w:val="000000"/>
          <w:sz w:val="28"/>
        </w:rPr>
        <w:t xml:space="preserve">
      </w:t>
      </w:r>
      <w:r>
        <w:rPr>
          <w:rFonts w:ascii="Times New Roman"/>
          <w:b/>
          <w:i w:val="false"/>
          <w:color w:val="000000"/>
          <w:sz w:val="28"/>
        </w:rPr>
        <w:t>Активы по разведке и разработке минеральных ресурсов и углеводородов (нефтегазовые и горнорудные активы)</w:t>
      </w:r>
    </w:p>
    <w:bookmarkEnd w:id="112"/>
    <w:p>
      <w:pPr>
        <w:spacing w:after="0"/>
        <w:ind w:left="0"/>
        <w:jc w:val="both"/>
      </w:pPr>
      <w:r>
        <w:rPr>
          <w:rFonts w:ascii="Times New Roman"/>
          <w:b w:val="false"/>
          <w:i w:val="false"/>
          <w:color w:val="000000"/>
          <w:sz w:val="28"/>
        </w:rPr>
        <w:t xml:space="preserve">
      </w:t>
      </w:r>
      <w:r>
        <w:rPr>
          <w:rFonts w:ascii="Times New Roman"/>
          <w:b w:val="false"/>
          <w:i/>
          <w:color w:val="000000"/>
          <w:sz w:val="28"/>
        </w:rPr>
        <w:t>Затраты по приобретению прав на недропользование</w:t>
      </w:r>
    </w:p>
    <w:p>
      <w:pPr>
        <w:spacing w:after="0"/>
        <w:ind w:left="0"/>
        <w:jc w:val="both"/>
      </w:pPr>
      <w:r>
        <w:rPr>
          <w:rFonts w:ascii="Times New Roman"/>
          <w:b w:val="false"/>
          <w:i w:val="false"/>
          <w:color w:val="000000"/>
          <w:sz w:val="28"/>
        </w:rPr>
        <w:t xml:space="preserve">
      Затраты по приобретению прав на недропользование (разведку и добычу) включают подписные бонусы, исторические затраты, обязательные расходы на экологические и социальные программы и капитализируются в составе нематериальных активов, как права на недропользование месторождения в стадии разведки и оценки. </w:t>
      </w:r>
    </w:p>
    <w:p>
      <w:pPr>
        <w:spacing w:after="0"/>
        <w:ind w:left="0"/>
        <w:jc w:val="both"/>
      </w:pPr>
      <w:r>
        <w:rPr>
          <w:rFonts w:ascii="Times New Roman"/>
          <w:b w:val="false"/>
          <w:i w:val="false"/>
          <w:color w:val="000000"/>
          <w:sz w:val="28"/>
        </w:rPr>
        <w:t>
      Учет затрат на приобретение прав на недропользование ведется в разрезе месторождений. Каждое месторождение рассматривается ежегодно на предмет обесценения. В случае, если по объекту не запланированы работы в будущем, оставшееся сальдо затрат на приобретение прав на недропользование списывается. С начала коммерческой добычи на месторождениях права на недропользование (оставшиеся затраты) переводятся в состав основных средств и амортизируются по производственному методу по фактической добыче, исходя из общей суммы доказанных запасов.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Затраты по разведке и оценке (незавершенное строительство)</w:t>
      </w:r>
    </w:p>
    <w:p>
      <w:pPr>
        <w:spacing w:after="0"/>
        <w:ind w:left="0"/>
        <w:jc w:val="both"/>
      </w:pPr>
      <w:r>
        <w:rPr>
          <w:rFonts w:ascii="Times New Roman"/>
          <w:b w:val="false"/>
          <w:i w:val="false"/>
          <w:color w:val="000000"/>
          <w:sz w:val="28"/>
        </w:rPr>
        <w:t xml:space="preserve">
      Затраты по разведке и оценке включают геологические и геофизические расходы; затраты, напрямую относящиеся к разведочным скважинам; вскрышные работы; административные и прочие расходы по разведке и оценке, которые можно отнести к конкретному месторождению. Такие затраты включают в себя заработную плату, материалы и горючее, стоимость буровых станков и платежи подрядчикам. Затраты по разведке и оценке за исключением геологических и геофизических расходов, капитализируются в составе основных средств, как незавершенное строительство, учитываются в разрезе контрактов на недропользование и не амортизируются. Если минеральные ресурсы или углеводороды не обнаружены, это может являться свидетельством обесценения. Все капитализированные затраты подлежат технической, коммерческой и управленческой проверке, по крайней мере раз в год, для того, чтобы подтвердить намерение о коммерческой разработке или какого-либо другого способа извлечения пользы из обнаружения. В противном случае затраты списываются на расходы. </w:t>
      </w:r>
    </w:p>
    <w:p>
      <w:pPr>
        <w:spacing w:after="0"/>
        <w:ind w:left="0"/>
        <w:jc w:val="both"/>
      </w:pPr>
      <w:r>
        <w:rPr>
          <w:rFonts w:ascii="Times New Roman"/>
          <w:b w:val="false"/>
          <w:i w:val="false"/>
          <w:color w:val="000000"/>
          <w:sz w:val="28"/>
        </w:rPr>
        <w:t xml:space="preserve">
      Когда запасы минеральных ресурсов или углеводородов доказаны и принимается решение на продолжение разработки, тогда соответствующие затраты переводятся в подклассы нефтегазовых или горнорудных активов.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Затраты на разработку и добычу (нефтегазовые или горнорудные активы)</w:t>
      </w:r>
    </w:p>
    <w:p>
      <w:pPr>
        <w:spacing w:after="0"/>
        <w:ind w:left="0"/>
        <w:jc w:val="both"/>
      </w:pPr>
      <w:r>
        <w:rPr>
          <w:rFonts w:ascii="Times New Roman"/>
          <w:b w:val="false"/>
          <w:i w:val="false"/>
          <w:color w:val="000000"/>
          <w:sz w:val="28"/>
        </w:rPr>
        <w:t xml:space="preserve">
      Затраты на разработку и добычу включают ранее капитализированные (и реклассифицированные в начале разработки) затраты по приобретению прав на недропользование и затраты по разведке и оценке; бурение эксплуатационных скважин вне зависимости от результатов бурения; строительство полигонов; создание наземных технологических сооружений, необходимых для добычи, сбора и подготовки минеральных ресурсов на месторождениях; прочие затраты, понесенные в ходе организации коммерческой добычи на месторождениях; капитализированные дисконтированные затраты на консервацию скважин и восстановление участков. Затраты на разработку и добычу капитализируются в составе основных средств (нефтегазовых и горнорудных активов), учет ведется в разрезе месторождений.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Износ нефтегазовых и горнорудных активов (в составе основных средств и нематериальных активов)</w:t>
      </w:r>
    </w:p>
    <w:p>
      <w:pPr>
        <w:spacing w:after="0"/>
        <w:ind w:left="0"/>
        <w:jc w:val="both"/>
      </w:pPr>
      <w:r>
        <w:rPr>
          <w:rFonts w:ascii="Times New Roman"/>
          <w:b w:val="false"/>
          <w:i w:val="false"/>
          <w:color w:val="000000"/>
          <w:sz w:val="28"/>
        </w:rPr>
        <w:t>
      Нефтегазовые и горнорудные активы амортизируются с использованием производственного метода начисления износа по фактической добыче с начала коммерческой добычи на месторождениях. Некоторые объекты нефтегазовых активов (наземные технологические сооружения и оборудование) со сроком полезной службы, который существенно отличается от срока полезной службы месторождений, амортизируются с использованием прямолинейного метода, в течение срока полезного использования. Затраты на приобретение прав на недропользование, включающие дисконтированные затраты на вывод месторождений из эксплуатации, амортизируются по общей сумме доказанных запасов. Остальные затраты на разработку месторождений амортизируются из расчета доказанных разработанных запасов.</w:t>
      </w:r>
    </w:p>
    <w:bookmarkStart w:name="z113" w:id="113"/>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 средства (кроме нефтегазовых и горнорудных активов)</w:t>
      </w:r>
    </w:p>
    <w:bookmarkEnd w:id="113"/>
    <w:p>
      <w:pPr>
        <w:spacing w:after="0"/>
        <w:ind w:left="0"/>
        <w:jc w:val="both"/>
      </w:pPr>
      <w:r>
        <w:rPr>
          <w:rFonts w:ascii="Times New Roman"/>
          <w:b w:val="false"/>
          <w:i w:val="false"/>
          <w:color w:val="000000"/>
          <w:sz w:val="28"/>
        </w:rPr>
        <w:t xml:space="preserve">
      При первоначальном признании основные средства оцениваются по первоначальной стоимости. Впоследствии, основные средства учитываются по стоимости, за минусом накопленного износа, истощения и обесценения. Стоимость активов, созданных хозяйственным способом, включает стоимость материалов, прямых трудовых затрат и соответствующей доли производственных накладных расходов. </w:t>
      </w:r>
    </w:p>
    <w:p>
      <w:pPr>
        <w:spacing w:after="0"/>
        <w:ind w:left="0"/>
        <w:jc w:val="both"/>
      </w:pPr>
      <w:r>
        <w:rPr>
          <w:rFonts w:ascii="Times New Roman"/>
          <w:b w:val="false"/>
          <w:i w:val="false"/>
          <w:color w:val="000000"/>
          <w:sz w:val="28"/>
        </w:rPr>
        <w:t>
      Основные средства, помимо нефтегазовых активов, в основном включают следующие классы основных средств, которые амортизируются прямолинейным методом в течение следующих сроков полезной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7"/>
        <w:gridCol w:w="7913"/>
      </w:tblGrid>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и активы НПЗ</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 лет</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лет</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пути и инфраструктура</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лет</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Горнорудные активы</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и транспортные средства</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лет</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лет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когда объекты основных средств являются предметом крупномасштабного технического осмотра, затраты признаются в балансовой стоимости основных средств как замещение составной части, при условии соблюдения критериев признания, установленных в МСБУ 16.</w:t>
      </w:r>
    </w:p>
    <w:p>
      <w:pPr>
        <w:spacing w:after="0"/>
        <w:ind w:left="0"/>
        <w:jc w:val="both"/>
      </w:pPr>
      <w:r>
        <w:rPr>
          <w:rFonts w:ascii="Times New Roman"/>
          <w:b w:val="false"/>
          <w:i w:val="false"/>
          <w:color w:val="000000"/>
          <w:sz w:val="28"/>
        </w:rPr>
        <w:t>
      Признание объекта основных средств прекращается после его выбытия или в том случае, когда получение будущих экономических выгод от его использования или выбытия больше не ожидается. Любые доходы или расходы, возникающие при прекращении признания актива (рассчитанные как разница между чистыми поступлениями от выбытия и остаточной стоимостью актива), включаются в прибыли и убытки в том отчетном периоде, в котором наступило прекращение признания актива.</w:t>
      </w:r>
    </w:p>
    <w:p>
      <w:pPr>
        <w:spacing w:after="0"/>
        <w:ind w:left="0"/>
        <w:jc w:val="both"/>
      </w:pPr>
      <w:r>
        <w:rPr>
          <w:rFonts w:ascii="Times New Roman"/>
          <w:b w:val="false"/>
          <w:i w:val="false"/>
          <w:color w:val="000000"/>
          <w:sz w:val="28"/>
        </w:rPr>
        <w:t>
      Остаточная стоимость актива, срок полезной службы и методы амортизации пересматриваются и корректируются при необходимости на конец каждого финансового года.</w:t>
      </w:r>
    </w:p>
    <w:bookmarkStart w:name="z114" w:id="114"/>
    <w:p>
      <w:pPr>
        <w:spacing w:after="0"/>
        <w:ind w:left="0"/>
        <w:jc w:val="both"/>
      </w:pPr>
      <w:r>
        <w:rPr>
          <w:rFonts w:ascii="Times New Roman"/>
          <w:b w:val="false"/>
          <w:i w:val="false"/>
          <w:color w:val="000000"/>
          <w:sz w:val="28"/>
        </w:rPr>
        <w:t xml:space="preserve">
      </w:t>
      </w:r>
      <w:r>
        <w:rPr>
          <w:rFonts w:ascii="Times New Roman"/>
          <w:b/>
          <w:i w:val="false"/>
          <w:color w:val="000000"/>
          <w:sz w:val="28"/>
        </w:rPr>
        <w:t>Нематериальные активы</w:t>
      </w:r>
    </w:p>
    <w:bookmarkEnd w:id="114"/>
    <w:p>
      <w:pPr>
        <w:spacing w:after="0"/>
        <w:ind w:left="0"/>
        <w:jc w:val="both"/>
      </w:pPr>
      <w:r>
        <w:rPr>
          <w:rFonts w:ascii="Times New Roman"/>
          <w:b w:val="false"/>
          <w:i w:val="false"/>
          <w:color w:val="000000"/>
          <w:sz w:val="28"/>
        </w:rPr>
        <w:t>
      При первоначальном признании, нематериальные активы, приобретенные отдельно, учитываются по стоимости приобретения. Стоимость нематериальных активов, приобретенных в рамках операций по объединению организаций, представляет собой справедливую стоимость на дату приобретения. После первоначального признания нематериальные активы учитываются по стоимости приобретения, за вычетом любой накопленной амортизации и любого накопленного убытка от обесценения. Нематериальные активы, созданные своими силами, за исключением капитализированных затрат на разработку, не капитализируются, и соответствующие расходы признаются в прибылях и убытках в том периоде, в котором расходы возникли. Срок полезной службы нематериальных активов определяется как ограниченный или неограниченный. Нематериальные активы с ограниченным сроком полезной службы амортизируются в течение данного срока службы и оцениваются на предмет обесценения тогда, когда существует показатель того, что нематериальный актив может быть обесценен. Период амортизации и метод амортизации для нематериальных активов с ограниченным сроком полезной службы пересматриваются, по крайней мере, на конец каждого отчетного года. Изменения в ожидаемом сроке полезной службы или ожидаемом объеме будущих экономических выгод от нематериального актива учитываются посредством изменения периода амортизации или метода амортизации по обстоятельствам и рассматриваются как изменения в бухгалтерских оценках. Расходы по амортизации нематериальных активов с ограниченным сроком службы признаются в консолидированном отчете о совокупном доходе в составе расходов согласно назначению нематериального актива. Нематериальные активы с ограниченными сроками полезной службы, в основном, включают следующие классы активов, которые амортизируются прямолинейным методом в течение следующих сроков полезной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9445"/>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лет</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лет</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на недропользование</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 лет</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лет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Нематериальные активы с неограниченным сроком службы не амортизируются, но проверяются на обесценение ежегодно или тогда, когда существуют показатели обесценения, и, при необходимости, списываются до возмещаемой величины.</w:t>
      </w:r>
    </w:p>
    <w:bookmarkStart w:name="z115" w:id="115"/>
    <w:p>
      <w:pPr>
        <w:spacing w:after="0"/>
        <w:ind w:left="0"/>
        <w:jc w:val="both"/>
      </w:pPr>
      <w:r>
        <w:rPr>
          <w:rFonts w:ascii="Times New Roman"/>
          <w:b w:val="false"/>
          <w:i w:val="false"/>
          <w:color w:val="000000"/>
          <w:sz w:val="28"/>
        </w:rPr>
        <w:t xml:space="preserve">
      </w:t>
      </w:r>
      <w:r>
        <w:rPr>
          <w:rFonts w:ascii="Times New Roman"/>
          <w:b/>
          <w:i w:val="false"/>
          <w:color w:val="000000"/>
          <w:sz w:val="28"/>
        </w:rPr>
        <w:t>Обесценение нефинансовых активов</w:t>
      </w:r>
    </w:p>
    <w:bookmarkEnd w:id="115"/>
    <w:p>
      <w:pPr>
        <w:spacing w:after="0"/>
        <w:ind w:left="0"/>
        <w:jc w:val="both"/>
      </w:pPr>
      <w:r>
        <w:rPr>
          <w:rFonts w:ascii="Times New Roman"/>
          <w:b w:val="false"/>
          <w:i w:val="false"/>
          <w:color w:val="000000"/>
          <w:sz w:val="28"/>
        </w:rPr>
        <w:t>
      Группа оценивает активы или группы активов на предмет обесценения в тех случаях, когда события или изменения в обстоятельствах указывают на то, что балансовая стоимость актива не может быть возмещена. Отдельные активы группируются для целей оценки на обесценение на самом низком уровне, на котором существуют идентифицируемые денежные потоки, которые, в основном, независимы от денежных потоков, генерируемых другими группами активов. В случае, если существуют такие показатели обесценения или когда требуется ежегодное тестирование группы активов на обесценение, Группа осуществляет оценку возмещаемой стоимости актива.</w:t>
      </w:r>
    </w:p>
    <w:p>
      <w:pPr>
        <w:spacing w:after="0"/>
        <w:ind w:left="0"/>
        <w:jc w:val="both"/>
      </w:pPr>
      <w:r>
        <w:rPr>
          <w:rFonts w:ascii="Times New Roman"/>
          <w:b w:val="false"/>
          <w:i w:val="false"/>
          <w:color w:val="000000"/>
          <w:sz w:val="28"/>
        </w:rPr>
        <w:t xml:space="preserve">
      Возмещаемая стоимость группы активов является наибольшей из справедливой стоимости за вычетом расходов на ее реализацию и стоимости ее использования. В тех случаях, когда балансовая стоимость группы активов превышает ее возмещаемую стоимость, тогда группа активов подлежит обесценению и создается резерв на снижение актива до стоимости возмещения. При оценке стоимости использования, ожидаемые денежные потоки корректируются на риски, специфичные для группы активов и дисконтируются к текущей стоимости с использованием ставки дисконтирования до налогообложения, которая отражает текущие рыночные оценки временной стоимости денег. Оценка производится на каждую отчетную дату относительно того, имеются ли какие-либо показатели того, что резервы по обесценению признанные ранее, более не существуют или уменьшились. Если такие показатели существуют, тогда оценивается возмещаемая стоимость. Ранее признанный резерв по обесценению сторнируется только, если произошло изменение в оценках, использовавшихся для определения возмещаемой стоимости актива с момента признания последнего резерва по обесценению. В таком случае, остаточная стоимость актива увеличивается до возмещаемой стоимости. Увеличенная стоимость актива не может превышать балансовую стоимость, которая была бы определена, за вычетом износа или амортизации, если бы в предыдущие периоды не был признан резерв по обесценению. </w:t>
      </w:r>
    </w:p>
    <w:p>
      <w:pPr>
        <w:spacing w:after="0"/>
        <w:ind w:left="0"/>
        <w:jc w:val="both"/>
      </w:pPr>
      <w:r>
        <w:rPr>
          <w:rFonts w:ascii="Times New Roman"/>
          <w:b w:val="false"/>
          <w:i w:val="false"/>
          <w:color w:val="000000"/>
          <w:sz w:val="28"/>
        </w:rPr>
        <w:t>
      Такое сторнирование признается в прибылях и убытках.</w:t>
      </w:r>
    </w:p>
    <w:p>
      <w:pPr>
        <w:spacing w:after="0"/>
        <w:ind w:left="0"/>
        <w:jc w:val="both"/>
      </w:pPr>
      <w:r>
        <w:rPr>
          <w:rFonts w:ascii="Times New Roman"/>
          <w:b w:val="false"/>
          <w:i w:val="false"/>
          <w:color w:val="000000"/>
          <w:sz w:val="28"/>
        </w:rPr>
        <w:t>
      После проведения сторнирующей проводки, в последующих периодах корректируются расходы по амортизации, для распределения пересмотренной балансовой стоимости актива, за вычетом остаточной стоимости, на систематической основе в течение оставшегося срока полезной службы.</w:t>
      </w:r>
    </w:p>
    <w:p>
      <w:pPr>
        <w:spacing w:after="0"/>
        <w:ind w:left="0"/>
        <w:jc w:val="both"/>
      </w:pPr>
      <w:r>
        <w:rPr>
          <w:rFonts w:ascii="Times New Roman"/>
          <w:b w:val="false"/>
          <w:i w:val="false"/>
          <w:color w:val="000000"/>
          <w:sz w:val="28"/>
        </w:rPr>
        <w:t>
      При оценке обесценения гудвилла применяется следующий процесс:</w:t>
      </w:r>
    </w:p>
    <w:p>
      <w:pPr>
        <w:spacing w:after="0"/>
        <w:ind w:left="0"/>
        <w:jc w:val="both"/>
      </w:pPr>
      <w:r>
        <w:rPr>
          <w:rFonts w:ascii="Times New Roman"/>
          <w:b w:val="false"/>
          <w:i w:val="false"/>
          <w:color w:val="000000"/>
          <w:sz w:val="28"/>
        </w:rPr>
        <w:t>
      На каждую отчетную дату Группа оценивает наличие признаков обесценения гудвилла. Гудвилл тестируется на наличие признаков обесценения ежегодно и тогда, когда обстоятельства указывают на то, что балансовая стоимость может быть обесценена.</w:t>
      </w:r>
    </w:p>
    <w:p>
      <w:pPr>
        <w:spacing w:after="0"/>
        <w:ind w:left="0"/>
        <w:jc w:val="both"/>
      </w:pPr>
      <w:r>
        <w:rPr>
          <w:rFonts w:ascii="Times New Roman"/>
          <w:b w:val="false"/>
          <w:i w:val="false"/>
          <w:color w:val="000000"/>
          <w:sz w:val="28"/>
        </w:rPr>
        <w:t xml:space="preserve">
      Обесценение гудвилла определяется посредством оценки возмещаемой суммы единиц, генерирующих денежные потоки, к которым относится гудвилл. Если возмещаемая сумма единиц, генерирующих денежные потоки, к которым относится гудвилл, меньше его балансовой стоимости, то признается убыток от обесценения. Убыток от обесценения не может быть восстановлен в будущих периодах. </w:t>
      </w:r>
    </w:p>
    <w:bookmarkStart w:name="z116" w:id="116"/>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Финансовые активы</w:t>
      </w:r>
    </w:p>
    <w:bookmarkEnd w:id="116"/>
    <w:p>
      <w:pPr>
        <w:spacing w:after="0"/>
        <w:ind w:left="0"/>
        <w:jc w:val="both"/>
      </w:pPr>
      <w:r>
        <w:rPr>
          <w:rFonts w:ascii="Times New Roman"/>
          <w:b w:val="false"/>
          <w:i w:val="false"/>
          <w:color w:val="000000"/>
          <w:sz w:val="28"/>
        </w:rPr>
        <w:t>
      Инвестиции Группы классифицируются либо как финансовые активы, оцениваемые по справедливой стоимости через прибыль или убыток, займы и дебиторская задолженность, инвестиции, удерживаемые до погашения или инвестиции, имеющиеся в наличии для продажи. Первоначально инвестиции оцениваются по справедливой стоимости, в случае если инвестиции не классифицируются как финансовые активы по справедливой стоимости через доход или убыток, то при отражении в отчетности к их справедливой стоимости прибавляются непосредственно связанные с ними затраты по сделке. Группа определяет классификацию своих финансовых активов при первоначальном признании. Все приобретения и продажи инвестиций признаются на дату расчетов, т.е. дату, когда инвестиции переданы Группе или Группой.</w:t>
      </w:r>
    </w:p>
    <w:p>
      <w:pPr>
        <w:spacing w:after="0"/>
        <w:ind w:left="0"/>
        <w:jc w:val="both"/>
      </w:pPr>
      <w:r>
        <w:rPr>
          <w:rFonts w:ascii="Times New Roman"/>
          <w:b w:val="false"/>
          <w:i w:val="false"/>
          <w:color w:val="000000"/>
          <w:sz w:val="28"/>
        </w:rPr>
        <w:t xml:space="preserve">
      Непроизводные финансовые активы с фиксированным или поддающимся определению размером платежей и фиксированным сроком погашения классифицируются в качестве удерживаемых до погашения в случае, если Группа намерена и способна удерживать их до срока погашения. </w:t>
      </w:r>
    </w:p>
    <w:p>
      <w:pPr>
        <w:spacing w:after="0"/>
        <w:ind w:left="0"/>
        <w:jc w:val="both"/>
      </w:pPr>
      <w:r>
        <w:rPr>
          <w:rFonts w:ascii="Times New Roman"/>
          <w:b w:val="false"/>
          <w:i w:val="false"/>
          <w:color w:val="000000"/>
          <w:sz w:val="28"/>
        </w:rPr>
        <w:t>
      Займы и дебиторская задолженность являются непроизводными финансовыми активами, не котирующимися на активном рынке, с фиксированным или поддающимся определению размером платежей. Такие активы отражаются по амортизированной стоимости с использованием метода эффективной ставки процента. Прибыли и убытки по таким активам отражаются в прибылях и убытках в момент прекращения признания или в случае обесценения таких активов, а также посредством амортизации.</w:t>
      </w:r>
    </w:p>
    <w:p>
      <w:pPr>
        <w:spacing w:after="0"/>
        <w:ind w:left="0"/>
        <w:jc w:val="both"/>
      </w:pPr>
      <w:r>
        <w:rPr>
          <w:rFonts w:ascii="Times New Roman"/>
          <w:b w:val="false"/>
          <w:i w:val="false"/>
          <w:color w:val="000000"/>
          <w:sz w:val="28"/>
        </w:rPr>
        <w:t>
      Ценные бумаги классифицируются в качестве финансовых активов, оцениваемых по справедливой стоимости через прибыль или убыток, если они приобретены для целей продажи в ближайшем будущем. Производные инструменты также классифицируются как финансовые активы, оцениваемые по справедливой стоимости через прибыль или убыток, за исключением случаев, когда они представляют собой эффективные инструменты хеджирования. Доходы и расходы по финансовым активам, оцениваемым по справедливой стоимости через прибыль или убыток, отражаются в консолидированном отчете о прибылях и убытках.</w:t>
      </w:r>
    </w:p>
    <w:p>
      <w:pPr>
        <w:spacing w:after="0"/>
        <w:ind w:left="0"/>
        <w:jc w:val="both"/>
      </w:pPr>
      <w:r>
        <w:rPr>
          <w:rFonts w:ascii="Times New Roman"/>
          <w:b w:val="false"/>
          <w:i w:val="false"/>
          <w:color w:val="000000"/>
          <w:sz w:val="28"/>
        </w:rPr>
        <w:t>
      Финансовые активы могут быть классифицированы в качестве оцениваемых по справедливой стоимости через прибыль или убыток при первоначальном признании, если это повышает значимость представляемой информации, поскольку такая классификация исключает или существенно уменьшает несоответствие оценки или признания, которое в противном случае возникало бы при оценке активов или обязательств либо при признании прибылей или убытков по ним на разной основе.</w:t>
      </w:r>
    </w:p>
    <w:p>
      <w:pPr>
        <w:spacing w:after="0"/>
        <w:ind w:left="0"/>
        <w:jc w:val="both"/>
      </w:pPr>
      <w:r>
        <w:rPr>
          <w:rFonts w:ascii="Times New Roman"/>
          <w:b w:val="false"/>
          <w:i w:val="false"/>
          <w:color w:val="000000"/>
          <w:sz w:val="28"/>
        </w:rPr>
        <w:t>
      Инвестиции, имеющиеся в наличии для продажи, представляют собой непроизводные финансовые активы, классифицируемые в качестве имеющихся в наличии для продажи, и не включенные в любую из трех вышеназванных категорий. После первоначального отражения в учете, инвестиции, имеющиеся в наличии для продажи, оцениваются по справедливой стоимости, при этом прибыли и убытки отражаются в качестве отдельного компонента в составе капитала до момента прекращения признания или обесценения инвестиции. В этом случае совокупная прибыль или убыток, ранее отраженные в составе капитала, включаются в прибыли и убытки. Восстановление убытков от обесценения, связанных с долевыми инструментами, не отражается в прибылях и убытках. Убытки от обесценения, связанные с долговыми инструментами, сторнируются в составе прибыли или убытка, в случае если превышение справедливой стоимости инструмента может быть объективно отнесено к событию, произошедшему после признания убытка от обесценения.</w:t>
      </w:r>
    </w:p>
    <w:p>
      <w:pPr>
        <w:spacing w:after="0"/>
        <w:ind w:left="0"/>
        <w:jc w:val="both"/>
      </w:pPr>
      <w:r>
        <w:rPr>
          <w:rFonts w:ascii="Times New Roman"/>
          <w:b w:val="false"/>
          <w:i w:val="false"/>
          <w:color w:val="000000"/>
          <w:sz w:val="28"/>
        </w:rPr>
        <w:t>
      Справедливая стоимость инвестиций, активно обращающихся на организованных финансовых рынках, определяется по рыночным котировкам на покупку на момент окончания торгов на отчетную дату. Справедливая стоимость инвестиций, не имеющих активного обращения на рынке, определяется с использованием методов оценки, в том числе по аналогии с последними по времени сделками, заключенными на рыночных условиях, а также на основании текущей рыночной стоимости финансового инструмента, практически идентичного рассматриваемому инструменту, или исходя из анализа дисконтированных денежных потоков.</w:t>
      </w:r>
    </w:p>
    <w:bookmarkStart w:name="z117" w:id="117"/>
    <w:p>
      <w:pPr>
        <w:spacing w:after="0"/>
        <w:ind w:left="0"/>
        <w:jc w:val="both"/>
      </w:pPr>
      <w:r>
        <w:rPr>
          <w:rFonts w:ascii="Times New Roman"/>
          <w:b w:val="false"/>
          <w:i w:val="false"/>
          <w:color w:val="000000"/>
          <w:sz w:val="28"/>
        </w:rPr>
        <w:t xml:space="preserve">
      </w:t>
      </w:r>
      <w:r>
        <w:rPr>
          <w:rFonts w:ascii="Times New Roman"/>
          <w:b/>
          <w:i w:val="false"/>
          <w:color w:val="000000"/>
          <w:sz w:val="28"/>
        </w:rPr>
        <w:t>Обесценение финансовых активов</w:t>
      </w:r>
    </w:p>
    <w:bookmarkEnd w:id="117"/>
    <w:p>
      <w:pPr>
        <w:spacing w:after="0"/>
        <w:ind w:left="0"/>
        <w:jc w:val="both"/>
      </w:pPr>
      <w:r>
        <w:rPr>
          <w:rFonts w:ascii="Times New Roman"/>
          <w:b w:val="false"/>
          <w:i w:val="false"/>
          <w:color w:val="000000"/>
          <w:sz w:val="28"/>
        </w:rPr>
        <w:t>
      На каждую отчетную дату Группа определяет, произошло ли обесценение финансового актива или группы финансовых активов.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Активы, учитываемые по амортизированной стоимости</w:t>
      </w:r>
    </w:p>
    <w:p>
      <w:pPr>
        <w:spacing w:after="0"/>
        <w:ind w:left="0"/>
        <w:jc w:val="both"/>
      </w:pPr>
      <w:r>
        <w:rPr>
          <w:rFonts w:ascii="Times New Roman"/>
          <w:b w:val="false"/>
          <w:i w:val="false"/>
          <w:color w:val="000000"/>
          <w:sz w:val="28"/>
        </w:rPr>
        <w:t>
      Если существует объективное свидетельство появления убытков от обесценения по активам, которые учитываются по амортизированной стоимости, сумма убытка оценивается как разница между балансовой стоимостью актива и текущей стоимостью ожидаемых будущих денежных потоков (за исключением будущих кредитных потерь, которые еще не возникли), дисконтированных по первоначальной эффективной ставке процента по финансовому активу (то есть по эффективной процентной ставке, рассчитанной при первоначальном признании). Балансовая стоимость актива должна быть снижена с использованием резерва. Сумма убытка признается в прибылях или убытках.</w:t>
      </w:r>
    </w:p>
    <w:p>
      <w:pPr>
        <w:spacing w:after="0"/>
        <w:ind w:left="0"/>
        <w:jc w:val="both"/>
      </w:pPr>
      <w:r>
        <w:rPr>
          <w:rFonts w:ascii="Times New Roman"/>
          <w:b w:val="false"/>
          <w:i w:val="false"/>
          <w:color w:val="000000"/>
          <w:sz w:val="28"/>
        </w:rPr>
        <w:t xml:space="preserve">
      Если в последующий период сумма убытка от обесценения уменьшается, и такое уменьшение может быть объективно связано с событием, произошедшим после того, как было признано обесценение, ранее признанный убыток от обесценения восстанавливается. Любое последующее восстановление убытка от обесценения признается в прибылях и убытках в таком объеме, чтобы балансовая стоимость актива не превышала амортизированную стоимость этого актива на дату восстановления. </w:t>
      </w:r>
    </w:p>
    <w:p>
      <w:pPr>
        <w:spacing w:after="0"/>
        <w:ind w:left="0"/>
        <w:jc w:val="both"/>
      </w:pPr>
      <w:r>
        <w:rPr>
          <w:rFonts w:ascii="Times New Roman"/>
          <w:b w:val="false"/>
          <w:i w:val="false"/>
          <w:color w:val="000000"/>
          <w:sz w:val="28"/>
        </w:rPr>
        <w:t>
      По торговой дебиторской задолженности создается резерв по сомнительной задолженности в том случае, если существует объективное свидетельство (например, вероятность неплатежеспособности или других существенных финансовых затруднений дебитора) того, что Группа не получит все суммы, причитающиеся ей в соответствии с первоначальными условиями счета-фактуры. Балансовая стоимость дебиторской задолженности уменьшается посредством использования счета резерва. Обесцененные задолженности прекращают признаваться, если они считаются безнадежными.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инвестиции, имеющиеся в наличии для продажи</w:t>
      </w:r>
    </w:p>
    <w:p>
      <w:pPr>
        <w:spacing w:after="0"/>
        <w:ind w:left="0"/>
        <w:jc w:val="both"/>
      </w:pPr>
      <w:r>
        <w:rPr>
          <w:rFonts w:ascii="Times New Roman"/>
          <w:b w:val="false"/>
          <w:i w:val="false"/>
          <w:color w:val="000000"/>
          <w:sz w:val="28"/>
        </w:rPr>
        <w:t xml:space="preserve">
      При наличии объективных свидетельств того, что первоначальная стоимость может не быть возмещена, долевая ценная бумага, имеющаяся в наличии для продажи, считается обесцененной. Объективные свидетельства того, что первоначальная стоимость может не быть возмещена, в дополнение к качественным критериям обесценения, включают значительное или продолжительное снижение справедливой стоимости ниже величины первоначальной стоимости. </w:t>
      </w:r>
    </w:p>
    <w:p>
      <w:pPr>
        <w:spacing w:after="0"/>
        <w:ind w:left="0"/>
        <w:jc w:val="both"/>
      </w:pPr>
      <w:r>
        <w:rPr>
          <w:rFonts w:ascii="Times New Roman"/>
          <w:b w:val="false"/>
          <w:i w:val="false"/>
          <w:color w:val="000000"/>
          <w:sz w:val="28"/>
        </w:rPr>
        <w:t xml:space="preserve">
      Если долевая ценная бумага, имеющаяся в наличии для продажи, обесценивается согласно качественным или количественным критериям обесценения, установленным Фондом, последующее снижение справедливой стоимости на последующие отчетные даты признается как обесценение. Таким образом, в каждом отчетном периоде в отношении долевой ценной бумаги, которая была определена как подвергнувшаяся обесценению согласно критериям обесценения Фонда, обесценение признается в размере разницы между справедливой стоимостью и первоначальной стоимостью за вычетом ранее признанного обесценения. </w:t>
      </w:r>
    </w:p>
    <w:bookmarkStart w:name="z118" w:id="118"/>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Производные финансовые инструменты</w:t>
      </w:r>
    </w:p>
    <w:bookmarkEnd w:id="118"/>
    <w:p>
      <w:pPr>
        <w:spacing w:after="0"/>
        <w:ind w:left="0"/>
        <w:jc w:val="both"/>
      </w:pPr>
      <w:r>
        <w:rPr>
          <w:rFonts w:ascii="Times New Roman"/>
          <w:b w:val="false"/>
          <w:i w:val="false"/>
          <w:color w:val="000000"/>
          <w:sz w:val="28"/>
        </w:rPr>
        <w:t>
      В ходе своей обычной деятельности Группа осуществляет операции с различными производными финансовыми инструментами, включая фьючерсы, форварды, свопы и опционы, на валютных рынках и рынках капитала, форвардные и своп контракты по сырой нефти, для хеджирования своих рисков, связанных с колебаниями цен на сырьевые товары. Такие финансовые инструменты в основном удерживаются для торговых целей и первоначально признаются в соответствии с политикой признания финансовых инструментов, а впоследствии оцениваются по их справедливой стоимости. Справедливая стоимость рассчитывается на основе зарегистрированной биржевой цены или ценовых моделях, которые принимают во внимание текущие рыночные и контрактные цены соответствующих инструментов и другие факторы. Производные финансовые инструменты учитываются как активы (нереализованный доход), когда справедливая стоимость является положительной, и как обязательства (нереализованный убыток), когда справедливая стоимость является отрицательной. Прибыли и убытки от операций с указанными инструментами отражаются в консолидированном отчете о совокупном доходе.</w:t>
      </w:r>
    </w:p>
    <w:bookmarkStart w:name="z119" w:id="119"/>
    <w:p>
      <w:pPr>
        <w:spacing w:after="0"/>
        <w:ind w:left="0"/>
        <w:jc w:val="both"/>
      </w:pPr>
      <w:r>
        <w:rPr>
          <w:rFonts w:ascii="Times New Roman"/>
          <w:b w:val="false"/>
          <w:i w:val="false"/>
          <w:color w:val="000000"/>
          <w:sz w:val="28"/>
        </w:rPr>
        <w:t xml:space="preserve">
      </w:t>
      </w:r>
      <w:r>
        <w:rPr>
          <w:rFonts w:ascii="Times New Roman"/>
          <w:b/>
          <w:i w:val="false"/>
          <w:color w:val="000000"/>
          <w:sz w:val="28"/>
        </w:rPr>
        <w:t>Запасы</w:t>
      </w:r>
    </w:p>
    <w:bookmarkEnd w:id="119"/>
    <w:p>
      <w:pPr>
        <w:spacing w:after="0"/>
        <w:ind w:left="0"/>
        <w:jc w:val="both"/>
      </w:pPr>
      <w:r>
        <w:rPr>
          <w:rFonts w:ascii="Times New Roman"/>
          <w:b w:val="false"/>
          <w:i w:val="false"/>
          <w:color w:val="000000"/>
          <w:sz w:val="28"/>
        </w:rPr>
        <w:t>
      Запасы оценены по наименьшему из значений себестоимости или чистой стоимости реализации. Себестоимость включает в себя затраты, понесенные в связи с доставкой и приведением запасов в текущее состояние. Чистая стоимость реализации представляет собой оценку цены реализации запасов в ходе обычной деятельности за вычетом затрат на завершение и расчетных затрат на реализацию. Аналогичная формула вычисления затрат используется для всех запасов, имеющих аналогичные характеристики и назначение. Запасы операционного нефтегазового и энергетического сегментов оцениваются на основе метода ФИФО. Все остальные запасы оцениваются на основе средневзвешенной стоимости.</w:t>
      </w:r>
    </w:p>
    <w:bookmarkStart w:name="z120" w:id="120"/>
    <w:p>
      <w:pPr>
        <w:spacing w:after="0"/>
        <w:ind w:left="0"/>
        <w:jc w:val="both"/>
      </w:pPr>
      <w:r>
        <w:rPr>
          <w:rFonts w:ascii="Times New Roman"/>
          <w:b w:val="false"/>
          <w:i w:val="false"/>
          <w:color w:val="000000"/>
          <w:sz w:val="28"/>
        </w:rPr>
        <w:t xml:space="preserve">
      </w:t>
      </w:r>
      <w:r>
        <w:rPr>
          <w:rFonts w:ascii="Times New Roman"/>
          <w:b/>
          <w:i w:val="false"/>
          <w:color w:val="000000"/>
          <w:sz w:val="28"/>
        </w:rPr>
        <w:t>Денежные средства и их эквиваленты</w:t>
      </w:r>
    </w:p>
    <w:bookmarkEnd w:id="120"/>
    <w:p>
      <w:pPr>
        <w:spacing w:after="0"/>
        <w:ind w:left="0"/>
        <w:jc w:val="both"/>
      </w:pPr>
      <w:r>
        <w:rPr>
          <w:rFonts w:ascii="Times New Roman"/>
          <w:b w:val="false"/>
          <w:i w:val="false"/>
          <w:color w:val="000000"/>
          <w:sz w:val="28"/>
        </w:rPr>
        <w:t>
      Денежные средства и их эквиваленты включают наличность в кассе, срочные вклады, краткосрочные и высоколиквидные инвестиции со сроком погашения не более 3 (трех) месяцев, которые свободно конвертируются в заранее оговоренные суммы денежных средств, и которые подвержены незначительному уровню риска, связанного с изменением их стоимости.</w:t>
      </w:r>
    </w:p>
    <w:bookmarkStart w:name="z121" w:id="121"/>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Финансовые обязательства</w:t>
      </w:r>
    </w:p>
    <w:bookmarkEnd w:id="121"/>
    <w:p>
      <w:pPr>
        <w:spacing w:after="0"/>
        <w:ind w:left="0"/>
        <w:jc w:val="both"/>
      </w:pPr>
      <w:r>
        <w:rPr>
          <w:rFonts w:ascii="Times New Roman"/>
          <w:b w:val="false"/>
          <w:i w:val="false"/>
          <w:color w:val="000000"/>
          <w:sz w:val="28"/>
        </w:rPr>
        <w:t xml:space="preserve">
      </w:t>
      </w:r>
      <w:r>
        <w:rPr>
          <w:rFonts w:ascii="Times New Roman"/>
          <w:b w:val="false"/>
          <w:i/>
          <w:color w:val="000000"/>
          <w:sz w:val="28"/>
        </w:rPr>
        <w:t>Займы и привлеченные средства</w:t>
      </w:r>
    </w:p>
    <w:p>
      <w:pPr>
        <w:spacing w:after="0"/>
        <w:ind w:left="0"/>
        <w:jc w:val="both"/>
      </w:pPr>
      <w:r>
        <w:rPr>
          <w:rFonts w:ascii="Times New Roman"/>
          <w:b w:val="false"/>
          <w:i w:val="false"/>
          <w:color w:val="000000"/>
          <w:sz w:val="28"/>
        </w:rPr>
        <w:t xml:space="preserve">
      Займы, первоначально признаются по справедливой стоимости, за вычетом расходов по сделке. В последующих периодах займы отражаются по амортизированной стоимости; разница между справедливой стоимостью полученных средств (за вычетом расходов по сделке) и суммой к погашению отражается в консолидированном отчете о совокупном доходе в течение срока, на который выдан займ с использованием метода эффективной ставки процента. Займы классифицируются как текущие обязательства, если только Группа не обладает безусловным правом отсрочить выплату как минимум на 12 (двенадцать) месяцев после отчетной даты. </w:t>
      </w:r>
    </w:p>
    <w:p>
      <w:pPr>
        <w:spacing w:after="0"/>
        <w:ind w:left="0"/>
        <w:jc w:val="both"/>
      </w:pPr>
      <w:r>
        <w:rPr>
          <w:rFonts w:ascii="Times New Roman"/>
          <w:b w:val="false"/>
          <w:i w:val="false"/>
          <w:color w:val="000000"/>
          <w:sz w:val="28"/>
        </w:rPr>
        <w:t xml:space="preserve">
      Выпущенные финансовые инструменты или их компоненты, классифицируются как займы, если в результате договорного соглашения Группа имеет обязательство либо поставить денежные средства или иные финансовые активы, либо исполнить обязательство иным образом, чем посредством обмена фиксированной суммы денежных средств или других финансовых активов на фиксированное число собственных долевых инструментов. Такие инструменты включают средства Правительства и займы полученные от кредитных учреждений, которые первоначально учитываются по справедливой стоимости полученных средств за вычетом затрат, непосредственно связанных со сделкой. Впоследствии, полученные средства отражаются по амортизированной стоимости. </w:t>
      </w:r>
    </w:p>
    <w:p>
      <w:pPr>
        <w:spacing w:after="0"/>
        <w:ind w:left="0"/>
        <w:jc w:val="both"/>
      </w:pPr>
      <w:r>
        <w:rPr>
          <w:rFonts w:ascii="Times New Roman"/>
          <w:b w:val="false"/>
          <w:i w:val="false"/>
          <w:color w:val="000000"/>
          <w:sz w:val="28"/>
        </w:rPr>
        <w:t xml:space="preserve">
      Затраты по займам, которые непосредственно относятся к приобретению, строительству или производству квалифицируемого актива, капитализируются как часть стоимости такого актива. Прочие затраты по займам признаются как расходы в момент возникновения.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Конвертируемые долговые инструменты</w:t>
      </w:r>
    </w:p>
    <w:p>
      <w:pPr>
        <w:spacing w:after="0"/>
        <w:ind w:left="0"/>
        <w:jc w:val="both"/>
      </w:pPr>
      <w:r>
        <w:rPr>
          <w:rFonts w:ascii="Times New Roman"/>
          <w:b w:val="false"/>
          <w:i w:val="false"/>
          <w:color w:val="000000"/>
          <w:sz w:val="28"/>
        </w:rPr>
        <w:t>
      Компонент конвертируемого долгового инструмента, который имеет характеристики обязательства, признается в консолидированном бухгалтерском балансе как обязательство, за вычетом затрат по сделке. Справедливая стоимость компонента обязательства определяется по рыночной ставке, применяемой для аналогичных неконвертируемых обязательств; и эта сумма классифицируется как финансовое обязательство, оцениваемое по амортизированной стоимости до погашения при конвертации или выкупе.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Опционы по оставшейся неконтрольной доле участия, возникающие при объединении предприятий</w:t>
      </w:r>
    </w:p>
    <w:p>
      <w:pPr>
        <w:spacing w:after="0"/>
        <w:ind w:left="0"/>
        <w:jc w:val="both"/>
      </w:pPr>
      <w:r>
        <w:rPr>
          <w:rFonts w:ascii="Times New Roman"/>
          <w:b w:val="false"/>
          <w:i w:val="false"/>
          <w:color w:val="000000"/>
          <w:sz w:val="28"/>
        </w:rPr>
        <w:t xml:space="preserve">
      Если при объединении предприятий Группа становится стороной опциона пут по оставшейся неконтрольной доле участия в приобретенном предприятии, Группа оценивает, дает ли участие в таком опционе доступ к выгодам и рискам, связанным с правом собственности на такую неконтрольную долю участия. </w:t>
      </w:r>
    </w:p>
    <w:p>
      <w:pPr>
        <w:spacing w:after="0"/>
        <w:ind w:left="0"/>
        <w:jc w:val="both"/>
      </w:pPr>
      <w:r>
        <w:rPr>
          <w:rFonts w:ascii="Times New Roman"/>
          <w:b w:val="false"/>
          <w:i w:val="false"/>
          <w:color w:val="000000"/>
          <w:sz w:val="28"/>
        </w:rPr>
        <w:t xml:space="preserve">
      Когда установлено, что опцион пут по оставшимся акциям дает доступ к выгодам и рискам долевого владения, объединение предприятий учитывается на основании того, что акции, обусловленные опционом пут, были приобретены. Справедливая стоимость обязательства для акционеров не контрольной доли по опциону пут, признается как часть стоимости объединения предприятий. Любая разница между такой стоимостью и долей в чистых активах, которая в ином случае рассматривалась бы как относящаяся к неконтрольной доле участия, отражается в составе гудвилла. Любые дивиденды, впоследствии объявленные и выплаченные таким неконтролирующим акционерам, до исполнения опциона, напрямую отражаются в прибылях и убытках. </w:t>
      </w:r>
    </w:p>
    <w:p>
      <w:pPr>
        <w:spacing w:after="0"/>
        <w:ind w:left="0"/>
        <w:jc w:val="both"/>
      </w:pPr>
      <w:r>
        <w:rPr>
          <w:rFonts w:ascii="Times New Roman"/>
          <w:b w:val="false"/>
          <w:i w:val="false"/>
          <w:color w:val="000000"/>
          <w:sz w:val="28"/>
        </w:rPr>
        <w:t>
      Впоследствии, финансовое обязательство оценивается в соответствии с требованиями МСБУ 39. Изменения в справедливой стоимости финансового обязательства, а также любые финансовые выплаты напрямую учитываются в консолидированном отчете о совокупном доходе.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Опционы по приобретенной доле, возникающие при приобретении инвестиций в ассоциированные компании и активов предназначенных для продажи</w:t>
      </w:r>
    </w:p>
    <w:p>
      <w:pPr>
        <w:spacing w:after="0"/>
        <w:ind w:left="0"/>
        <w:jc w:val="both"/>
      </w:pPr>
      <w:r>
        <w:rPr>
          <w:rFonts w:ascii="Times New Roman"/>
          <w:b w:val="false"/>
          <w:i w:val="false"/>
          <w:color w:val="000000"/>
          <w:sz w:val="28"/>
        </w:rPr>
        <w:t xml:space="preserve">
      Если при приобретении инвестиций Фонд наделяет третью сторону опционом колл по приобретенной доле в предприятии, Фонд оценивает, дает ли участие в таком опционе третьей стороне доступ к выгодам и рискам, связанным с правом собственности на такую долю. </w:t>
      </w:r>
    </w:p>
    <w:p>
      <w:pPr>
        <w:spacing w:after="0"/>
        <w:ind w:left="0"/>
        <w:jc w:val="both"/>
      </w:pPr>
      <w:r>
        <w:rPr>
          <w:rFonts w:ascii="Times New Roman"/>
          <w:b w:val="false"/>
          <w:i w:val="false"/>
          <w:color w:val="000000"/>
          <w:sz w:val="28"/>
        </w:rPr>
        <w:t xml:space="preserve">
      В случае если опцион колл по приобретенной доле не дает доступа третьей стороне к выгодам и рискам долевого владения, данный опцион не учитывается при определении существенного влияния Фонда. </w:t>
      </w:r>
    </w:p>
    <w:p>
      <w:pPr>
        <w:spacing w:after="0"/>
        <w:ind w:left="0"/>
        <w:jc w:val="both"/>
      </w:pPr>
      <w:r>
        <w:rPr>
          <w:rFonts w:ascii="Times New Roman"/>
          <w:b w:val="false"/>
          <w:i w:val="false"/>
          <w:color w:val="000000"/>
          <w:sz w:val="28"/>
        </w:rPr>
        <w:t xml:space="preserve">
      Справедливая стоимость обязательства для Фонда по опциону признается как часть стоимости приобретенных инвестиций. Впоследствии, финансовое обязательство оценивается в соответствии с требованиями МСБУ 39 </w:t>
      </w:r>
      <w:r>
        <w:rPr>
          <w:rFonts w:ascii="Times New Roman"/>
          <w:b w:val="false"/>
          <w:i/>
          <w:color w:val="000000"/>
          <w:sz w:val="28"/>
        </w:rPr>
        <w:t>"Финансовые инструменты: признание и оценка"</w:t>
      </w:r>
      <w:r>
        <w:rPr>
          <w:rFonts w:ascii="Times New Roman"/>
          <w:b w:val="false"/>
          <w:i w:val="false"/>
          <w:color w:val="000000"/>
          <w:sz w:val="28"/>
        </w:rPr>
        <w:t>. Изменения в справедливой стоимости финансового обязательства, а также любые доходы или расходы связанные с реализацией данных опционов учитываются в консолидированном отчете о совокупном доходе.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Торговая и прочая кредиторская задолженность</w:t>
      </w:r>
    </w:p>
    <w:p>
      <w:pPr>
        <w:spacing w:after="0"/>
        <w:ind w:left="0"/>
        <w:jc w:val="both"/>
      </w:pPr>
      <w:r>
        <w:rPr>
          <w:rFonts w:ascii="Times New Roman"/>
          <w:b w:val="false"/>
          <w:i w:val="false"/>
          <w:color w:val="000000"/>
          <w:sz w:val="28"/>
        </w:rPr>
        <w:t>
      Обязательства по торговой и прочей кредиторской задолженности учитываются по первоначальной стоимости, которая является справедливой стоимостью суммы, которая должна быть уплачена в будущем за полученные товары и услуги, независимо от того были ли выставлены счета Группе.</w:t>
      </w:r>
    </w:p>
    <w:bookmarkStart w:name="z122" w:id="122"/>
    <w:p>
      <w:pPr>
        <w:spacing w:after="0"/>
        <w:ind w:left="0"/>
        <w:jc w:val="both"/>
      </w:pPr>
      <w:r>
        <w:rPr>
          <w:rFonts w:ascii="Times New Roman"/>
          <w:b w:val="false"/>
          <w:i w:val="false"/>
          <w:color w:val="000000"/>
          <w:sz w:val="28"/>
        </w:rPr>
        <w:t xml:space="preserve">
      </w:t>
      </w:r>
      <w:r>
        <w:rPr>
          <w:rFonts w:ascii="Times New Roman"/>
          <w:b/>
          <w:i w:val="false"/>
          <w:color w:val="000000"/>
          <w:sz w:val="28"/>
        </w:rPr>
        <w:t>Прекращение признания финансовых активов и обязательств</w:t>
      </w:r>
    </w:p>
    <w:bookmarkEnd w:id="122"/>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активы</w:t>
      </w:r>
    </w:p>
    <w:p>
      <w:pPr>
        <w:spacing w:after="0"/>
        <w:ind w:left="0"/>
        <w:jc w:val="both"/>
      </w:pPr>
      <w:r>
        <w:rPr>
          <w:rFonts w:ascii="Times New Roman"/>
          <w:b w:val="false"/>
          <w:i w:val="false"/>
          <w:color w:val="000000"/>
          <w:sz w:val="28"/>
        </w:rPr>
        <w:t>
      Финансовый актив (или, где применимо – часть финансового актива или часть группы аналогичных финансовых активов) прекращает учитываться в консолидированном бухгалтерском балансе, если:</w:t>
      </w:r>
    </w:p>
    <w:p>
      <w:pPr>
        <w:spacing w:after="0"/>
        <w:ind w:left="0"/>
        <w:jc w:val="both"/>
      </w:pPr>
      <w:r>
        <w:rPr>
          <w:rFonts w:ascii="Times New Roman"/>
          <w:b w:val="false"/>
          <w:i w:val="false"/>
          <w:color w:val="000000"/>
          <w:sz w:val="28"/>
        </w:rPr>
        <w:t>
      - срок действия прав на получение денежных потоков от актива истек;</w:t>
      </w:r>
    </w:p>
    <w:p>
      <w:pPr>
        <w:spacing w:after="0"/>
        <w:ind w:left="0"/>
        <w:jc w:val="both"/>
      </w:pPr>
      <w:r>
        <w:rPr>
          <w:rFonts w:ascii="Times New Roman"/>
          <w:b w:val="false"/>
          <w:i w:val="false"/>
          <w:color w:val="000000"/>
          <w:sz w:val="28"/>
        </w:rPr>
        <w:t>
      - Группа сохраняет за собой право получать денежные потоки от актива, но приняла на себя обязательство передать их полностью без существенной задержки третьей стороне в соответствии с соглашением о перераспределении; или</w:t>
      </w:r>
    </w:p>
    <w:p>
      <w:pPr>
        <w:spacing w:after="0"/>
        <w:ind w:left="0"/>
        <w:jc w:val="both"/>
      </w:pPr>
      <w:r>
        <w:rPr>
          <w:rFonts w:ascii="Times New Roman"/>
          <w:b w:val="false"/>
          <w:i w:val="false"/>
          <w:color w:val="000000"/>
          <w:sz w:val="28"/>
        </w:rPr>
        <w:t>
      - Группа передала свои права на получение денежных потоков от актива и либо (a) передала все существенные риски и вознаграждения от актива, либо (б) не передала, но и не сохраняет за собой, все существенные риски и вознаграждения от актива, но передала контроль над данным активом.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обязательства</w:t>
      </w:r>
    </w:p>
    <w:p>
      <w:pPr>
        <w:spacing w:after="0"/>
        <w:ind w:left="0"/>
        <w:jc w:val="both"/>
      </w:pPr>
      <w:r>
        <w:rPr>
          <w:rFonts w:ascii="Times New Roman"/>
          <w:b w:val="false"/>
          <w:i w:val="false"/>
          <w:color w:val="000000"/>
          <w:sz w:val="28"/>
        </w:rPr>
        <w:t>
      Финансовое обязательство прекращает признаваться в консолидированном бухгалтерском балансе, если обязательство погашено, аннулировано, или срок его действия истек.</w:t>
      </w:r>
    </w:p>
    <w:bookmarkStart w:name="z123" w:id="123"/>
    <w:p>
      <w:pPr>
        <w:spacing w:after="0"/>
        <w:ind w:left="0"/>
        <w:jc w:val="both"/>
      </w:pPr>
      <w:r>
        <w:rPr>
          <w:rFonts w:ascii="Times New Roman"/>
          <w:b w:val="false"/>
          <w:i w:val="false"/>
          <w:color w:val="000000"/>
          <w:sz w:val="28"/>
        </w:rPr>
        <w:t xml:space="preserve">
      </w:t>
      </w:r>
      <w:r>
        <w:rPr>
          <w:rFonts w:ascii="Times New Roman"/>
          <w:b/>
          <w:i w:val="false"/>
          <w:color w:val="000000"/>
          <w:sz w:val="28"/>
        </w:rPr>
        <w:t>Взаимозачет финансовых инструментов</w:t>
      </w:r>
    </w:p>
    <w:bookmarkEnd w:id="123"/>
    <w:p>
      <w:pPr>
        <w:spacing w:after="0"/>
        <w:ind w:left="0"/>
        <w:jc w:val="both"/>
      </w:pPr>
      <w:r>
        <w:rPr>
          <w:rFonts w:ascii="Times New Roman"/>
          <w:b w:val="false"/>
          <w:i w:val="false"/>
          <w:color w:val="000000"/>
          <w:sz w:val="28"/>
        </w:rPr>
        <w:t>
      Финансовые активы и финансовые обязательства подлежат взаимозачету, а нетто-сумма представлению в консолидированном бухгалтерском балансе тогда и только тогда:</w:t>
      </w:r>
    </w:p>
    <w:p>
      <w:pPr>
        <w:spacing w:after="0"/>
        <w:ind w:left="0"/>
        <w:jc w:val="both"/>
      </w:pPr>
      <w:r>
        <w:rPr>
          <w:rFonts w:ascii="Times New Roman"/>
          <w:b w:val="false"/>
          <w:i w:val="false"/>
          <w:color w:val="000000"/>
          <w:sz w:val="28"/>
        </w:rPr>
        <w:t>
      - когда имеется осуществимое в настоящий момент юридическое право на взаимозачет признанных сумм;</w:t>
      </w:r>
    </w:p>
    <w:p>
      <w:pPr>
        <w:spacing w:after="0"/>
        <w:ind w:left="0"/>
        <w:jc w:val="both"/>
      </w:pPr>
      <w:r>
        <w:rPr>
          <w:rFonts w:ascii="Times New Roman"/>
          <w:b w:val="false"/>
          <w:i w:val="false"/>
          <w:color w:val="000000"/>
          <w:sz w:val="28"/>
        </w:rPr>
        <w:t xml:space="preserve">
      - когда имеется намерение произвести расчет на нетто-основе, либо реализовать активы и одновременно с этим погасить обязательства. </w:t>
      </w:r>
    </w:p>
    <w:bookmarkStart w:name="z124" w:id="124"/>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Справедливая стоимость финансовых инструментов</w:t>
      </w:r>
    </w:p>
    <w:bookmarkEnd w:id="124"/>
    <w:p>
      <w:pPr>
        <w:spacing w:after="0"/>
        <w:ind w:left="0"/>
        <w:jc w:val="both"/>
      </w:pPr>
      <w:r>
        <w:rPr>
          <w:rFonts w:ascii="Times New Roman"/>
          <w:b w:val="false"/>
          <w:i w:val="false"/>
          <w:color w:val="000000"/>
          <w:sz w:val="28"/>
        </w:rPr>
        <w:t>
      Справедливая стоимость финансовых инструментов, торговля которыми осуществляется на активных рынках на каждую отчетную дату, определяется исходя из рыночных котировок или котировок дилеров (котировки на покупку для длинных позиций и котировки на продажу для коротких позиций), без вычета затрат по сделке.</w:t>
      </w:r>
    </w:p>
    <w:p>
      <w:pPr>
        <w:spacing w:after="0"/>
        <w:ind w:left="0"/>
        <w:jc w:val="both"/>
      </w:pPr>
      <w:r>
        <w:rPr>
          <w:rFonts w:ascii="Times New Roman"/>
          <w:b w:val="false"/>
          <w:i w:val="false"/>
          <w:color w:val="000000"/>
          <w:sz w:val="28"/>
        </w:rPr>
        <w:t>
      Для финансовых инструментов, торговля которыми не осуществляется на активном рынке, справедливая стоимость определяется путем применения соответствующих методик оценки. Такие методики могут включать:</w:t>
      </w:r>
    </w:p>
    <w:p>
      <w:pPr>
        <w:spacing w:after="0"/>
        <w:ind w:left="0"/>
        <w:jc w:val="both"/>
      </w:pPr>
      <w:r>
        <w:rPr>
          <w:rFonts w:ascii="Times New Roman"/>
          <w:b w:val="false"/>
          <w:i w:val="false"/>
          <w:color w:val="000000"/>
          <w:sz w:val="28"/>
        </w:rPr>
        <w:t>
      - использование цен недавно проведенных на коммерческой основе сделок;</w:t>
      </w:r>
    </w:p>
    <w:p>
      <w:pPr>
        <w:spacing w:after="0"/>
        <w:ind w:left="0"/>
        <w:jc w:val="both"/>
      </w:pPr>
      <w:r>
        <w:rPr>
          <w:rFonts w:ascii="Times New Roman"/>
          <w:b w:val="false"/>
          <w:i w:val="false"/>
          <w:color w:val="000000"/>
          <w:sz w:val="28"/>
        </w:rPr>
        <w:t>
      - использование текущей справедливой стоимости аналогичных инструментов;</w:t>
      </w:r>
    </w:p>
    <w:p>
      <w:pPr>
        <w:spacing w:after="0"/>
        <w:ind w:left="0"/>
        <w:jc w:val="both"/>
      </w:pPr>
      <w:r>
        <w:rPr>
          <w:rFonts w:ascii="Times New Roman"/>
          <w:b w:val="false"/>
          <w:i w:val="false"/>
          <w:color w:val="000000"/>
          <w:sz w:val="28"/>
        </w:rPr>
        <w:t>
      - анализ дисконтированных денежных потоков, либо другие модели оценки.</w:t>
      </w:r>
    </w:p>
    <w:p>
      <w:pPr>
        <w:spacing w:after="0"/>
        <w:ind w:left="0"/>
        <w:jc w:val="both"/>
      </w:pPr>
      <w:r>
        <w:rPr>
          <w:rFonts w:ascii="Times New Roman"/>
          <w:b w:val="false"/>
          <w:i w:val="false"/>
          <w:color w:val="000000"/>
          <w:sz w:val="28"/>
        </w:rPr>
        <w:t>
      Анализ справедливой стоимости финансовых инструментов и дополнительная информация о методах ее определения приводится в Примечании 39.</w:t>
      </w:r>
    </w:p>
    <w:bookmarkStart w:name="z125" w:id="125"/>
    <w:p>
      <w:pPr>
        <w:spacing w:after="0"/>
        <w:ind w:left="0"/>
        <w:jc w:val="both"/>
      </w:pPr>
      <w:r>
        <w:rPr>
          <w:rFonts w:ascii="Times New Roman"/>
          <w:b w:val="false"/>
          <w:i w:val="false"/>
          <w:color w:val="000000"/>
          <w:sz w:val="28"/>
        </w:rPr>
        <w:t xml:space="preserve">
      </w:t>
      </w:r>
      <w:r>
        <w:rPr>
          <w:rFonts w:ascii="Times New Roman"/>
          <w:b/>
          <w:i w:val="false"/>
          <w:color w:val="000000"/>
          <w:sz w:val="28"/>
        </w:rPr>
        <w:t>Аренда</w:t>
      </w:r>
    </w:p>
    <w:bookmarkEnd w:id="125"/>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Операционная аренда</w:t>
      </w:r>
    </w:p>
    <w:p>
      <w:pPr>
        <w:spacing w:after="0"/>
        <w:ind w:left="0"/>
        <w:jc w:val="both"/>
      </w:pPr>
      <w:r>
        <w:rPr>
          <w:rFonts w:ascii="Times New Roman"/>
          <w:b w:val="false"/>
          <w:i w:val="false"/>
          <w:color w:val="000000"/>
          <w:sz w:val="28"/>
        </w:rPr>
        <w:t>
      Аренда имущества, при которой арендодатель фактически сохраняет за собой риски и выгоды, связанные с правом собственности на объект аренды, классифицируется как операционная аренда. Платежи по договору операционной аренды равномерно списываются на расходы в консолидированном отчете о совокупном доходе в течение срока аренды.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Финансовая аренда</w:t>
      </w:r>
    </w:p>
    <w:p>
      <w:pPr>
        <w:spacing w:after="0"/>
        <w:ind w:left="0"/>
        <w:jc w:val="both"/>
      </w:pPr>
      <w:r>
        <w:rPr>
          <w:rFonts w:ascii="Times New Roman"/>
          <w:b w:val="false"/>
          <w:i w:val="false"/>
          <w:color w:val="000000"/>
          <w:sz w:val="28"/>
        </w:rPr>
        <w:t xml:space="preserve">
      Группа признает договоры финансовой аренды в составе активов и обязательств в консолидированном бухгалтерском балансе на дату начала срока аренды в сумме, равной справедливой стоимости арендованного имущества, или по текущей стоимости минимальных арендных платежей, если эта сумма ниже справедливой стоимости. При расчете текущей стоимости минимальных арендных платежей в качестве коэффициента дисконтирования используется внутренняя ставка процента по договору аренды, если определение такой ставки является возможным. В прочих случаях используется приростная ставка по заемным средствам Группы. Первоначальные прямые затраты учитываются в составе актива. </w:t>
      </w:r>
    </w:p>
    <w:p>
      <w:pPr>
        <w:spacing w:after="0"/>
        <w:ind w:left="0"/>
        <w:jc w:val="both"/>
      </w:pPr>
      <w:r>
        <w:rPr>
          <w:rFonts w:ascii="Times New Roman"/>
          <w:b w:val="false"/>
          <w:i w:val="false"/>
          <w:color w:val="000000"/>
          <w:sz w:val="28"/>
        </w:rPr>
        <w:t xml:space="preserve">
      Арендные платежи распределяются между расходами по финансированию и погашениям обязательства. Расходы по финансированию в течение срока аренды относятся на отчетные периоды таким образом, чтобы обеспечить отражение расходов по постоянной периодической процентной ставке, начисляемой на остаток обязательств, за каждый отчетный период. </w:t>
      </w:r>
    </w:p>
    <w:p>
      <w:pPr>
        <w:spacing w:after="0"/>
        <w:ind w:left="0"/>
        <w:jc w:val="both"/>
      </w:pPr>
      <w:r>
        <w:rPr>
          <w:rFonts w:ascii="Times New Roman"/>
          <w:b w:val="false"/>
          <w:i w:val="false"/>
          <w:color w:val="000000"/>
          <w:sz w:val="28"/>
        </w:rPr>
        <w:t xml:space="preserve">
      Финансовая аренда приводит к увеличению расхода по амортизации в отношении актива, а также к финансовым расходам за каждый отчетный период. Политика амортизации в отношении арендуемого актива соответствует политике по амортизации собственных активов. </w:t>
      </w:r>
    </w:p>
    <w:bookmarkStart w:name="z126" w:id="126"/>
    <w:p>
      <w:pPr>
        <w:spacing w:after="0"/>
        <w:ind w:left="0"/>
        <w:jc w:val="both"/>
      </w:pPr>
      <w:r>
        <w:rPr>
          <w:rFonts w:ascii="Times New Roman"/>
          <w:b w:val="false"/>
          <w:i w:val="false"/>
          <w:color w:val="000000"/>
          <w:sz w:val="28"/>
        </w:rPr>
        <w:t xml:space="preserve">
      </w:t>
      </w:r>
      <w:r>
        <w:rPr>
          <w:rFonts w:ascii="Times New Roman"/>
          <w:b/>
          <w:i w:val="false"/>
          <w:color w:val="000000"/>
          <w:sz w:val="28"/>
        </w:rPr>
        <w:t>Резервы</w:t>
      </w:r>
    </w:p>
    <w:bookmarkEnd w:id="126"/>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Обязательство по выбытию актива (вывод из эксплуатации)</w:t>
      </w:r>
    </w:p>
    <w:p>
      <w:pPr>
        <w:spacing w:after="0"/>
        <w:ind w:left="0"/>
        <w:jc w:val="both"/>
      </w:pPr>
      <w:r>
        <w:rPr>
          <w:rFonts w:ascii="Times New Roman"/>
          <w:b w:val="false"/>
          <w:i w:val="false"/>
          <w:color w:val="000000"/>
          <w:sz w:val="28"/>
        </w:rPr>
        <w:t xml:space="preserve">
      Резервы на вывод из эксплуатации признаются в полном объеме на дисконтированной основе тогда, когда у Группы имеется обязательство по демонтажу и переносу оборудования или основного средства и по восстановлению участка, на котором находилось оборудование, а также тогда, когда можно осуществить разумную оценку такого резерва. </w:t>
      </w:r>
    </w:p>
    <w:p>
      <w:pPr>
        <w:spacing w:after="0"/>
        <w:ind w:left="0"/>
        <w:jc w:val="both"/>
      </w:pPr>
      <w:r>
        <w:rPr>
          <w:rFonts w:ascii="Times New Roman"/>
          <w:b w:val="false"/>
          <w:i w:val="false"/>
          <w:color w:val="000000"/>
          <w:sz w:val="28"/>
        </w:rPr>
        <w:t>
      Признаваемая сумма представляет собой текущую стоимость оцененных будущих расходов, определенных в соответствии с местными условиями и требованиями. Также признается соответствующее основное средство, сумма которого эквивалентна размеру резерва. Впоследствии, данный актив амортизируется в рамках капитальных затрат по производственным средствам и средствам транспортировки на основе соответствующего метода амортизации.</w:t>
      </w:r>
    </w:p>
    <w:p>
      <w:pPr>
        <w:spacing w:after="0"/>
        <w:ind w:left="0"/>
        <w:jc w:val="both"/>
      </w:pPr>
      <w:r>
        <w:rPr>
          <w:rFonts w:ascii="Times New Roman"/>
          <w:b w:val="false"/>
          <w:i w:val="false"/>
          <w:color w:val="000000"/>
          <w:sz w:val="28"/>
        </w:rPr>
        <w:t>
      Изменения в оценке существующего резерва по выводу из эксплуатации, которые явились результатом изменений в расчетном сроке или сумме оттока ресурсов, лежащих в основе экономических выгод, необходимых для погашения обязательства, или изменение в ставке дисконтирования, учитывается таким образом, что:</w:t>
      </w:r>
    </w:p>
    <w:p>
      <w:pPr>
        <w:spacing w:after="0"/>
        <w:ind w:left="0"/>
        <w:jc w:val="both"/>
      </w:pPr>
      <w:r>
        <w:rPr>
          <w:rFonts w:ascii="Times New Roman"/>
          <w:b w:val="false"/>
          <w:i w:val="false"/>
          <w:color w:val="000000"/>
          <w:sz w:val="28"/>
        </w:rPr>
        <w:t>
      (a) изменения в резерве прибавляются или вычитаются из стоимости соответствующего актива в текущем периоде;</w:t>
      </w:r>
    </w:p>
    <w:p>
      <w:pPr>
        <w:spacing w:after="0"/>
        <w:ind w:left="0"/>
        <w:jc w:val="both"/>
      </w:pPr>
      <w:r>
        <w:rPr>
          <w:rFonts w:ascii="Times New Roman"/>
          <w:b w:val="false"/>
          <w:i w:val="false"/>
          <w:color w:val="000000"/>
          <w:sz w:val="28"/>
        </w:rPr>
        <w:t>
      (б) сумма, вычтенная из стоимости актива, не должна превышать его балансовую стоимость. Если снижение в резерве превышает балансовую стоимость актива, тогда превышение незамедлительно признается в консолидированном отчете о совокупном доходе; и</w:t>
      </w:r>
    </w:p>
    <w:p>
      <w:pPr>
        <w:spacing w:after="0"/>
        <w:ind w:left="0"/>
        <w:jc w:val="both"/>
      </w:pPr>
      <w:r>
        <w:rPr>
          <w:rFonts w:ascii="Times New Roman"/>
          <w:b w:val="false"/>
          <w:i w:val="false"/>
          <w:color w:val="000000"/>
          <w:sz w:val="28"/>
        </w:rPr>
        <w:t>
      (в) если корректировка приводит к увеличению стоимости актива, Группа рассматривает, является ли это показателем того, что новая балансовая стоимость актива не может быть полностью возмещена. Если это является таким показателем, Группа осуществляет тестирование актива на обесценение посредством оценки его возмещаемой стоимости и учитывает любой убыток по обесценению в соответствии с МСБУ 36.</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Резерв под банковские аккредитивы и гарантии</w:t>
      </w:r>
    </w:p>
    <w:p>
      <w:pPr>
        <w:spacing w:after="0"/>
        <w:ind w:left="0"/>
        <w:jc w:val="both"/>
      </w:pPr>
      <w:r>
        <w:rPr>
          <w:rFonts w:ascii="Times New Roman"/>
          <w:b w:val="false"/>
          <w:i w:val="false"/>
          <w:color w:val="000000"/>
          <w:sz w:val="28"/>
        </w:rPr>
        <w:t>
      В ходе осуществления обычной деятельности Группа предоставляет финансовые гарантии в форме аккредитивов, гарантий и акцептов. Договоры финансовой гарантии первоначально признаются в консолидированной финансовой отчетности по справедливой стоимости по статье "Прочие обязательства" в размере полученной комиссии. После первоначального признания обязательство Группы по каждому договору гарантии оценивается по наибольшей из двух величин: сумма амортизированной комиссии или наилучшая оценка затрат, необходимых для урегулирования финансового обязательства, возникающего по гарантии.</w:t>
      </w:r>
    </w:p>
    <w:p>
      <w:pPr>
        <w:spacing w:after="0"/>
        <w:ind w:left="0"/>
        <w:jc w:val="both"/>
      </w:pPr>
      <w:r>
        <w:rPr>
          <w:rFonts w:ascii="Times New Roman"/>
          <w:b w:val="false"/>
          <w:i w:val="false"/>
          <w:color w:val="000000"/>
          <w:sz w:val="28"/>
        </w:rPr>
        <w:t>
      Увеличение обязательства, связанное с договорами финансовой гарантии, учитывается в консолидированном отчете о совокупном доходе. Полученная комиссия признается в прибылях и убытках на линейной основе в течение срока действия договора гарантии.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резервы</w:t>
      </w:r>
    </w:p>
    <w:p>
      <w:pPr>
        <w:spacing w:after="0"/>
        <w:ind w:left="0"/>
        <w:jc w:val="both"/>
      </w:pPr>
      <w:r>
        <w:rPr>
          <w:rFonts w:ascii="Times New Roman"/>
          <w:b w:val="false"/>
          <w:i w:val="false"/>
          <w:color w:val="000000"/>
          <w:sz w:val="28"/>
        </w:rPr>
        <w:t>
      Резервы отражаются в консолидированной финансовой отчетности тогда, когда Группа имеет текущее (правовое или вытекающее из практики) обязательство в результате событий, произошедших в прошлом, а также существует вероятность того, что произойдет отток средств, связанных с экономическими выгодами, для погашения обязательства, и может быть произведена соответствующая достоверная оценка этого обязательства. Если Группа ожидает, что резерв будет возмещен, к примеру, по страховому договору, возмещение отражается как отдельный актив, но только тогда, когда возмещение является практически гарантированным.</w:t>
      </w:r>
    </w:p>
    <w:p>
      <w:pPr>
        <w:spacing w:after="0"/>
        <w:ind w:left="0"/>
        <w:jc w:val="both"/>
      </w:pPr>
      <w:r>
        <w:rPr>
          <w:rFonts w:ascii="Times New Roman"/>
          <w:b w:val="false"/>
          <w:i w:val="false"/>
          <w:color w:val="000000"/>
          <w:sz w:val="28"/>
        </w:rPr>
        <w:t xml:space="preserve">
      Если влияние временной стоимости денежных средств является существенным, резервы рассчитываются посредством дисконтирования ожидаемого будущего движения денежных средств по ставке до уплаты налогов, которая отражает текущую рыночную оценку временной стоимости денежных средств и, там где это уместно, риски, присущие обязательству. При использовании дисконтирования увеличение резерва вследствие истечения времени признается как финансовые затраты. </w:t>
      </w:r>
    </w:p>
    <w:bookmarkStart w:name="z127" w:id="127"/>
    <w:p>
      <w:pPr>
        <w:spacing w:after="0"/>
        <w:ind w:left="0"/>
        <w:jc w:val="both"/>
      </w:pPr>
      <w:r>
        <w:rPr>
          <w:rFonts w:ascii="Times New Roman"/>
          <w:b w:val="false"/>
          <w:i w:val="false"/>
          <w:color w:val="000000"/>
          <w:sz w:val="28"/>
        </w:rPr>
        <w:t xml:space="preserve">
      </w:t>
      </w:r>
      <w:r>
        <w:rPr>
          <w:rFonts w:ascii="Times New Roman"/>
          <w:b/>
          <w:i w:val="false"/>
          <w:color w:val="000000"/>
          <w:sz w:val="28"/>
        </w:rPr>
        <w:t>Вознаграждения работникам</w:t>
      </w:r>
    </w:p>
    <w:bookmarkEnd w:id="127"/>
    <w:p>
      <w:pPr>
        <w:spacing w:after="0"/>
        <w:ind w:left="0"/>
        <w:jc w:val="both"/>
      </w:pPr>
      <w:r>
        <w:rPr>
          <w:rFonts w:ascii="Times New Roman"/>
          <w:b w:val="false"/>
          <w:i w:val="false"/>
          <w:color w:val="000000"/>
          <w:sz w:val="28"/>
        </w:rPr>
        <w:t xml:space="preserve">
      </w:t>
      </w:r>
      <w:r>
        <w:rPr>
          <w:rFonts w:ascii="Times New Roman"/>
          <w:b w:val="false"/>
          <w:i/>
          <w:color w:val="000000"/>
          <w:sz w:val="28"/>
        </w:rPr>
        <w:t>Пенсионный план с установленными взносами</w:t>
      </w:r>
    </w:p>
    <w:p>
      <w:pPr>
        <w:spacing w:after="0"/>
        <w:ind w:left="0"/>
        <w:jc w:val="both"/>
      </w:pPr>
      <w:r>
        <w:rPr>
          <w:rFonts w:ascii="Times New Roman"/>
          <w:b w:val="false"/>
          <w:i w:val="false"/>
          <w:color w:val="000000"/>
          <w:sz w:val="28"/>
        </w:rPr>
        <w:t>
      Группа удерживает 10% от заработной платы своих сотрудников в качестве отчислений в их пенсионные фонды. В соответствии с законодательством, работники сами несут ответственность за свои пенсионные выплаты, и Группа не имеет ни текущего, ни будущего обязательства по выплатам работникам после их выхода на пенсию.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Социальный налог</w:t>
      </w:r>
    </w:p>
    <w:p>
      <w:pPr>
        <w:spacing w:after="0"/>
        <w:ind w:left="0"/>
        <w:jc w:val="both"/>
      </w:pPr>
      <w:r>
        <w:rPr>
          <w:rFonts w:ascii="Times New Roman"/>
          <w:b w:val="false"/>
          <w:i w:val="false"/>
          <w:color w:val="000000"/>
          <w:sz w:val="28"/>
        </w:rPr>
        <w:t>
      Группа уплачивает социальный налог в соответствии с действующим законодательством Республики Казахстан. Социальный налог относится на расходы по мере начисления.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Пенсионный план с установленным размером выплат</w:t>
      </w:r>
    </w:p>
    <w:p>
      <w:pPr>
        <w:spacing w:after="0"/>
        <w:ind w:left="0"/>
        <w:jc w:val="both"/>
      </w:pPr>
      <w:r>
        <w:rPr>
          <w:rFonts w:ascii="Times New Roman"/>
          <w:b w:val="false"/>
          <w:i w:val="false"/>
          <w:color w:val="000000"/>
          <w:sz w:val="28"/>
        </w:rPr>
        <w:t>
      В соответствии с коллективными договорами, заключенными с профессиональными союзами, и прочими положениями о вознаграждениях Группа выплачивает определенные вознаграждения своим работникам по окончании трудовой деятельности ("Пенсионный план с установленным размером выплат").</w:t>
      </w:r>
    </w:p>
    <w:p>
      <w:pPr>
        <w:spacing w:after="0"/>
        <w:ind w:left="0"/>
        <w:jc w:val="both"/>
      </w:pPr>
      <w:r>
        <w:rPr>
          <w:rFonts w:ascii="Times New Roman"/>
          <w:b w:val="false"/>
          <w:i w:val="false"/>
          <w:color w:val="000000"/>
          <w:sz w:val="28"/>
        </w:rPr>
        <w:t xml:space="preserve">
      Группа признает актуарные доходы и убытки, возникающие от переоценки обязательств по выплате вознаграждения работникам в том периоде, когда они выявлены в составе прибылей и убытков, и признает расходы по вознаграждению и обязательства согласно оценке, определенной МСБУ 19 "Вознаграждения работникам". </w:t>
      </w:r>
    </w:p>
    <w:p>
      <w:pPr>
        <w:spacing w:after="0"/>
        <w:ind w:left="0"/>
        <w:jc w:val="both"/>
      </w:pPr>
      <w:r>
        <w:rPr>
          <w:rFonts w:ascii="Times New Roman"/>
          <w:b w:val="false"/>
          <w:i w:val="false"/>
          <w:color w:val="000000"/>
          <w:sz w:val="28"/>
        </w:rPr>
        <w:t>
      Обязательства и расходы по вознаграждению согласно пенсионному плану с установленным размером выплат определяются с помощью метода прогнозируемой условной единицы. Этот метод рассматривает каждый проработанный год как повышающий на дополнительную единицу права на получение вознаграждения, и измеряет каждую единицу отдельно для отражения итогового обязательства. Расходы по предоставлению вознаграждений отражаются в прибылях и убытках с тем, чтобы распределить итоговые вознаграждения в течение рабочего стажа работников согласно формуле вознаграждения по Пенсионному плану с установленным размером выплат. Это обязательство измеряется по текущей стоимости расчетного будущего движения денег с применением ставки дисконта, сходной со ставкой вознаграждения по государственным облигациям, валюта и условия по которым сопоставимы с валютой и оцененными условиями обязательств по Пенсионному плану с установленным размером выплат.</w:t>
      </w:r>
    </w:p>
    <w:p>
      <w:pPr>
        <w:spacing w:after="0"/>
        <w:ind w:left="0"/>
        <w:jc w:val="both"/>
      </w:pPr>
      <w:r>
        <w:rPr>
          <w:rFonts w:ascii="Times New Roman"/>
          <w:b w:val="false"/>
          <w:i w:val="false"/>
          <w:color w:val="000000"/>
          <w:sz w:val="28"/>
        </w:rPr>
        <w:t>
      Пенсионный план с установленным размером выплат является нефинансируемым.</w:t>
      </w:r>
    </w:p>
    <w:bookmarkStart w:name="z128" w:id="128"/>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w:t>
      </w:r>
    </w:p>
    <w:bookmarkEnd w:id="128"/>
    <w:p>
      <w:pPr>
        <w:spacing w:after="0"/>
        <w:ind w:left="0"/>
        <w:jc w:val="both"/>
      </w:pPr>
      <w:r>
        <w:rPr>
          <w:rFonts w:ascii="Times New Roman"/>
          <w:b w:val="false"/>
          <w:i w:val="false"/>
          <w:color w:val="000000"/>
          <w:sz w:val="28"/>
        </w:rPr>
        <w:t xml:space="preserve">
      </w:t>
      </w:r>
      <w:r>
        <w:rPr>
          <w:rFonts w:ascii="Times New Roman"/>
          <w:b w:val="false"/>
          <w:i/>
          <w:color w:val="000000"/>
          <w:sz w:val="28"/>
        </w:rPr>
        <w:t>Уставный капитал</w:t>
      </w:r>
    </w:p>
    <w:p>
      <w:pPr>
        <w:spacing w:after="0"/>
        <w:ind w:left="0"/>
        <w:jc w:val="both"/>
      </w:pPr>
      <w:r>
        <w:rPr>
          <w:rFonts w:ascii="Times New Roman"/>
          <w:b w:val="false"/>
          <w:i w:val="false"/>
          <w:color w:val="000000"/>
          <w:sz w:val="28"/>
        </w:rPr>
        <w:t>
      Простые акции классифицируются как капитал. Внешние затраты, напрямую относящиеся к выпуску новых акций, помимо случаев объединения организаций, показаны как вычет из суммы поступлений капитала. Любое превышение справедливой стоимости полученных средств над номинальной стоимостью выпущенных акций признается как увеличение нераспределенного дохода.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Неконтрольная доля участия</w:t>
      </w:r>
    </w:p>
    <w:p>
      <w:pPr>
        <w:spacing w:after="0"/>
        <w:ind w:left="0"/>
        <w:jc w:val="both"/>
      </w:pPr>
      <w:r>
        <w:rPr>
          <w:rFonts w:ascii="Times New Roman"/>
          <w:b w:val="false"/>
          <w:i w:val="false"/>
          <w:color w:val="000000"/>
          <w:sz w:val="28"/>
        </w:rPr>
        <w:t>
      Неконтрольные доли участия представлены в консолидированном бухгалтерском балансе в составе собственного капитала отдельно от капитала, относящегося к Акционеру. Убытки дочерней компании относятся на неконтрольную долю участия даже в том случае, если это приводит к отрицательному сальдо.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w:t>
      </w:r>
    </w:p>
    <w:p>
      <w:pPr>
        <w:spacing w:after="0"/>
        <w:ind w:left="0"/>
        <w:jc w:val="both"/>
      </w:pPr>
      <w:r>
        <w:rPr>
          <w:rFonts w:ascii="Times New Roman"/>
          <w:b w:val="false"/>
          <w:i w:val="false"/>
          <w:color w:val="000000"/>
          <w:sz w:val="28"/>
        </w:rPr>
        <w:t>
      Дивиденды признаются как обязательства и вычитаются из суммы капитала на отчетную дату только в том случае, если они были объявлены до отчетной даты включительно. Информация о дивидендах раскрывается в консолидированной финансовой отчетности, если они были рекомендованы до отчетной даты, а также рекомендованы или объявлены после отчетной даты, но до даты утверждения консолидированной финансовой отчетности к выпуску.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Выплаты, основанные на акциях</w:t>
      </w:r>
    </w:p>
    <w:p>
      <w:pPr>
        <w:spacing w:after="0"/>
        <w:ind w:left="0"/>
        <w:jc w:val="both"/>
      </w:pPr>
      <w:r>
        <w:rPr>
          <w:rFonts w:ascii="Times New Roman"/>
          <w:b w:val="false"/>
          <w:i w:val="false"/>
          <w:color w:val="000000"/>
          <w:sz w:val="28"/>
        </w:rPr>
        <w:t>
      Работники Группы получают вознаграждение в форме выплат, основанных на операциях по долевым инструментам. Работники предоставляют услуги, за которые они получают вознаграждение долевыми инструментами дочерней организации, в которой они работают ("сделки, расчеты по которым осуществляются долевыми инструментами").</w:t>
      </w:r>
    </w:p>
    <w:p>
      <w:pPr>
        <w:spacing w:after="0"/>
        <w:ind w:left="0"/>
        <w:jc w:val="both"/>
      </w:pPr>
      <w:r>
        <w:rPr>
          <w:rFonts w:ascii="Times New Roman"/>
          <w:b w:val="false"/>
          <w:i w:val="false"/>
          <w:color w:val="000000"/>
          <w:sz w:val="28"/>
        </w:rPr>
        <w:t>
      Стоимость сделок с работниками, расчеты по которым осуществляются долевыми инструментами, оценивается, исходя из справедливой стоимости таких инструментов на дату предоставления вознаграждения. Справедливая стоимость определяется при помощи соответствующей модели оценки.</w:t>
      </w:r>
    </w:p>
    <w:p>
      <w:pPr>
        <w:spacing w:after="0"/>
        <w:ind w:left="0"/>
        <w:jc w:val="both"/>
      </w:pPr>
      <w:r>
        <w:rPr>
          <w:rFonts w:ascii="Times New Roman"/>
          <w:b w:val="false"/>
          <w:i w:val="false"/>
          <w:color w:val="000000"/>
          <w:sz w:val="28"/>
        </w:rPr>
        <w:t>
      Расходы по операциям по выплатам на основе долевых инструментов признаются одновременно с соответствующим увеличением в резервах по прочему капиталу в течение периода, в котором выполняются условия достижения результатов деятельности и/или условия выслуги определенного срока, и заканчивающегося на дату, когда работники получают полное право на вознаграждение (дата перехода права на получение вознаграждения). Совокупные расходы по данным сделкам признаются на каждую отчетную дату до погашения обязательства пропорционально истекшему периоду на основании оптимальной оценки Группы в отношении количества долевых инструментов, которые будут переданы в качестве вознаграждения. Расход или доход в консолидированном отчете о совокупном доходе за период представляет собой изменение суммарного расхода, признанного на начало и конец периода.</w:t>
      </w:r>
    </w:p>
    <w:p>
      <w:pPr>
        <w:spacing w:after="0"/>
        <w:ind w:left="0"/>
        <w:jc w:val="both"/>
      </w:pPr>
      <w:r>
        <w:rPr>
          <w:rFonts w:ascii="Times New Roman"/>
          <w:b w:val="false"/>
          <w:i w:val="false"/>
          <w:color w:val="000000"/>
          <w:sz w:val="28"/>
        </w:rPr>
        <w:t xml:space="preserve">
      По вознаграждению долевыми инструментами, право на которое окончательно не переходит сотрудникам, расход не признается. </w:t>
      </w:r>
    </w:p>
    <w:p>
      <w:pPr>
        <w:spacing w:after="0"/>
        <w:ind w:left="0"/>
        <w:jc w:val="both"/>
      </w:pPr>
      <w:r>
        <w:rPr>
          <w:rFonts w:ascii="Times New Roman"/>
          <w:b w:val="false"/>
          <w:i w:val="false"/>
          <w:color w:val="000000"/>
          <w:sz w:val="28"/>
        </w:rPr>
        <w:t>
      Если условия вознаграждения, выплачиваемого долевыми инструментами, изменены, расход признается, как минимум, в том размере, как если бы условия не были изменены. Кроме того, признается дополнительный расход по изменению, которое увеличивает общую справедливую стоимость вознаграждения долевыми инструментами, либо которое иным образом выгодно для работника, согласно оценке, произведенной на дату такого изменения.</w:t>
      </w:r>
    </w:p>
    <w:p>
      <w:pPr>
        <w:spacing w:after="0"/>
        <w:ind w:left="0"/>
        <w:jc w:val="both"/>
      </w:pPr>
      <w:r>
        <w:rPr>
          <w:rFonts w:ascii="Times New Roman"/>
          <w:b w:val="false"/>
          <w:i w:val="false"/>
          <w:color w:val="000000"/>
          <w:sz w:val="28"/>
        </w:rPr>
        <w:t>
      Если вознаграждение, выплачиваемое долевыми инструментами, аннулируется, оно учитывается, как если бы право на него перешло на дату аннулирования. При этом все расходы, еще не признанные, признаются немедленно. Однако если аннулированное вознаграждение замещается новым, и новое вознаграждение рассматривается как замещение аннулированного вознаграждения на дату его предоставления, аннулированное и новое вознаграждение учитываются так, как если бы произошло изменение первоначального вознаграждения, как описано в предыдущем абзаце.</w:t>
      </w:r>
    </w:p>
    <w:bookmarkStart w:name="z129" w:id="129"/>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Признание выручки</w:t>
      </w:r>
    </w:p>
    <w:bookmarkEnd w:id="129"/>
    <w:p>
      <w:pPr>
        <w:spacing w:after="0"/>
        <w:ind w:left="0"/>
        <w:jc w:val="both"/>
      </w:pPr>
      <w:r>
        <w:rPr>
          <w:rFonts w:ascii="Times New Roman"/>
          <w:b w:val="false"/>
          <w:i w:val="false"/>
          <w:color w:val="000000"/>
          <w:sz w:val="28"/>
        </w:rPr>
        <w:t>
      Выручка признается, если существует вероятность того, что Группа получит экономические выгоды, и если выручка может быть надежно оценена.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Продажа товаров</w:t>
      </w:r>
    </w:p>
    <w:p>
      <w:pPr>
        <w:spacing w:after="0"/>
        <w:ind w:left="0"/>
        <w:jc w:val="both"/>
      </w:pPr>
      <w:r>
        <w:rPr>
          <w:rFonts w:ascii="Times New Roman"/>
          <w:b w:val="false"/>
          <w:i w:val="false"/>
          <w:color w:val="000000"/>
          <w:sz w:val="28"/>
        </w:rPr>
        <w:t xml:space="preserve">
      Доходы от реализации сырой нефти, нефтепродуктов, газа, урановой продукции и прочих товаров признаются тогда, когда произошла поставка товара, и риски и право собственности были переданы покупателю.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Предоставление услуг</w:t>
      </w:r>
    </w:p>
    <w:p>
      <w:pPr>
        <w:spacing w:after="0"/>
        <w:ind w:left="0"/>
        <w:jc w:val="both"/>
      </w:pPr>
      <w:r>
        <w:rPr>
          <w:rFonts w:ascii="Times New Roman"/>
          <w:b w:val="false"/>
          <w:i w:val="false"/>
          <w:color w:val="000000"/>
          <w:sz w:val="28"/>
        </w:rPr>
        <w:t>
      Доходы от предоставления услуг признаются в момент оказания услуг.</w:t>
      </w:r>
    </w:p>
    <w:p>
      <w:pPr>
        <w:spacing w:after="0"/>
        <w:ind w:left="0"/>
        <w:jc w:val="both"/>
      </w:pPr>
      <w:r>
        <w:rPr>
          <w:rFonts w:ascii="Times New Roman"/>
          <w:b w:val="false"/>
          <w:i w:val="false"/>
          <w:color w:val="000000"/>
          <w:sz w:val="28"/>
        </w:rPr>
        <w:t>
      В отношении услуг, относящихся к перевозке, доход признается по степени завершения транспортировки на отчетную дату, при условии, что степень завершения и сумма дохода могут быть определены достаточно точно. Суммы предоплаты, полученной от заказчиков за еще не оказанные транспортные услуги, отражаются в составе авансов, полученных от заказчиков, на момент получения. Авансы, полученные от заказчиков, приблизительно равные ожидаемому расчетному доходу от уже оказываемых услуг, переносятся в доходы будущих периодов в составе прочих текущих обязательств в консолидированном бухгалтерском балансе. Доходы будущих периодов относятся на доходы по мере оказания услуг.</w:t>
      </w:r>
    </w:p>
    <w:p>
      <w:pPr>
        <w:spacing w:after="0"/>
        <w:ind w:left="0"/>
        <w:jc w:val="both"/>
      </w:pPr>
      <w:r>
        <w:rPr>
          <w:rFonts w:ascii="Times New Roman"/>
          <w:b w:val="false"/>
          <w:i w:val="false"/>
          <w:color w:val="000000"/>
          <w:sz w:val="28"/>
        </w:rPr>
        <w:t>
      Реализация авиабилетов, по которой покупатели получают дополнительные баллы по программе лояльности клиентов, учитываются как множественный элемент доходных операций по их справедливой стоимости, соотнесенной между указанными услугами и предполагаемой наградой. Предполагаемая награда оценивается по справедливой стоимости – стоимости отдельной продажи данной награды. Данная оценка не признается доходом на момент продажи товара / оказания услуги, а отражается как доход будущего периода, и признается доходом, когда данная награда использована, и обязательства Группы полностью выполнены.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Установление тарифов</w:t>
      </w:r>
    </w:p>
    <w:p>
      <w:pPr>
        <w:spacing w:after="0"/>
        <w:ind w:left="0"/>
        <w:jc w:val="both"/>
      </w:pPr>
      <w:r>
        <w:rPr>
          <w:rFonts w:ascii="Times New Roman"/>
          <w:b w:val="false"/>
          <w:i w:val="false"/>
          <w:color w:val="000000"/>
          <w:sz w:val="28"/>
        </w:rPr>
        <w:t xml:space="preserve">
      Ряд дочерних организаций Группы являются объектами регулирования со стороны Агентства по регулированию естественных монополий Республики Казахстан (далее по тексту "АРЕМ"). АРЕМ отвечает за утверждение методики расчета тарифов и тарифных ставок, на основании которых дочерние организации получают существенную часть своих доходов. </w:t>
      </w:r>
    </w:p>
    <w:bookmarkStart w:name="z130" w:id="130"/>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Государственные субсидии</w:t>
      </w:r>
    </w:p>
    <w:bookmarkEnd w:id="130"/>
    <w:p>
      <w:pPr>
        <w:spacing w:after="0"/>
        <w:ind w:left="0"/>
        <w:jc w:val="both"/>
      </w:pPr>
      <w:r>
        <w:rPr>
          <w:rFonts w:ascii="Times New Roman"/>
          <w:b w:val="false"/>
          <w:i w:val="false"/>
          <w:color w:val="000000"/>
          <w:sz w:val="28"/>
        </w:rPr>
        <w:t xml:space="preserve">
      В связи с тем, что Правительство Республики Казахстан является единственным акционером Фонда, Группа анализирует все транзакции с Правительством, оценивая в каких случаях Правительство действует главным образом в качестве Акционера. Если определено, что при конкретной транзакции Правительство действует в качестве акционера, любые прибыли или убытки, понесенные Группой в результате такой транзакции, признаются напрямую в капитале как взнос или изъятие капитала Акционера. </w:t>
      </w:r>
    </w:p>
    <w:p>
      <w:pPr>
        <w:spacing w:after="0"/>
        <w:ind w:left="0"/>
        <w:jc w:val="both"/>
      </w:pPr>
      <w:r>
        <w:rPr>
          <w:rFonts w:ascii="Times New Roman"/>
          <w:b w:val="false"/>
          <w:i w:val="false"/>
          <w:color w:val="000000"/>
          <w:sz w:val="28"/>
        </w:rPr>
        <w:t>
      Если же специфическая транзакция Правительства не определяется как действие в качестве Акционера, такие транзакции учитываются в соответствии с положениями МСБУ 20 "Учет государственных субсидий и раскрытие информации о государственной помощи". В таких случаях, государственные субсидии признаются по их справедливой стоимости, когда есть разумная уверенность в том, что субсидии будут получены и все необходимые условия, связанные с ними, будут выполнены. В случае если субсидия относится к статье расхода, она признается в качестве дохода за период, необходимый для соотнесения с соответствующими расходами, которые она должна компенсировать, на систематической основе. Тогда, когда субсидия относится к активу, справедливая стоимость кредитуется на счет отсроченного дохода и отражается в консолидированном отчете о совокупном доходе в течение ожидаемого срока полезного использования соответствующего актива ежегодно равномерными частями. Субсидии, относящиеся к доходу, представлены отдельно в консолидированном отчете о совокупном доходе, в составе доходов от операционной деятельности.</w:t>
      </w:r>
    </w:p>
    <w:bookmarkStart w:name="z131" w:id="131"/>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Признание расходов</w:t>
      </w:r>
    </w:p>
    <w:bookmarkEnd w:id="131"/>
    <w:p>
      <w:pPr>
        <w:spacing w:after="0"/>
        <w:ind w:left="0"/>
        <w:jc w:val="both"/>
      </w:pPr>
      <w:r>
        <w:rPr>
          <w:rFonts w:ascii="Times New Roman"/>
          <w:b w:val="false"/>
          <w:i w:val="false"/>
          <w:color w:val="000000"/>
          <w:sz w:val="28"/>
        </w:rPr>
        <w:t>
      Расходы признаются по мере возникновения и отражаются в консолидированной финансовой отчетности в том периоде, к которому они относятся на основе метода начисления.</w:t>
      </w:r>
    </w:p>
    <w:bookmarkStart w:name="z132" w:id="132"/>
    <w:p>
      <w:pPr>
        <w:spacing w:after="0"/>
        <w:ind w:left="0"/>
        <w:jc w:val="both"/>
      </w:pPr>
      <w:r>
        <w:rPr>
          <w:rFonts w:ascii="Times New Roman"/>
          <w:b w:val="false"/>
          <w:i w:val="false"/>
          <w:color w:val="000000"/>
          <w:sz w:val="28"/>
        </w:rPr>
        <w:t xml:space="preserve">
      </w:t>
      </w:r>
      <w:r>
        <w:rPr>
          <w:rFonts w:ascii="Times New Roman"/>
          <w:b/>
          <w:i w:val="false"/>
          <w:color w:val="000000"/>
          <w:sz w:val="28"/>
        </w:rPr>
        <w:t>Подоходный налог</w:t>
      </w:r>
    </w:p>
    <w:bookmarkEnd w:id="132"/>
    <w:p>
      <w:pPr>
        <w:spacing w:after="0"/>
        <w:ind w:left="0"/>
        <w:jc w:val="both"/>
      </w:pPr>
      <w:r>
        <w:rPr>
          <w:rFonts w:ascii="Times New Roman"/>
          <w:b w:val="false"/>
          <w:i w:val="false"/>
          <w:color w:val="000000"/>
          <w:sz w:val="28"/>
        </w:rPr>
        <w:t xml:space="preserve">
      Подоходный налог за год включает текущий и отсроченный налог. Подоходный налог отражается в прибылях и убытках, за исключением тех сумм, которые относятся к статьям, отражаемым в прочем совокупном доходе или капитале, в этом случае он признается в прочем совокупном доходе или капитале, соответственно. Текущие расходы по налогу – это ожидаемый налог к уплате по налогооблагаемому доходу за год и любые корректировки в отношении налога к уплате в отношении предыдущих лет. </w:t>
      </w:r>
    </w:p>
    <w:p>
      <w:pPr>
        <w:spacing w:after="0"/>
        <w:ind w:left="0"/>
        <w:jc w:val="both"/>
      </w:pPr>
      <w:r>
        <w:rPr>
          <w:rFonts w:ascii="Times New Roman"/>
          <w:b w:val="false"/>
          <w:i w:val="false"/>
          <w:color w:val="000000"/>
          <w:sz w:val="28"/>
        </w:rPr>
        <w:t>
      Налог на сверхприбыль рассматривается как подоходный налог и образует часть расходов по подоходному налогу. В соответствии с контрактами на недропользование, Группа начисляет и уплачивает налог на сверхприбыль по указанным ставкам от суммы прибыли после налогообложения, которая подлежит корректировке, на сумму определенных вычетов в соответствие с применяемым контрактом на недропользование, при внутренней норме прибыли, превышающей определенные значения.</w:t>
      </w:r>
    </w:p>
    <w:p>
      <w:pPr>
        <w:spacing w:after="0"/>
        <w:ind w:left="0"/>
        <w:jc w:val="both"/>
      </w:pPr>
      <w:r>
        <w:rPr>
          <w:rFonts w:ascii="Times New Roman"/>
          <w:b w:val="false"/>
          <w:i w:val="false"/>
          <w:color w:val="000000"/>
          <w:sz w:val="28"/>
        </w:rPr>
        <w:t>
      Внутренняя норма прибыли рассчитывается на основе денежных потоков по каждому контракту на недропользование и корректируется на национальный уровень инфляции. Отсроченный налог рассчитывается как для корпоративного подоходного налога, так и для налога на сверхприбыль. Отсроченный налог на сверхприбыль рассчитывается по временным разницам для активов, отнесенным к контрактам на недропользование, по ожидаемой ставке налога на сверхприбыль, подлежащей уплате по контракту.</w:t>
      </w:r>
    </w:p>
    <w:p>
      <w:pPr>
        <w:spacing w:after="0"/>
        <w:ind w:left="0"/>
        <w:jc w:val="both"/>
      </w:pPr>
      <w:r>
        <w:rPr>
          <w:rFonts w:ascii="Times New Roman"/>
          <w:b w:val="false"/>
          <w:i w:val="false"/>
          <w:color w:val="000000"/>
          <w:sz w:val="28"/>
        </w:rPr>
        <w:t>
      Отсроченный налог учитывается по методу обязательств по балансу по временным разницам между балансовой стоимостью активов и обязательств для целей финансовой отчетности и суммами, использованными для целей налогообложения. Не признаются следующие временные разницы:</w:t>
      </w:r>
    </w:p>
    <w:p>
      <w:pPr>
        <w:spacing w:after="0"/>
        <w:ind w:left="0"/>
        <w:jc w:val="both"/>
      </w:pPr>
      <w:r>
        <w:rPr>
          <w:rFonts w:ascii="Times New Roman"/>
          <w:b w:val="false"/>
          <w:i w:val="false"/>
          <w:color w:val="000000"/>
          <w:sz w:val="28"/>
        </w:rPr>
        <w:t>
      - первоначальное признание актива или обязательства в сделке, которая не является объединением компаний и, на момент сделки, не оказывает влияние ни на бухгалтерский доход, ни на налогооблагаемый доход или убыток; и</w:t>
      </w:r>
    </w:p>
    <w:p>
      <w:pPr>
        <w:spacing w:after="0"/>
        <w:ind w:left="0"/>
        <w:jc w:val="both"/>
      </w:pPr>
      <w:r>
        <w:rPr>
          <w:rFonts w:ascii="Times New Roman"/>
          <w:b w:val="false"/>
          <w:i w:val="false"/>
          <w:color w:val="000000"/>
          <w:sz w:val="28"/>
        </w:rPr>
        <w:t>
      - в отношении налогооблагаемых временных разниц, связанных с инвестициями в дочерние компании, ассоциированные компании, а также с долями участия в совместной деятельности, если можно контролировать распределение во времени уменьшения временной разницы, и существует значительная вероятность того, что временная разница не будет уменьшена в обозримом будущем.</w:t>
      </w:r>
    </w:p>
    <w:p>
      <w:pPr>
        <w:spacing w:after="0"/>
        <w:ind w:left="0"/>
        <w:jc w:val="both"/>
      </w:pPr>
      <w:r>
        <w:rPr>
          <w:rFonts w:ascii="Times New Roman"/>
          <w:b w:val="false"/>
          <w:i w:val="false"/>
          <w:color w:val="000000"/>
          <w:sz w:val="28"/>
        </w:rPr>
        <w:t>
      Отсроченные активы и обязательства по подоходному налогу рассчитываются по налоговым ставкам, которые применимы к периоду, когда получен актив или оплачено обязательство, основываясь на налоговых ставках (и налоговом законодательстве), которые действовали или практически были введены в действие на отчетную дату.</w:t>
      </w:r>
    </w:p>
    <w:p>
      <w:pPr>
        <w:spacing w:after="0"/>
        <w:ind w:left="0"/>
        <w:jc w:val="both"/>
      </w:pPr>
      <w:r>
        <w:rPr>
          <w:rFonts w:ascii="Times New Roman"/>
          <w:b w:val="false"/>
          <w:i w:val="false"/>
          <w:color w:val="000000"/>
          <w:sz w:val="28"/>
        </w:rPr>
        <w:t>
      Отсроченный налоговый актив признается только в том объеме, в котором существует вероятность получения налогооблагаемой прибыли, в счет которой актив может быть реализован. Отсроченные активы по подоходному налогу уменьшаются в том объеме, в котором более не существует вероятности реализации соответствующей налоговой льготы.</w:t>
      </w:r>
    </w:p>
    <w:bookmarkStart w:name="z133" w:id="133"/>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 на добавленную стоимость (НДС)</w:t>
      </w:r>
    </w:p>
    <w:bookmarkEnd w:id="133"/>
    <w:p>
      <w:pPr>
        <w:spacing w:after="0"/>
        <w:ind w:left="0"/>
        <w:jc w:val="both"/>
      </w:pPr>
      <w:r>
        <w:rPr>
          <w:rFonts w:ascii="Times New Roman"/>
          <w:b w:val="false"/>
          <w:i w:val="false"/>
          <w:color w:val="000000"/>
          <w:sz w:val="28"/>
        </w:rPr>
        <w:t>
      Налоговые органы позволяют производить погашение НДС по продажам и приобретениям на нетто основе. НДС к возмещению представляет собой НДС по приобретениям на внутреннем рынке, за вычетом НДС по продажам на внутреннем рынке. Продажи на экспорт имеют нулевую ставку.</w:t>
      </w:r>
    </w:p>
    <w:bookmarkStart w:name="z134" w:id="134"/>
    <w:p>
      <w:pPr>
        <w:spacing w:after="0"/>
        <w:ind w:left="0"/>
        <w:jc w:val="both"/>
      </w:pPr>
      <w:r>
        <w:rPr>
          <w:rFonts w:ascii="Times New Roman"/>
          <w:b w:val="false"/>
          <w:i w:val="false"/>
          <w:color w:val="000000"/>
          <w:sz w:val="28"/>
        </w:rPr>
        <w:t xml:space="preserve">
      </w:t>
      </w:r>
      <w:r>
        <w:rPr>
          <w:rFonts w:ascii="Times New Roman"/>
          <w:b/>
          <w:i w:val="false"/>
          <w:color w:val="000000"/>
          <w:sz w:val="28"/>
        </w:rPr>
        <w:t>Связанные стороны</w:t>
      </w:r>
    </w:p>
    <w:bookmarkEnd w:id="134"/>
    <w:p>
      <w:pPr>
        <w:spacing w:after="0"/>
        <w:ind w:left="0"/>
        <w:jc w:val="both"/>
      </w:pPr>
      <w:r>
        <w:rPr>
          <w:rFonts w:ascii="Times New Roman"/>
          <w:b w:val="false"/>
          <w:i w:val="false"/>
          <w:color w:val="000000"/>
          <w:sz w:val="28"/>
        </w:rPr>
        <w:t>
      Связанные стороны включают акционера Группы, ключевой управленческий персонал, ассоциированные организации и организации, в которых значительная доля голосующих акций прямо или косвенно принадлежит акционерам или ключевому управленческому персоналу Группы.</w:t>
      </w:r>
    </w:p>
    <w:bookmarkStart w:name="z135" w:id="135"/>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Условные обязательства и условные активы</w:t>
      </w:r>
    </w:p>
    <w:bookmarkEnd w:id="135"/>
    <w:p>
      <w:pPr>
        <w:spacing w:after="0"/>
        <w:ind w:left="0"/>
        <w:jc w:val="both"/>
      </w:pPr>
      <w:r>
        <w:rPr>
          <w:rFonts w:ascii="Times New Roman"/>
          <w:b w:val="false"/>
          <w:i w:val="false"/>
          <w:color w:val="000000"/>
          <w:sz w:val="28"/>
        </w:rPr>
        <w:t>
      Условные обязательства не признаются в консолидированной финансовой отчетности. Данные о таких обязательствах раскрываются в примечаниях к консолидированной финансовой отчетности (Примечание 40) за исключением случаев, когда отток ресурсов, составляющих экономические выгоды, является маловероятным.</w:t>
      </w:r>
    </w:p>
    <w:p>
      <w:pPr>
        <w:spacing w:after="0"/>
        <w:ind w:left="0"/>
        <w:jc w:val="both"/>
      </w:pPr>
      <w:r>
        <w:rPr>
          <w:rFonts w:ascii="Times New Roman"/>
          <w:b w:val="false"/>
          <w:i w:val="false"/>
          <w:color w:val="000000"/>
          <w:sz w:val="28"/>
        </w:rPr>
        <w:t>
      Условные активы не отражаются в консолидированной финансовой отчетности. В случае если существует достаточная вероятность получения экономических выгод, связанных с такими активами, данные об указанных активах раскрываются в примечаниях.</w:t>
      </w:r>
    </w:p>
    <w:bookmarkStart w:name="z136" w:id="136"/>
    <w:p>
      <w:pPr>
        <w:spacing w:after="0"/>
        <w:ind w:left="0"/>
        <w:jc w:val="both"/>
      </w:pPr>
      <w:r>
        <w:rPr>
          <w:rFonts w:ascii="Times New Roman"/>
          <w:b w:val="false"/>
          <w:i w:val="false"/>
          <w:color w:val="000000"/>
          <w:sz w:val="28"/>
        </w:rPr>
        <w:t xml:space="preserve">
      </w:t>
      </w:r>
      <w:r>
        <w:rPr>
          <w:rFonts w:ascii="Times New Roman"/>
          <w:b/>
          <w:i w:val="false"/>
          <w:color w:val="000000"/>
          <w:sz w:val="28"/>
        </w:rPr>
        <w:t>Последующие события</w:t>
      </w:r>
    </w:p>
    <w:bookmarkEnd w:id="136"/>
    <w:p>
      <w:pPr>
        <w:spacing w:after="0"/>
        <w:ind w:left="0"/>
        <w:jc w:val="both"/>
      </w:pPr>
      <w:r>
        <w:rPr>
          <w:rFonts w:ascii="Times New Roman"/>
          <w:b w:val="false"/>
          <w:i w:val="false"/>
          <w:color w:val="000000"/>
          <w:sz w:val="28"/>
        </w:rPr>
        <w:t>
      События, наступившие по окончании отчетного года и содержащие дополнительную информацию о финансовом положении Группы на отчетную дату (корректирующие события), отражаются в консолидированной финансовой отчетности. События, наступившие по окончании отчетного года и не являющиеся корректирующими событиями, раскрываются в примечаниях к консолидированной финансовой отчетности, если они являются существенными.</w:t>
      </w:r>
    </w:p>
    <w:bookmarkStart w:name="z137" w:id="137"/>
    <w:p>
      <w:pPr>
        <w:spacing w:after="0"/>
        <w:ind w:left="0"/>
        <w:jc w:val="both"/>
      </w:pPr>
      <w:r>
        <w:rPr>
          <w:rFonts w:ascii="Times New Roman"/>
          <w:b w:val="false"/>
          <w:i w:val="false"/>
          <w:color w:val="000000"/>
          <w:sz w:val="28"/>
        </w:rPr>
        <w:t xml:space="preserve">
      </w:t>
      </w:r>
      <w:r>
        <w:rPr>
          <w:rFonts w:ascii="Times New Roman"/>
          <w:b/>
          <w:i w:val="false"/>
          <w:color w:val="000000"/>
          <w:sz w:val="28"/>
        </w:rPr>
        <w:t>4. СУЩЕСТВЕННЫЕ БУХГАЛТЕРСКИЕ ОЦЕНКИ И СУЖДЕНИЯ</w:t>
      </w:r>
    </w:p>
    <w:bookmarkEnd w:id="137"/>
    <w:p>
      <w:pPr>
        <w:spacing w:after="0"/>
        <w:ind w:left="0"/>
        <w:jc w:val="both"/>
      </w:pPr>
      <w:r>
        <w:rPr>
          <w:rFonts w:ascii="Times New Roman"/>
          <w:b w:val="false"/>
          <w:i w:val="false"/>
          <w:color w:val="000000"/>
          <w:sz w:val="28"/>
        </w:rPr>
        <w:t>
      Подготовка консолидированной финансовой отчетности в соответствие с МСФО требует от руководства использования оценок и допущений, которые влияют на отраженные в отчетности активы, обязательства и условные активы и обязательства на отчетную дату, а также отраженные в отчетности активы, обязательства, доходы, расходы и условные активы и обязательства за отчетный период. Фактические результаты могут отличаться от этих оценок.</w:t>
      </w:r>
    </w:p>
    <w:p>
      <w:pPr>
        <w:spacing w:after="0"/>
        <w:ind w:left="0"/>
        <w:jc w:val="both"/>
      </w:pPr>
      <w:r>
        <w:rPr>
          <w:rFonts w:ascii="Times New Roman"/>
          <w:b w:val="false"/>
          <w:i w:val="false"/>
          <w:color w:val="000000"/>
          <w:sz w:val="28"/>
        </w:rPr>
        <w:t>
      Основные допущения о будущем и прочие основные источники неопределенности в оценках на отчетную дату, которые могут послужить причиной существенных корректировок балансовой стоимости активов и обязательств в течение следующего финансового года, рассматриваются ниже:</w:t>
      </w:r>
    </w:p>
    <w:bookmarkStart w:name="z138" w:id="138"/>
    <w:p>
      <w:pPr>
        <w:spacing w:after="0"/>
        <w:ind w:left="0"/>
        <w:jc w:val="both"/>
      </w:pPr>
      <w:r>
        <w:rPr>
          <w:rFonts w:ascii="Times New Roman"/>
          <w:b w:val="false"/>
          <w:i w:val="false"/>
          <w:color w:val="000000"/>
          <w:sz w:val="28"/>
        </w:rPr>
        <w:t xml:space="preserve">
      </w:t>
      </w:r>
      <w:r>
        <w:rPr>
          <w:rFonts w:ascii="Times New Roman"/>
          <w:b/>
          <w:i w:val="false"/>
          <w:color w:val="000000"/>
          <w:sz w:val="28"/>
        </w:rPr>
        <w:t>Запасы нефти и газа</w:t>
      </w:r>
    </w:p>
    <w:bookmarkEnd w:id="138"/>
    <w:p>
      <w:pPr>
        <w:spacing w:after="0"/>
        <w:ind w:left="0"/>
        <w:jc w:val="both"/>
      </w:pPr>
      <w:r>
        <w:rPr>
          <w:rFonts w:ascii="Times New Roman"/>
          <w:b w:val="false"/>
          <w:i w:val="false"/>
          <w:color w:val="000000"/>
          <w:sz w:val="28"/>
        </w:rPr>
        <w:t>
      Запасы нефти и газа являются существенным фактором в расчетах Группы по износу, истощению и амортизации. Группа оценивает свои запасы нефти и газа в соответствии с методикой Общества нефтегазовых инженеров. При оценке запасов по методике Общества нефтегазовых инженеров, Группа использует долгосрочные плановые цены, которые также используются руководством для принятия инвестиционных решений относительно разработки месторождения. Использование плановых цен для оценки доказанных запасов устраняет влияние нестабильности, присущей использованию цен спот на конец года. Руководство считает, что допущения по долгосрочным плановым ценам больше соответствуют долгосрочному характеру деятельности по добыче и предоставляют наиболее подходящую основу для оценки запасов нефти и газа.</w:t>
      </w:r>
    </w:p>
    <w:p>
      <w:pPr>
        <w:spacing w:after="0"/>
        <w:ind w:left="0"/>
        <w:jc w:val="both"/>
      </w:pPr>
      <w:r>
        <w:rPr>
          <w:rFonts w:ascii="Times New Roman"/>
          <w:b w:val="false"/>
          <w:i w:val="false"/>
          <w:color w:val="000000"/>
          <w:sz w:val="28"/>
        </w:rPr>
        <w:t xml:space="preserve">
      Все оценки запасов подразумевают некоторую степень неопределенности. Неопределенность в основном зависит от объема надежных геологических и инженерных данных, доступных на момент оценки и интерпретации таких данных. </w:t>
      </w:r>
    </w:p>
    <w:p>
      <w:pPr>
        <w:spacing w:after="0"/>
        <w:ind w:left="0"/>
        <w:jc w:val="both"/>
      </w:pPr>
      <w:r>
        <w:rPr>
          <w:rFonts w:ascii="Times New Roman"/>
          <w:b w:val="false"/>
          <w:i w:val="false"/>
          <w:color w:val="000000"/>
          <w:sz w:val="28"/>
        </w:rPr>
        <w:t xml:space="preserve">
      Относительная степень неопределенности может быть выражена посредством отнесения запасов в одну из двух основных категорий: доказанные или недоказанные запасы. Существует большая определенность в извлечении доказанных запасов в сравнении с недоказанными запасами и доказанные запасы могут быть далее подразделены на разработанные и неразработанные запасы для обозначения прогрессивно возрастающей неопределенности в отношении возможности их извлечения. Ежегодно оценки анализируются и корректируются. Корректировки возникают вследствие оценки или переоценки уже имеющихся геологических данных, промысловых параметров или данных о добыче; наличии новых данных; или изменениях в допущениях по ценам. Оценки запасов также могут быть пересмотрены вследствие действия проектов для повышения отдачи, изменений в производительности пласта или изменений в стратегии разработки. Доказанные разработанные запасы используются для расчета ставок амортизации пропорционально объему добычи для начисления износа, истощения и амортизации. Группа включила в доказанные запасы только такие объемы, которые, как ожидается, будут добыты в течение первоначального периода по контракту на недропользование. </w:t>
      </w:r>
    </w:p>
    <w:p>
      <w:pPr>
        <w:spacing w:after="0"/>
        <w:ind w:left="0"/>
        <w:jc w:val="both"/>
      </w:pPr>
      <w:r>
        <w:rPr>
          <w:rFonts w:ascii="Times New Roman"/>
          <w:b w:val="false"/>
          <w:i w:val="false"/>
          <w:color w:val="000000"/>
          <w:sz w:val="28"/>
        </w:rPr>
        <w:t>
      Это вызвано неопределенностью, относящейся к результату процедуры по продлению, так как продление лицензий, в конечном счете, осуществляется по усмотрению Правительства. Увеличение в периодах по контрактам на недропользование Группы и соответствующее увеличение в указанных размерах запасов обычно приводит к более низким расходам по износу и может оказать существенное влияние на доходы. Снижение в доказанных разработанных запасах приведет к увеличению отчислений на износ, истощение и амортизацию (при постоянном уровне добычи), к снижению дохода и также может привести к прямому снижению балансовой стоимости имущества. При относительно небольшом количестве эксплуатируемых месторождений, существует возможность того, что любые изменения в оценке запасов по сравнению с предыдущим годом, могут оказать существенное влияние на будущие отчисления на износ, истощение и амортизацию.</w:t>
      </w:r>
    </w:p>
    <w:bookmarkStart w:name="z139" w:id="139"/>
    <w:p>
      <w:pPr>
        <w:spacing w:after="0"/>
        <w:ind w:left="0"/>
        <w:jc w:val="both"/>
      </w:pPr>
      <w:r>
        <w:rPr>
          <w:rFonts w:ascii="Times New Roman"/>
          <w:b w:val="false"/>
          <w:i w:val="false"/>
          <w:color w:val="000000"/>
          <w:sz w:val="28"/>
        </w:rPr>
        <w:t xml:space="preserve">
      </w:t>
      </w:r>
      <w:r>
        <w:rPr>
          <w:rFonts w:ascii="Times New Roman"/>
          <w:b/>
          <w:i w:val="false"/>
          <w:color w:val="000000"/>
          <w:sz w:val="28"/>
        </w:rPr>
        <w:t>Запасы урана</w:t>
      </w:r>
    </w:p>
    <w:bookmarkEnd w:id="139"/>
    <w:p>
      <w:pPr>
        <w:spacing w:after="0"/>
        <w:ind w:left="0"/>
        <w:jc w:val="both"/>
      </w:pPr>
      <w:r>
        <w:rPr>
          <w:rFonts w:ascii="Times New Roman"/>
          <w:b w:val="false"/>
          <w:i w:val="false"/>
          <w:color w:val="000000"/>
          <w:sz w:val="28"/>
        </w:rPr>
        <w:t>
      Запасы урана являются основным компонентом оценок прогнозируемого движения денежных средств Группы, которые используются для оценки возмещаемой стоимости соответствующих долгосрочных активов и для определения отчислений по износу и амортизации. При оценке суммы запасов урана Группа получает отчеты от специалистов геологов, которые проводят оценку запасов на основе методики подсчетов, определенной Государственной Комиссией Республики Казахстан по минеральным запасам (ГКЗ), для интерпретации геологических и разведочных данных и определения разведанных запасов (доказанных) и оцененных запасов (вероятных). Оценка запасов основана на экспертных оценках и опыте. Оценка запасов включает некоторую степень неопределенности. Неопределенность в основном связана с полнотой достоверной геологической и технической информации. Кроме того, наличие запасов не означает, что все запасы будут извлечены на экономически эффективной основе. Оценки запасов анализируются и корректируются на ежегодной основе. Количество урана, планируемого к добыче, может пересматриваться в результате осуществления проектов по увеличению добычи, изменений в производственных мощностях или изменений в стратегии разработки. Любые изменения в оценке запасов по сравнению с предыдущим годом могут оказать существенное влияние на будущие отчисления на износ, истощение и амортизацию.</w:t>
      </w:r>
    </w:p>
    <w:bookmarkStart w:name="z140" w:id="140"/>
    <w:p>
      <w:pPr>
        <w:spacing w:after="0"/>
        <w:ind w:left="0"/>
        <w:jc w:val="both"/>
      </w:pPr>
      <w:r>
        <w:rPr>
          <w:rFonts w:ascii="Times New Roman"/>
          <w:b w:val="false"/>
          <w:i w:val="false"/>
          <w:color w:val="000000"/>
          <w:sz w:val="28"/>
        </w:rPr>
        <w:t xml:space="preserve">
      </w:t>
      </w:r>
      <w:r>
        <w:rPr>
          <w:rFonts w:ascii="Times New Roman"/>
          <w:b/>
          <w:i w:val="false"/>
          <w:color w:val="000000"/>
          <w:sz w:val="28"/>
        </w:rPr>
        <w:t>Обесценение нефинансовых активов</w:t>
      </w:r>
    </w:p>
    <w:bookmarkEnd w:id="140"/>
    <w:p>
      <w:pPr>
        <w:spacing w:after="0"/>
        <w:ind w:left="0"/>
        <w:jc w:val="both"/>
      </w:pPr>
      <w:r>
        <w:rPr>
          <w:rFonts w:ascii="Times New Roman"/>
          <w:b w:val="false"/>
          <w:i w:val="false"/>
          <w:color w:val="000000"/>
          <w:sz w:val="28"/>
        </w:rPr>
        <w:t xml:space="preserve">
      Обесценение имеет место, если балансовая стоимость актива или подразделения, генерирующего денежные потоки, превышает его возмещаемую стоимость, которая является наибольшей из следующих величин: справедливая стоимость за вычетом затрат на продажу и ценность от использования. Расчет справедливой стоимости за вычетом затрат на продажу основан на имеющейся информации по имеющим обязательную силу коммерческим сделкам продажи аналогичных активов или на наблюдаемых рыночных ценах за вычетом дополнительных затрат, понесенных в связи с выбытием актива. Расчет ценности от использования основан на модели дисконтированных денежных потоков. Денежные потоки строятся на основании бюджета на следующие 5 (пять) лет и не включают в себя деятельность по реструктуризации, по проведению которой у Группы еще не имеется обязательств, или существенные инвестиции в будущем, которые улучшат результаты активов проверяемого на предмет обесценения подразделения, генерирующего денежные потоки. Возмещаемая стоимость наиболее чувствительна к ставке дисконтирования, используемой в модели дисконтированных денежных потоков, а также к ожидаемым притокам денежных средств и темпам роста, использованным в целях экстраполяции. </w:t>
      </w:r>
    </w:p>
    <w:p>
      <w:pPr>
        <w:spacing w:after="0"/>
        <w:ind w:left="0"/>
        <w:jc w:val="both"/>
      </w:pPr>
      <w:r>
        <w:rPr>
          <w:rFonts w:ascii="Times New Roman"/>
          <w:b w:val="false"/>
          <w:i w:val="false"/>
          <w:color w:val="000000"/>
          <w:sz w:val="28"/>
        </w:rPr>
        <w:t>
      В каждом отчетном периоде Группа оценивает каждый актив или группу активов, генерирующих денежные средства ("генерирующая единица"), для определения наличия индикаторов обесценения. Если такой индикатор существует, проводится надлежащая оценка возмещаемой стоимости, которая рассматривается как более высокое значение из справедливой стоимости за минусом расходов на реализацию и стоимости от использования. Эти расчеты требуют использования оценок и допущений, таких как долгосрочные цены на нефть, уран и металлы (учитывая текущие и исторические цены, тенденции в изменениях цен и сопутствующие факторы), ставки дисконта, операционные затраты, будущая потребность в капитале, затраты на вывод из эксплуатации и эксплуатационные характеристики, резервы и операционная деятельность (что включает объемы добычи и продажи).</w:t>
      </w:r>
    </w:p>
    <w:p>
      <w:pPr>
        <w:spacing w:after="0"/>
        <w:ind w:left="0"/>
        <w:jc w:val="both"/>
      </w:pPr>
      <w:r>
        <w:rPr>
          <w:rFonts w:ascii="Times New Roman"/>
          <w:b w:val="false"/>
          <w:i w:val="false"/>
          <w:color w:val="000000"/>
          <w:sz w:val="28"/>
        </w:rPr>
        <w:t xml:space="preserve">
      Эти оценки и допущения подвержены рискам и неопределенности. Таким образом, существует вероятность того, что изменения в обстоятельствах окажут влияние на эти прогнозы, что может оказать влияние на возмещаемую стоимость активов и/или генерирующей единицы. Справедливая стоимость определяется как сумма, которая может быть получена от продажи актива и/или генерирующей единицы на рыночных условиях в сделке между осведомленными и готовыми совершить такую сделку сторонами. Справедливая стоимость нефтегазовых и горнорудных активов определяется, обычно, как текущая стоимость расчетных будущих денежных потоков, возникающих от продолжающегося использования активов, которая включает такие оценки, как стоимость планов расширения в будущем и потенциальное выбытие, использование допущений, которые может принять во внимание независимый участник рынка. Будущие денежные потоки дисконтируются до приведенной стоимости по ставке дисконтирования, которая отражает текущую рыночную оценку временной стоимости денег и риски, присущие активу. </w:t>
      </w:r>
    </w:p>
    <w:p>
      <w:pPr>
        <w:spacing w:after="0"/>
        <w:ind w:left="0"/>
        <w:jc w:val="both"/>
      </w:pPr>
      <w:r>
        <w:rPr>
          <w:rFonts w:ascii="Times New Roman"/>
          <w:b w:val="false"/>
          <w:i w:val="false"/>
          <w:color w:val="000000"/>
          <w:sz w:val="28"/>
        </w:rPr>
        <w:t>
      Активы по разведке и оценке тестируются на предмет наличия обесценения в момент перевода в материальные и нематериальные производственные активы или при наличии индикаторов обесценения.</w:t>
      </w:r>
    </w:p>
    <w:p>
      <w:pPr>
        <w:spacing w:after="0"/>
        <w:ind w:left="0"/>
        <w:jc w:val="both"/>
      </w:pPr>
      <w:r>
        <w:rPr>
          <w:rFonts w:ascii="Times New Roman"/>
          <w:b w:val="false"/>
          <w:i w:val="false"/>
          <w:color w:val="000000"/>
          <w:sz w:val="28"/>
        </w:rPr>
        <w:t>
      В 2013 году Группа признала убыток от обесценения основных средств в размере 67.179 миллионов тенге (2012: 86.143 миллиона тенге) в консолидированном отчете о совокупном доходе, который в основном относится к обесценению долгосрочных активов АО "Озенмунайгаз" (Примечание 7).</w:t>
      </w:r>
    </w:p>
    <w:p>
      <w:pPr>
        <w:spacing w:after="0"/>
        <w:ind w:left="0"/>
        <w:jc w:val="both"/>
      </w:pPr>
      <w:r>
        <w:rPr>
          <w:rFonts w:ascii="Times New Roman"/>
          <w:b w:val="false"/>
          <w:i w:val="false"/>
          <w:color w:val="000000"/>
          <w:sz w:val="28"/>
        </w:rPr>
        <w:t xml:space="preserve">
      Руководство Группы провело оценку возмещаемой стоимости активов АО "Озенмунайгаз" (далее "ОМГ") (дочерняя организация АО "Национальная Компания "КазМунайГаз" (далее – "НК КМГ")), ввиду наличия индикаторов обесценения. Основными индикаторами обесценения являются существенное снижение объемов производства по сравнению с запланированными объемами на протяжении последних двух лет и увеличивающиеся операционные и капитальные затраты. Результаты оценки показали, что текущая стоимость долгосрочных активов ОМГ превышает оценочную возмещаемую стоимость на 75 миллиардов тенге, что привело к признанию убытка от обесценения в 2012 году (Примечание 7). Оценка возмещаемой стоимости была основана на оценке справедливой стоимости руководством Группы, полученной методом дисконтированных денежных потоков. </w:t>
      </w:r>
    </w:p>
    <w:p>
      <w:pPr>
        <w:spacing w:after="0"/>
        <w:ind w:left="0"/>
        <w:jc w:val="both"/>
      </w:pPr>
      <w:r>
        <w:rPr>
          <w:rFonts w:ascii="Times New Roman"/>
          <w:b w:val="false"/>
          <w:i w:val="false"/>
          <w:color w:val="000000"/>
          <w:sz w:val="28"/>
        </w:rPr>
        <w:t xml:space="preserve">
      В апреле 2013 года руководство Группы обновило оценку возмещаемой стоимости долгосрочных активов ОМГ и признало дополнительное обесценение на 56 миллиардов тенге в консолидированной финансовой отчетности за 2013 год. Дополнительное обесценение, в первую очередь, связано с увеличением экспортной таможенной пошлины с 40 долларов США за тонну до 60 долларов США за тонну, которое произошло 12 апреля 2013 года. </w:t>
      </w:r>
    </w:p>
    <w:p>
      <w:pPr>
        <w:spacing w:after="0"/>
        <w:ind w:left="0"/>
        <w:jc w:val="both"/>
      </w:pPr>
      <w:r>
        <w:rPr>
          <w:rFonts w:ascii="Times New Roman"/>
          <w:b w:val="false"/>
          <w:i w:val="false"/>
          <w:color w:val="000000"/>
          <w:sz w:val="28"/>
        </w:rPr>
        <w:t xml:space="preserve">
      За год, закончившийся 31 декабря 2013 года, руководство Группы снова провело оценку возмещаемой стоимости долгосрочных активов ОМГ. Результаты оценки показали, что балансовая стоимость долгосрочных активов ОМГ не отличалась существенно от оцененной возмещаемой стоимости, и, таким образом, руководство не сторнировало ранее начисленное обесценение и не начисляло какие-либо дополнительные суммы по обесценению за год, закончившийся 31 декабря 2013 года. Результаты оценки наиболее чувствительны к допущениям, относящимся к объемам добычи, цене реализации сырой нефти и обменному курсу тенге к доллару США. </w:t>
      </w:r>
    </w:p>
    <w:p>
      <w:pPr>
        <w:spacing w:after="0"/>
        <w:ind w:left="0"/>
        <w:jc w:val="both"/>
      </w:pPr>
      <w:r>
        <w:rPr>
          <w:rFonts w:ascii="Times New Roman"/>
          <w:b w:val="false"/>
          <w:i w:val="false"/>
          <w:color w:val="000000"/>
          <w:sz w:val="28"/>
        </w:rPr>
        <w:t>
      Использованный профиль добычи основан на данных последнего бизнес плана Группы, и предусматривает рост добычи на 7% в течение ближайших 5 (пяти) лет. Если бы профиль добычи был на 5% выше или ниже той, что была использована в ходе оценки, это бы привело к увеличению оцененной возмещаемой стоимости более чем на 65 миллиардов тенге или к уменьшению оцененной возмещаемой стоимости более чем на 65 миллиардов тенге, соответственно. Если бы предполагалось, что добыча не изменялась и оставалась на уровне 2013 года, тогда оцененная возмещаемая стоимость уменьшилась бы на более чем 65 миллиардов тенге.</w:t>
      </w:r>
    </w:p>
    <w:p>
      <w:pPr>
        <w:spacing w:after="0"/>
        <w:ind w:left="0"/>
        <w:jc w:val="both"/>
      </w:pPr>
      <w:r>
        <w:rPr>
          <w:rFonts w:ascii="Times New Roman"/>
          <w:b w:val="false"/>
          <w:i w:val="false"/>
          <w:color w:val="000000"/>
          <w:sz w:val="28"/>
        </w:rPr>
        <w:t xml:space="preserve">
      Принятые допущения о цене сырой нефти Brent были основаны на рыночных ожиданиях в совокупности с прогнозами независимой отраслевой исследовательской организации, скорректированными на средний исторический дисконт цены на нефть. Если бы предполагаемая цена сырой нефти Brent была на 5% выше или ниже той, что была использована в ходе оценки, это привело бы к уменьшению обесценения более чем на 40 миллиардов тенге или увеличению обесценения более чем на 45 миллиардов тенге, соответственно. Если бы предполагаемая цена сырой нефти Brent не изменялась и оставалась на уровне 108,3 доллара США за баррель, что является ценой сырой нефти на дату оценки, это бы привело к увеличению оцененной возмещаемой стоимости более чем на 40 миллиардов тенге. </w:t>
      </w:r>
    </w:p>
    <w:p>
      <w:pPr>
        <w:spacing w:after="0"/>
        <w:ind w:left="0"/>
        <w:jc w:val="both"/>
      </w:pPr>
      <w:r>
        <w:rPr>
          <w:rFonts w:ascii="Times New Roman"/>
          <w:b w:val="false"/>
          <w:i w:val="false"/>
          <w:color w:val="000000"/>
          <w:sz w:val="28"/>
        </w:rPr>
        <w:t xml:space="preserve">
      Для пересчета реализации нефти, деноминированной в долларах США, был использован обменный курс 185 тенге к доллару США. Данный курс был основан на заявлении, опубликованном Национальным Банком Республики Казахстан 11 февраля 2014 года о том, что будет установлен новый валютный коридор обменного курса на уровне 185 тенге за доллар плюс/минус 3 тенге. Если бы предполагаемый обменный курс тенге к доллару США был бы на 5% выше или ниже того, что был использован в ходе оценки, это бы привело к увеличению оцененной возмещаемой стоимости более чем на 35 миллиардов тенге или к уменьшению оцененной возмещаемой стоимости более чем на 35 миллиардов тенге, соответственно. </w:t>
      </w:r>
    </w:p>
    <w:p>
      <w:pPr>
        <w:spacing w:after="0"/>
        <w:ind w:left="0"/>
        <w:jc w:val="both"/>
      </w:pPr>
      <w:r>
        <w:rPr>
          <w:rFonts w:ascii="Times New Roman"/>
          <w:b w:val="false"/>
          <w:i w:val="false"/>
          <w:color w:val="000000"/>
          <w:sz w:val="28"/>
        </w:rPr>
        <w:t>
      Предполагаемые денежные потоки были ограничены датой истечения контракта на недропользование ОМГ в 2021 году. Затраты до 2018 года были включены на основе утвержденного бюджета и бизнес плана и текущих оценок руководства о возможных изменениях в операционных и капитальных затратах после девальвации тенге в феврале 2014 года. Большая часть денежных потоков после этого периода была спрогнозирована путем применения предполагаемой ставки инфляции Казахстана, за исключением капитальных затрат, которые были основаны на наилучшей оценке руководства, имеющейся на дату проведения оценки. Для целей оценки предполагалось, что руководство не сможет существенно уменьшить операционные и капитальные затраты в последние годы перед истечением срока контракта на недропользование с целью сокращения расходов. Все полученные денежные потоки были дисконтированы с использованием средневзвешенной стоимости капитала после налогообложения ("WACC") в размере 13,09%.</w:t>
      </w:r>
    </w:p>
    <w:p>
      <w:pPr>
        <w:spacing w:after="0"/>
        <w:ind w:left="0"/>
        <w:jc w:val="both"/>
      </w:pPr>
      <w:r>
        <w:rPr>
          <w:rFonts w:ascii="Times New Roman"/>
          <w:b w:val="false"/>
          <w:i w:val="false"/>
          <w:color w:val="000000"/>
          <w:sz w:val="28"/>
        </w:rPr>
        <w:t>
      Руководство считает, что расходы по обесценению долгосрочных активов АО "Озенмунайгаз" могут быть сторнированы в будущих периодах при условии, что фактическое производство в будущих периодах превысит ожидания, использованные в текущей оценке обесценения, или при появлении индикаторов значительного увеличения рыночной цены сырой нефти.</w:t>
      </w:r>
    </w:p>
    <w:bookmarkStart w:name="z141" w:id="141"/>
    <w:p>
      <w:pPr>
        <w:spacing w:after="0"/>
        <w:ind w:left="0"/>
        <w:jc w:val="both"/>
      </w:pPr>
      <w:r>
        <w:rPr>
          <w:rFonts w:ascii="Times New Roman"/>
          <w:b w:val="false"/>
          <w:i w:val="false"/>
          <w:color w:val="000000"/>
          <w:sz w:val="28"/>
        </w:rPr>
        <w:t xml:space="preserve">
      </w:t>
      </w:r>
      <w:r>
        <w:rPr>
          <w:rFonts w:ascii="Times New Roman"/>
          <w:b/>
          <w:i w:val="false"/>
          <w:color w:val="000000"/>
          <w:sz w:val="28"/>
        </w:rPr>
        <w:t>Возмещаемость гудвилла</w:t>
      </w:r>
    </w:p>
    <w:bookmarkEnd w:id="141"/>
    <w:p>
      <w:pPr>
        <w:spacing w:after="0"/>
        <w:ind w:left="0"/>
        <w:jc w:val="both"/>
      </w:pPr>
      <w:r>
        <w:rPr>
          <w:rFonts w:ascii="Times New Roman"/>
          <w:b w:val="false"/>
          <w:i w:val="false"/>
          <w:color w:val="000000"/>
          <w:sz w:val="28"/>
        </w:rPr>
        <w:t xml:space="preserve">
      </w:t>
      </w:r>
      <w:r>
        <w:rPr>
          <w:rFonts w:ascii="Times New Roman"/>
          <w:b w:val="false"/>
          <w:i/>
          <w:color w:val="000000"/>
          <w:sz w:val="28"/>
        </w:rPr>
        <w:t>Rompetrol Group N.V., Downstream Romania, Dyneff</w:t>
      </w:r>
    </w:p>
    <w:p>
      <w:pPr>
        <w:spacing w:after="0"/>
        <w:ind w:left="0"/>
        <w:jc w:val="both"/>
      </w:pPr>
      <w:r>
        <w:rPr>
          <w:rFonts w:ascii="Times New Roman"/>
          <w:b w:val="false"/>
          <w:i w:val="false"/>
          <w:color w:val="000000"/>
          <w:sz w:val="28"/>
        </w:rPr>
        <w:t>
      Возмещаемая стоимость подразделений "Нефтепереработка" и "Downstream Romania" была определена на основании ценности от использования с применением дисконтированных денежных потоков от финансовых планов, одобренных руководством на пятилетний период. Ставка дисконтирования, применимая к прогнозу денежных потоков в 2013 году, равна 9,7% (2012: 10,1%), а денежные потоки в течение данного пятилетнего периода экстраполировались с применением 1,5% ставки роста (2012: 1,5%), что совпадает со средней ставкой долгосрочного роста в данной промышленности. Ставка капитализации для остаточной стоимости составляет 8,2% (2012: 8,6%).</w:t>
      </w:r>
    </w:p>
    <w:p>
      <w:pPr>
        <w:spacing w:after="0"/>
        <w:ind w:left="0"/>
        <w:jc w:val="both"/>
      </w:pPr>
      <w:r>
        <w:rPr>
          <w:rFonts w:ascii="Times New Roman"/>
          <w:b w:val="false"/>
          <w:i w:val="false"/>
          <w:color w:val="000000"/>
          <w:sz w:val="28"/>
        </w:rPr>
        <w:t>
      Возмещаемая стоимость подразделения Dyneff была определена на основании ценности от использования с применением дисконтированных денежных потоков от финансовых планов, одобренных руководством на пятилетний период. Ставка дисконтирования, применимая к прогнозу движения денежных потоков в 2013 году, равна 8% (2012: 6,6%), а денежные потоки в течение данного пятилетнего периода экстраполировались с применением 1,5% ставки роста (2012: 1,5%), что совпадает со средней ставкой долгосрочного роста в данной промышленности. Ставка капитализации для остаточной стоимости в 2013 году составляет 6,5% (2012: 5,1%).</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Основные допущения, применявшиеся при расчете справедливой стоимости за вычетом затрат на реализацию "Нефтепереработка", "Downstream Romania" и "Dyneff"</w:t>
      </w:r>
    </w:p>
    <w:p>
      <w:pPr>
        <w:spacing w:after="0"/>
        <w:ind w:left="0"/>
        <w:jc w:val="both"/>
      </w:pPr>
      <w:r>
        <w:rPr>
          <w:rFonts w:ascii="Times New Roman"/>
          <w:b w:val="false"/>
          <w:i w:val="false"/>
          <w:color w:val="000000"/>
          <w:sz w:val="28"/>
        </w:rPr>
        <w:t>
      Основные допущения, применявшиеся при расчете ценности от использования за вычетом расходов на реализацию, представлены следующим образом:</w:t>
      </w:r>
    </w:p>
    <w:p>
      <w:pPr>
        <w:spacing w:after="0"/>
        <w:ind w:left="0"/>
        <w:jc w:val="both"/>
      </w:pPr>
      <w:r>
        <w:rPr>
          <w:rFonts w:ascii="Times New Roman"/>
          <w:b w:val="false"/>
          <w:i w:val="false"/>
          <w:color w:val="000000"/>
          <w:sz w:val="28"/>
        </w:rPr>
        <w:t>
      - Операционная прибыль;</w:t>
      </w:r>
    </w:p>
    <w:p>
      <w:pPr>
        <w:spacing w:after="0"/>
        <w:ind w:left="0"/>
        <w:jc w:val="both"/>
      </w:pPr>
      <w:r>
        <w:rPr>
          <w:rFonts w:ascii="Times New Roman"/>
          <w:b w:val="false"/>
          <w:i w:val="false"/>
          <w:color w:val="000000"/>
          <w:sz w:val="28"/>
        </w:rPr>
        <w:t>
      - Ставки дисконтирования;</w:t>
      </w:r>
    </w:p>
    <w:p>
      <w:pPr>
        <w:spacing w:after="0"/>
        <w:ind w:left="0"/>
        <w:jc w:val="both"/>
      </w:pPr>
      <w:r>
        <w:rPr>
          <w:rFonts w:ascii="Times New Roman"/>
          <w:b w:val="false"/>
          <w:i w:val="false"/>
          <w:color w:val="000000"/>
          <w:sz w:val="28"/>
        </w:rPr>
        <w:t>
      - Темпы роста, использованные для экстраполяции денежных потоков за пределами планового периода.</w:t>
      </w:r>
    </w:p>
    <w:p>
      <w:pPr>
        <w:spacing w:after="0"/>
        <w:ind w:left="0"/>
        <w:jc w:val="both"/>
      </w:pPr>
      <w:r>
        <w:rPr>
          <w:rFonts w:ascii="Times New Roman"/>
          <w:b w:val="false"/>
          <w:i w:val="false"/>
          <w:color w:val="000000"/>
          <w:sz w:val="28"/>
        </w:rPr>
        <w:t xml:space="preserve">
      Операционная прибыль – операционная прибыль, которая основывается на чистых доходах подразделений, генерирующих денежные средства. </w:t>
      </w:r>
    </w:p>
    <w:p>
      <w:pPr>
        <w:spacing w:after="0"/>
        <w:ind w:left="0"/>
        <w:jc w:val="both"/>
      </w:pPr>
      <w:r>
        <w:rPr>
          <w:rFonts w:ascii="Times New Roman"/>
          <w:b w:val="false"/>
          <w:i w:val="false"/>
          <w:color w:val="000000"/>
          <w:sz w:val="28"/>
        </w:rPr>
        <w:t>
      Ставки дисконтирования – ставки дисконтирования, которые отражают текущие рыночные оценки рисков, характерных для каждого подразделения, генерирующего денежные потоки. Ставка дисконтирования была вычислена на основании расчета средневзвешенной стоимости капитала в отрасли. В дальнейшем, данная ставка была откорректирована для отражения оценки рынка на какой-либо конкретный риск, относящийся к подразделению, генерирующему денежные потоки, для которой будущие прогнозы не были откорректированы.</w:t>
      </w:r>
    </w:p>
    <w:p>
      <w:pPr>
        <w:spacing w:after="0"/>
        <w:ind w:left="0"/>
        <w:jc w:val="both"/>
      </w:pPr>
      <w:r>
        <w:rPr>
          <w:rFonts w:ascii="Times New Roman"/>
          <w:b w:val="false"/>
          <w:i w:val="false"/>
          <w:color w:val="000000"/>
          <w:sz w:val="28"/>
        </w:rPr>
        <w:t>
      Оценка темпа роста – нормы, которые основаны на опубликованных исследованиях по данной отрасли.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Чувствительность к изменениям в допущениях "Нефтепереработка", "Downstream Romania", и "Dyneff"</w:t>
      </w:r>
    </w:p>
    <w:p>
      <w:pPr>
        <w:spacing w:after="0"/>
        <w:ind w:left="0"/>
        <w:jc w:val="both"/>
      </w:pPr>
      <w:r>
        <w:rPr>
          <w:rFonts w:ascii="Times New Roman"/>
          <w:b w:val="false"/>
          <w:i w:val="false"/>
          <w:color w:val="000000"/>
          <w:sz w:val="28"/>
        </w:rPr>
        <w:t xml:space="preserve">
      По мнению руководства, в отношении оценки ценности от использования для единиц, генерирующих денежные потоки, никакое приемлемое изменение в любом из указанных выше основных допущений не вызовет значительного превышения текущей стоимости единицы над ее возмещаемой стоимостью, кроме случаев раскрытых в следующем абзаце. На 31 декабря 2013 года порог рентабельности по текущей модели достигается при уменьшении прибыли от операционной деятельности на 67% для подразделения "Нефтепереработка", 72,3% для подразделения "Downstream Romania" и 66% для подразделения "Dyneff".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ПНХЗ</w:t>
      </w:r>
    </w:p>
    <w:p>
      <w:pPr>
        <w:spacing w:after="0"/>
        <w:ind w:left="0"/>
        <w:jc w:val="both"/>
      </w:pPr>
      <w:r>
        <w:rPr>
          <w:rFonts w:ascii="Times New Roman"/>
          <w:b w:val="false"/>
          <w:i w:val="false"/>
          <w:color w:val="000000"/>
          <w:sz w:val="28"/>
        </w:rPr>
        <w:t>
      Возмещаемая стоимость ПНХЗ была определена на основании ценности от использования с применением дисконтированных денежных потоков, основанных на финансовых планах, утвержденных руководством на пятилетний срок. Ставка дисконтирования, применяемая к прогнозируемым денежным потокам, составила 11,34% (2012: 11,8%), а денежные потоки за пределами пятилетнего срока были экстраполированы с учетом темпа роста, равного 4,3% (2012: 3,67%). Ставка капитализации для остаточной стоимости составляет 7% (2012: 8,1%).</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Основные допущения, применявшиеся при расчете ценности от использования</w:t>
      </w:r>
    </w:p>
    <w:p>
      <w:pPr>
        <w:spacing w:after="0"/>
        <w:ind w:left="0"/>
        <w:jc w:val="both"/>
      </w:pPr>
      <w:r>
        <w:rPr>
          <w:rFonts w:ascii="Times New Roman"/>
          <w:b w:val="false"/>
          <w:i w:val="false"/>
          <w:color w:val="000000"/>
          <w:sz w:val="28"/>
        </w:rPr>
        <w:t>
      - Объем выработки сырой нефти и нефтепродуктов;</w:t>
      </w:r>
    </w:p>
    <w:p>
      <w:pPr>
        <w:spacing w:after="0"/>
        <w:ind w:left="0"/>
        <w:jc w:val="both"/>
      </w:pPr>
      <w:r>
        <w:rPr>
          <w:rFonts w:ascii="Times New Roman"/>
          <w:b w:val="false"/>
          <w:i w:val="false"/>
          <w:color w:val="000000"/>
          <w:sz w:val="28"/>
        </w:rPr>
        <w:t>
      - Запланированное значение EBITDA;</w:t>
      </w:r>
    </w:p>
    <w:p>
      <w:pPr>
        <w:spacing w:after="0"/>
        <w:ind w:left="0"/>
        <w:jc w:val="both"/>
      </w:pPr>
      <w:r>
        <w:rPr>
          <w:rFonts w:ascii="Times New Roman"/>
          <w:b w:val="false"/>
          <w:i w:val="false"/>
          <w:color w:val="000000"/>
          <w:sz w:val="28"/>
        </w:rPr>
        <w:t>
      - Капитальные затраты в 2013-2017 годах;</w:t>
      </w:r>
    </w:p>
    <w:p>
      <w:pPr>
        <w:spacing w:after="0"/>
        <w:ind w:left="0"/>
        <w:jc w:val="both"/>
      </w:pPr>
      <w:r>
        <w:rPr>
          <w:rFonts w:ascii="Times New Roman"/>
          <w:b w:val="false"/>
          <w:i w:val="false"/>
          <w:color w:val="000000"/>
          <w:sz w:val="28"/>
        </w:rPr>
        <w:t>
      - Ставки дисконтирования.</w:t>
      </w:r>
    </w:p>
    <w:p>
      <w:pPr>
        <w:spacing w:after="0"/>
        <w:ind w:left="0"/>
        <w:jc w:val="both"/>
      </w:pPr>
      <w:r>
        <w:rPr>
          <w:rFonts w:ascii="Times New Roman"/>
          <w:b w:val="false"/>
          <w:i w:val="false"/>
          <w:color w:val="000000"/>
          <w:sz w:val="28"/>
        </w:rPr>
        <w:t xml:space="preserve">
      Объем выработки сырой нефти и нефтепродуктов – являются прогнозами Группы по выходу нефтепродуктов при переработке 1 тонны сырой нефти до и после модернизации ПНХЗ. </w:t>
      </w:r>
    </w:p>
    <w:p>
      <w:pPr>
        <w:spacing w:after="0"/>
        <w:ind w:left="0"/>
        <w:jc w:val="both"/>
      </w:pPr>
      <w:r>
        <w:rPr>
          <w:rFonts w:ascii="Times New Roman"/>
          <w:b w:val="false"/>
          <w:i w:val="false"/>
          <w:color w:val="000000"/>
          <w:sz w:val="28"/>
        </w:rPr>
        <w:t>
      Запланированное значение EBITDA – является запланированным значением EBITDA, определенным на основе прошлого опыта, которое скорректировано с учетом того, что выручка от реализации нефтепродуктов возрастет вследствие введения в действие модернизированных производственных мощностей ПНХЗ в 2016 и 2017 годах.</w:t>
      </w:r>
    </w:p>
    <w:p>
      <w:pPr>
        <w:spacing w:after="0"/>
        <w:ind w:left="0"/>
        <w:jc w:val="both"/>
      </w:pPr>
      <w:r>
        <w:rPr>
          <w:rFonts w:ascii="Times New Roman"/>
          <w:b w:val="false"/>
          <w:i w:val="false"/>
          <w:color w:val="000000"/>
          <w:sz w:val="28"/>
        </w:rPr>
        <w:t>
      Капитальные затраты – капитальные затраты представляют собой затраты: а) по реконструкции и модернизации ПНХЗ; б) затраты, необходимые для поддержания текущего состояния актива.</w:t>
      </w:r>
    </w:p>
    <w:p>
      <w:pPr>
        <w:spacing w:after="0"/>
        <w:ind w:left="0"/>
        <w:jc w:val="both"/>
      </w:pPr>
      <w:r>
        <w:rPr>
          <w:rFonts w:ascii="Times New Roman"/>
          <w:b w:val="false"/>
          <w:i w:val="false"/>
          <w:color w:val="000000"/>
          <w:sz w:val="28"/>
        </w:rPr>
        <w:t>
      Ставки дисконтирования – ставки дисконтирования, которые отражают текущие рыночные оценки рисков, характерных для каждого подразделения, генерирующего денежные средства. Ставка дисконтирования была вычислена на основании расчета средневзвешенной стоимости капитала в отрасли. В дальнейшем, данная ставка была откорректирована для отражения оценки рынка на какой-либо конкретный риск, относящийся к подразделению, генерирующему денежные потоки, для которой будущие оценочные денежные потоки не были откорректированы.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Чувствительность к изменениям в допущениях</w:t>
      </w:r>
    </w:p>
    <w:p>
      <w:pPr>
        <w:spacing w:after="0"/>
        <w:ind w:left="0"/>
        <w:jc w:val="both"/>
      </w:pPr>
      <w:r>
        <w:rPr>
          <w:rFonts w:ascii="Times New Roman"/>
          <w:b w:val="false"/>
          <w:i w:val="false"/>
          <w:color w:val="000000"/>
          <w:sz w:val="28"/>
        </w:rPr>
        <w:t xml:space="preserve">
      Результаты оценки возмещаемой стоимости гудвилла ПНХЗ являются чувствительными к изменению основных допущений, в частности, допущений, связанных с изменением ставки дисконтирования WACC, а также запланированного значения EBITDA в терминальном периоде. Повышения ставки дисконтирования на 1% с 11,3% до 12.3%, приведет к тому, что балансовая стоимость гудвилла превысит возмещаемую стоимость на 9.508 миллионов тенге. Понижение запланированного в терминальном периоде значения EBITDA на 3% с 15,1% до 12,1% приведет к обесценению гудвилла на 52.673 миллиона тенге, при таких обстоятельствах возмещаемая стоимость гудвилла будет равна 35.880 миллионам тенге. </w:t>
      </w:r>
    </w:p>
    <w:p>
      <w:pPr>
        <w:spacing w:after="0"/>
        <w:ind w:left="0"/>
        <w:jc w:val="both"/>
      </w:pPr>
      <w:r>
        <w:rPr>
          <w:rFonts w:ascii="Times New Roman"/>
          <w:b w:val="false"/>
          <w:i w:val="false"/>
          <w:color w:val="000000"/>
          <w:sz w:val="28"/>
        </w:rPr>
        <w:t xml:space="preserve">
      Понижение курса тенге по отношению к доллару США на 5% приведет к полному обесценению гудвилла и к обесценению долгосрочных активов ПНХЗ на 78.510 миллионов тенге. В таком случае возмещаемая стоимость долгосрочных активов ПНХЗ будет равна 13.009 миллионам тенге.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Горнорудная промышленность</w:t>
      </w:r>
    </w:p>
    <w:p>
      <w:pPr>
        <w:spacing w:after="0"/>
        <w:ind w:left="0"/>
        <w:jc w:val="both"/>
      </w:pPr>
      <w:r>
        <w:rPr>
          <w:rFonts w:ascii="Times New Roman"/>
          <w:b w:val="false"/>
          <w:i w:val="false"/>
          <w:color w:val="000000"/>
          <w:sz w:val="28"/>
        </w:rPr>
        <w:t>
      Группа использует следующие ставки и периоды для расчета возмещаемой стоимости гудвилла по горнорудному сегменту: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6848"/>
        <w:gridCol w:w="3963"/>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дисконтирования</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темп роста</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лет</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Прогнозирование денежных потоков определено на основе утвержденных объемов разведанных запасов, прогнозируемых денежных потоков, основанных на величине расчетного объема добычи на месторождении исходя из срока продолжительности месторождения, утвержденного руководством. Объемы производства согласованы с утвержденными государством стратегиями, и основаны на производственной мощности генерирующей единицы с учетом будущих приобретений активов и оттока денежных средств от инвестиций. Долгосрочные темпы роста основаны на макроэкономических и отраслевых прогнозах, полученных из Global Insight. Цены, используемые в расчете прогнозных денежных потоков определяются с использованием независимого официального источника "Ux Consulting LLC". В 2013 году, в результате снижения рыночных цен на уран, Группа признала убыток от обесценения в сумме 4.945 миллионов тенге (2012: ноль).</w:t>
      </w:r>
    </w:p>
    <w:bookmarkStart w:name="z142" w:id="142"/>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выбытию активов</w:t>
      </w:r>
    </w:p>
    <w:bookmarkEnd w:id="142"/>
    <w:p>
      <w:pPr>
        <w:spacing w:after="0"/>
        <w:ind w:left="0"/>
        <w:jc w:val="both"/>
      </w:pPr>
      <w:r>
        <w:rPr>
          <w:rFonts w:ascii="Times New Roman"/>
          <w:b w:val="false"/>
          <w:i w:val="false"/>
          <w:color w:val="000000"/>
          <w:sz w:val="28"/>
        </w:rPr>
        <w:t xml:space="preserve">
      </w:t>
      </w:r>
      <w:r>
        <w:rPr>
          <w:rFonts w:ascii="Times New Roman"/>
          <w:b w:val="false"/>
          <w:i/>
          <w:color w:val="000000"/>
          <w:sz w:val="28"/>
        </w:rPr>
        <w:t>Нефтегазовые производственные активы</w:t>
      </w:r>
    </w:p>
    <w:p>
      <w:pPr>
        <w:spacing w:after="0"/>
        <w:ind w:left="0"/>
        <w:jc w:val="both"/>
      </w:pPr>
      <w:r>
        <w:rPr>
          <w:rFonts w:ascii="Times New Roman"/>
          <w:b w:val="false"/>
          <w:i w:val="false"/>
          <w:color w:val="000000"/>
          <w:sz w:val="28"/>
        </w:rPr>
        <w:t xml:space="preserve">
      По условиям определенных контрактов на недропользование, в соответствии с законодательством и нормативно-правовыми актами, Группа несет юридические обязательства по демонтажу и ликвидации основных средств и восстановлению земельных участков на каждом из месторождений. В частности, к обязательствам Группы относятся постепенное закрытие всех непроизводительных скважин и действия по окончательному прекращению деятельности, такие как демонтаж трубопроводов, зданий и рекультивация контрактной территории, а также выводу из эксплуатации и обязательств по загрязнению окружающей среды на каждом производственном участке. Так как срок действия контрактов на недропользование не может быть продлен по усмотрению Группы, допускается, что расчетным сроком погашения обязательств на месторождении по окончательному закрытию является дата окончания каждого контракта на недропользование. Если бы обязательства по ликвидации активов должны были погашаться по истечении экономически обоснованного окончания эксплуатации месторождений, то отраженное обязательство значительно возросло бы вследствие включения всех расходов по ликвидации скважин и конечных расходов по закрытию. Объем обязательств Группы по финансированию ликвидации скважин и затрат по окончательному закрытию зависит от условий соответствующих контрактов на недропользование и действующего законодательства. </w:t>
      </w:r>
    </w:p>
    <w:p>
      <w:pPr>
        <w:spacing w:after="0"/>
        <w:ind w:left="0"/>
        <w:jc w:val="both"/>
      </w:pPr>
      <w:r>
        <w:rPr>
          <w:rFonts w:ascii="Times New Roman"/>
          <w:b w:val="false"/>
          <w:i w:val="false"/>
          <w:color w:val="000000"/>
          <w:sz w:val="28"/>
        </w:rPr>
        <w:t xml:space="preserve">
      Обязательства не признаются в тех случаях, когда ни контракт на недропользование, ни законодательство не подразумевают определенного обязательства по финансированию таких расходов по окончательной ликвидации и окончательному закрытию в конце срока контракта на недропользование. Принятие такого решения сопровождается некоторой неопределенностью и существенными суждениями. Оценки руководства касательно наличия или отсутствия таких обязательств могут измениться вместе с изменениями в политике и практике Правительства или в местной отраслевой практике. </w:t>
      </w:r>
    </w:p>
    <w:p>
      <w:pPr>
        <w:spacing w:after="0"/>
        <w:ind w:left="0"/>
        <w:jc w:val="both"/>
      </w:pPr>
      <w:r>
        <w:rPr>
          <w:rFonts w:ascii="Times New Roman"/>
          <w:b w:val="false"/>
          <w:i w:val="false"/>
          <w:color w:val="000000"/>
          <w:sz w:val="28"/>
        </w:rPr>
        <w:t xml:space="preserve">
      Группа рассчитывает обязательства по выбытию активов отдельно по каждому контракту. Сумма обязательства является текущей стоимостью оцененных затрат, которые как ожидается, потребуются для погашения обязательства, скорректированных на ожидаемый уровень инфляции и дисконтированных с использованием средних безрисковых процентных ставок по государственному долгу стран с переходной экономикой, скорректированных на риски, присущие казахстанскому рынку. </w:t>
      </w:r>
    </w:p>
    <w:p>
      <w:pPr>
        <w:spacing w:after="0"/>
        <w:ind w:left="0"/>
        <w:jc w:val="both"/>
      </w:pPr>
      <w:r>
        <w:rPr>
          <w:rFonts w:ascii="Times New Roman"/>
          <w:b w:val="false"/>
          <w:i w:val="false"/>
          <w:color w:val="000000"/>
          <w:sz w:val="28"/>
        </w:rPr>
        <w:t xml:space="preserve">
      Обязательство по выбытию активов пересматривается на каждую отчетную дату и корректируется для отражения наилучшей оценки согласно КИМСФО 1 </w:t>
      </w:r>
      <w:r>
        <w:rPr>
          <w:rFonts w:ascii="Times New Roman"/>
          <w:b w:val="false"/>
          <w:i/>
          <w:color w:val="000000"/>
          <w:sz w:val="28"/>
        </w:rPr>
        <w:t>"Изменения в обязательствах по выводу из эксплуатации объекта основных средств, восстановлению природных ресурсов на занимаемом им участке и иных аналогичных обязательствах"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 оценке будущих затрат на закрытие и выбытие активов использовались существенные оценки и суждения, сделанные руководством. Большинство этих обязательств относится к отдаленному будущему и помимо неясности в законодательных требованиях, на оценки Группы могут оказать влияние изменения в технологии демонтажа активов, затратах и отраслевой практике. </w:t>
      </w:r>
    </w:p>
    <w:p>
      <w:pPr>
        <w:spacing w:after="0"/>
        <w:ind w:left="0"/>
        <w:jc w:val="both"/>
      </w:pPr>
      <w:r>
        <w:rPr>
          <w:rFonts w:ascii="Times New Roman"/>
          <w:b w:val="false"/>
          <w:i w:val="false"/>
          <w:color w:val="000000"/>
          <w:sz w:val="28"/>
        </w:rPr>
        <w:t>
      Неопределенности, относящиеся к затратам на окончательное закрытие и выбытие активов, уменьшаются за счет влияния дисконтирования ожидаемых денежных потоков. Группа оценивает стоимость будущей ликвидации скважин, используя цены текущего года и среднее значение долгосрочного уровня инфляции.</w:t>
      </w:r>
    </w:p>
    <w:p>
      <w:pPr>
        <w:spacing w:after="0"/>
        <w:ind w:left="0"/>
        <w:jc w:val="both"/>
      </w:pPr>
      <w:r>
        <w:rPr>
          <w:rFonts w:ascii="Times New Roman"/>
          <w:b w:val="false"/>
          <w:i w:val="false"/>
          <w:color w:val="000000"/>
          <w:sz w:val="28"/>
        </w:rPr>
        <w:t>
      Долгосрочная инфляция и ставки дисконтирования, использованные для определения обязательства в консолидированном бухгалтерском балансе по предприятиям Группы, на 31 декабря 2013 года были в интервале от 2% до 5,6% и от 6% до 8%, соответственно (2012: от 1,9% до 5,0% и от 4,94% до 7,9%, соответственно). Изменения в резерве по обязательствам по выбытию активов раскрыты в Примечании 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Магистральные нефте-газопроводы</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магистральном трубопроводе", вступившим в силу 4 июля 2012 года, АО "КазТрансОйл" (далее "КТО"), дочерняя организация НК КМГ, имеет юридическое обязательство по ликвидации магистрального трубопровода (нефтепровода) после окончания эксплуатации и последующему проведению мероприятий по восстановлению окружающей среды, в том числе по рекультивации земель. Это возможно в случае, если полностью истощены запасы нефти недропользователей, транспортирующих нефть по трубопроводам Группы. </w:t>
      </w:r>
    </w:p>
    <w:p>
      <w:pPr>
        <w:spacing w:after="0"/>
        <w:ind w:left="0"/>
        <w:jc w:val="both"/>
      </w:pPr>
      <w:r>
        <w:rPr>
          <w:rFonts w:ascii="Times New Roman"/>
          <w:b w:val="false"/>
          <w:i w:val="false"/>
          <w:color w:val="000000"/>
          <w:sz w:val="28"/>
        </w:rPr>
        <w:t>
      Резерв под обязательство по ликвидации трубопроводов и рекультивации земель оценивается на основе рассчитанной Группой стоимости проведения работ по демонтажу и рекультивации в соответствии с действующими в Республике Казахстан техническими правилами и нормами (сумма затрат по демонтажу трубопровода за 1 км составляет 2.891 тысяча тенге). Сумма резерва была определена на конец отчетного периода с применением прогнозируемой ставки инфляции за ожидаемый срок исполнения обязательства (17 лет), и ставки дисконта на конец отчетного периода, представленных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4384"/>
        <w:gridCol w:w="4385"/>
      </w:tblGrid>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процентном выражении</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дисконтирования на 31 декабря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инфляции на 31 декабря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ставки дисконтирования основывается на безрисковых ставках по государственным облигациям Республики Казахстан.</w:t>
      </w:r>
    </w:p>
    <w:p>
      <w:pPr>
        <w:spacing w:after="0"/>
        <w:ind w:left="0"/>
        <w:jc w:val="both"/>
      </w:pPr>
      <w:r>
        <w:rPr>
          <w:rFonts w:ascii="Times New Roman"/>
          <w:b w:val="false"/>
          <w:i w:val="false"/>
          <w:color w:val="000000"/>
          <w:sz w:val="28"/>
        </w:rPr>
        <w:t>
      По состоянию на 31 декабря 2013 года балансовая стоимость резерва по обязательству по ликвидации трубопроводов и рекультивации земель составила 16.668 миллионов тенге (2012: 15.531 миллионов тенге).</w:t>
      </w:r>
    </w:p>
    <w:p>
      <w:pPr>
        <w:spacing w:after="0"/>
        <w:ind w:left="0"/>
        <w:jc w:val="both"/>
      </w:pPr>
      <w:r>
        <w:rPr>
          <w:rFonts w:ascii="Times New Roman"/>
          <w:b w:val="false"/>
          <w:i w:val="false"/>
          <w:color w:val="000000"/>
          <w:sz w:val="28"/>
        </w:rPr>
        <w:t>
      Оценки затрат по устранению ущерба подвержены потенциальным изменениям в природоохранных требованиях и интерпретациях законодательства. Кроме того, неопределенности в оценках таких затрат включают потенциальные изменения в альтернативах, методах ликвидации, восстановления нарушенных земель, уровней дисконта и ставки инфляции и периода, в течение которого данное обязательство наступит.</w:t>
      </w:r>
    </w:p>
    <w:p>
      <w:pPr>
        <w:spacing w:after="0"/>
        <w:ind w:left="0"/>
        <w:jc w:val="both"/>
      </w:pPr>
      <w:r>
        <w:rPr>
          <w:rFonts w:ascii="Times New Roman"/>
          <w:b w:val="false"/>
          <w:i w:val="false"/>
          <w:color w:val="000000"/>
          <w:sz w:val="28"/>
        </w:rPr>
        <w:t>
      В отношении обязательств АО "Интергаз Центральная Азия" ("ИЦА"), другой дочерней организации НК КМГ, руководство считает, что вышеуказанный закон к ней не применим, так как ИЦА не является собственником магистрального газопровода, а осуществляет свою деятельность на основе Договора Концессии между ИЦА и Правительством. Согласно условиям Договора Концессии ИЦА обязуется управлять сетью газопроводов до 14 июня 2017 года, с возможностью продления срока на дополнительные 10 (десять) лет, после которых газопроводы будут переданы в собственность Государства. Следовательно, никакие суммы по ликвидации газопроводов ИЦА не были признаны по состоянию на 31 декабря 2013 года.</w:t>
      </w:r>
    </w:p>
    <w:bookmarkStart w:name="z143" w:id="143"/>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Экологическая реабилитация</w:t>
      </w:r>
    </w:p>
    <w:bookmarkEnd w:id="143"/>
    <w:p>
      <w:pPr>
        <w:spacing w:after="0"/>
        <w:ind w:left="0"/>
        <w:jc w:val="both"/>
      </w:pPr>
      <w:r>
        <w:rPr>
          <w:rFonts w:ascii="Times New Roman"/>
          <w:b w:val="false"/>
          <w:i w:val="false"/>
          <w:color w:val="000000"/>
          <w:sz w:val="28"/>
        </w:rPr>
        <w:t>
      Группа также делает оценки и выносит суждения по формированию резервов по обязательствам на экологические очистительные работы и реабилитацию. Затраты на охрану окружающей среды капитализируются или относятся на расходы в зависимости от их будущей экономической выгоды. Затраты, которые относятся к существующему состоянию, вызванному прошлой деятельностью и не имеющие будущей экономической выгоды, относятся на расходы периода.</w:t>
      </w:r>
    </w:p>
    <w:p>
      <w:pPr>
        <w:spacing w:after="0"/>
        <w:ind w:left="0"/>
        <w:jc w:val="both"/>
      </w:pPr>
      <w:r>
        <w:rPr>
          <w:rFonts w:ascii="Times New Roman"/>
          <w:b w:val="false"/>
          <w:i w:val="false"/>
          <w:color w:val="000000"/>
          <w:sz w:val="28"/>
        </w:rPr>
        <w:t xml:space="preserve">
      Обязательства определяются на основании текущей информации о затратах и ожидаемых планах по рекультивации и учитываются на недисконтированной основе, если сроки процедур не согласованы с соответствующими органами. Резерв Группы на экологическую реабилитацию представляет собой наилучшие оценки руководства, основанные на независимой оценке ожидаемых затрат, необходимых для того, чтобы Группа соблюдала требования существующих казахстанских и европейских регуляторных требований. Группа классифицировала данное обязательство как долгосрочное, за исключением части затрат, включенных в годовой бюджет 2014 года. В отношении резервов по экологической реабилитации, фактические затраты могут отличаться от оценок вследствие изменений в законодательстве и нормативно-правовых актах, общественных ожиданий, обнаружения и анализа территориальных условий и изменений в технологиях очистки. Дополнительные неопределенности, относящиеся к экологической реабилитации, раскрыты в </w:t>
      </w:r>
      <w:r>
        <w:rPr>
          <w:rFonts w:ascii="Times New Roman"/>
          <w:b w:val="false"/>
          <w:i/>
          <w:color w:val="000000"/>
          <w:sz w:val="28"/>
        </w:rPr>
        <w:t>Примечании 40</w:t>
      </w:r>
      <w:r>
        <w:rPr>
          <w:rFonts w:ascii="Times New Roman"/>
          <w:b w:val="false"/>
          <w:i w:val="false"/>
          <w:color w:val="000000"/>
          <w:sz w:val="28"/>
        </w:rPr>
        <w:t xml:space="preserve">. Изменения в резерве по обязательствам за ущерб окружающей среде раскрыты в </w:t>
      </w:r>
      <w:r>
        <w:rPr>
          <w:rFonts w:ascii="Times New Roman"/>
          <w:b w:val="false"/>
          <w:i/>
          <w:color w:val="000000"/>
          <w:sz w:val="28"/>
        </w:rPr>
        <w:t>Примечании 22</w:t>
      </w:r>
      <w:r>
        <w:rPr>
          <w:rFonts w:ascii="Times New Roman"/>
          <w:b w:val="false"/>
          <w:i w:val="false"/>
          <w:color w:val="000000"/>
          <w:sz w:val="28"/>
        </w:rPr>
        <w:t>.</w:t>
      </w:r>
    </w:p>
    <w:bookmarkStart w:name="z144" w:id="144"/>
    <w:p>
      <w:pPr>
        <w:spacing w:after="0"/>
        <w:ind w:left="0"/>
        <w:jc w:val="both"/>
      </w:pPr>
      <w:r>
        <w:rPr>
          <w:rFonts w:ascii="Times New Roman"/>
          <w:b w:val="false"/>
          <w:i w:val="false"/>
          <w:color w:val="000000"/>
          <w:sz w:val="28"/>
        </w:rPr>
        <w:t xml:space="preserve">
      </w:t>
      </w:r>
      <w:r>
        <w:rPr>
          <w:rFonts w:ascii="Times New Roman"/>
          <w:b/>
          <w:i w:val="false"/>
          <w:color w:val="000000"/>
          <w:sz w:val="28"/>
        </w:rPr>
        <w:t>Резервы на строительство социальных активов</w:t>
      </w:r>
    </w:p>
    <w:bookmarkEnd w:id="144"/>
    <w:p>
      <w:pPr>
        <w:spacing w:after="0"/>
        <w:ind w:left="0"/>
        <w:jc w:val="both"/>
      </w:pPr>
      <w:r>
        <w:rPr>
          <w:rFonts w:ascii="Times New Roman"/>
          <w:b w:val="false"/>
          <w:i w:val="false"/>
          <w:color w:val="000000"/>
          <w:sz w:val="28"/>
        </w:rPr>
        <w:t xml:space="preserve">
      На 31 декабря 2013 года прочие резервы в основном включают резервы под обязательства по строительству следующих объектов: "Музей истории Казахстана" (НК КМГ), "Многофункциональный ледовый дворец в г. Астана" (НК КТЖ), "Щучинско-Боровской гольф-клуб" (НК КМГ) и реконструкции объекта "Всемирный выставочный центр" в г. Москва (НК КМГ). Расходы по резерву на строительство были признаны в капитале в качестве распределения Акционеру </w:t>
      </w:r>
      <w:r>
        <w:rPr>
          <w:rFonts w:ascii="Times New Roman"/>
          <w:b w:val="false"/>
          <w:i/>
          <w:color w:val="000000"/>
          <w:sz w:val="28"/>
        </w:rPr>
        <w:t>(Примечание 17.5)</w:t>
      </w:r>
      <w:r>
        <w:rPr>
          <w:rFonts w:ascii="Times New Roman"/>
          <w:b w:val="false"/>
          <w:i w:val="false"/>
          <w:color w:val="000000"/>
          <w:sz w:val="28"/>
        </w:rPr>
        <w:t xml:space="preserve">. Увеличение в резерве вызвано, в основном, дополнительными поручениями Правительства по строительству Музея истории Казахстана (23.551 миллион тенге), Щучинско-Боровского гольф-клуба (13.321 миллион тенге), а также изменениями в первоначальной оценке резервов на строительство других объектов. Изменения в первоначальной оценке затрат на строительство могут повлиять на сумму резервов, и суммарный эффект таких изменений может быть существенным. Группа считает, что временной эффект на стоимость является незначительным. </w:t>
      </w:r>
    </w:p>
    <w:bookmarkStart w:name="z145" w:id="145"/>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полезной службы объектов основных средств</w:t>
      </w:r>
    </w:p>
    <w:bookmarkEnd w:id="145"/>
    <w:p>
      <w:pPr>
        <w:spacing w:after="0"/>
        <w:ind w:left="0"/>
        <w:jc w:val="both"/>
      </w:pPr>
      <w:r>
        <w:rPr>
          <w:rFonts w:ascii="Times New Roman"/>
          <w:b w:val="false"/>
          <w:i w:val="false"/>
          <w:color w:val="000000"/>
          <w:sz w:val="28"/>
        </w:rPr>
        <w:t xml:space="preserve">
      Группа пересматривает оставшийся срок полезной службы основных средств на каждую отчетную дату и, в случае если ожидания отличаются от предыдущей оценки, изменения учитываются перспективно как изменения в учетных оценках в соответствии с МСБУ 8 "Учетная политика, изменения в расчетных оценках и ошибки". </w:t>
      </w:r>
    </w:p>
    <w:bookmarkStart w:name="z146" w:id="146"/>
    <w:p>
      <w:pPr>
        <w:spacing w:after="0"/>
        <w:ind w:left="0"/>
        <w:jc w:val="both"/>
      </w:pPr>
      <w:r>
        <w:rPr>
          <w:rFonts w:ascii="Times New Roman"/>
          <w:b w:val="false"/>
          <w:i w:val="false"/>
          <w:color w:val="000000"/>
          <w:sz w:val="28"/>
        </w:rPr>
        <w:t xml:space="preserve">
      </w:t>
      </w:r>
      <w:r>
        <w:rPr>
          <w:rFonts w:ascii="Times New Roman"/>
          <w:b/>
          <w:i w:val="false"/>
          <w:color w:val="000000"/>
          <w:sz w:val="28"/>
        </w:rPr>
        <w:t>Активы по отсроченному налогу</w:t>
      </w:r>
    </w:p>
    <w:bookmarkEnd w:id="146"/>
    <w:p>
      <w:pPr>
        <w:spacing w:after="0"/>
        <w:ind w:left="0"/>
        <w:jc w:val="both"/>
      </w:pPr>
      <w:r>
        <w:rPr>
          <w:rFonts w:ascii="Times New Roman"/>
          <w:b w:val="false"/>
          <w:i w:val="false"/>
          <w:color w:val="000000"/>
          <w:sz w:val="28"/>
        </w:rPr>
        <w:t>
      Активы по отсроченному налогу признаются по всем резервам и перенесенным налоговым убыткам в той степени, в которой существует вероятность того, что будут обоснованы налогооблагаемые временные разницы и коммерческий характер таких расходов. Существенные суждения руководства требуются для оценки активов по отсроченному налогу, которые могут быть признаны на основе планируемого уровня и времени доходности. Сумма признанных активов по отсроченному налогу на 31 декабря 2013 года составляла 42.084 миллиона тенге (2012: 77.964 миллионов тенге). Более подробная информация содержится в Примечании 35.</w:t>
      </w:r>
    </w:p>
    <w:bookmarkStart w:name="z147" w:id="147"/>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Налогообложение</w:t>
      </w:r>
    </w:p>
    <w:bookmarkEnd w:id="147"/>
    <w:p>
      <w:pPr>
        <w:spacing w:after="0"/>
        <w:ind w:left="0"/>
        <w:jc w:val="both"/>
      </w:pPr>
      <w:r>
        <w:rPr>
          <w:rFonts w:ascii="Times New Roman"/>
          <w:b w:val="false"/>
          <w:i w:val="false"/>
          <w:color w:val="000000"/>
          <w:sz w:val="28"/>
        </w:rPr>
        <w:t xml:space="preserve">
      В отношении интерпретации сложного налогового законодательства, изменений в налоговом законодательстве, а также сумм и сроков получения будущего налогооблагаемого дохода существует неопределенность. С учетом значительного разнообразия международных операций Группы, а также долгосрочного характера и сложности имеющихся договорных отношений, разница, возникающая между фактическими результатами и принятыми допущениями, или будущие изменения таких допущений могут повлечь за собой будущие корректировки уже отраженных в отчетности сумм налогооблагаемых доходов и расходов. Основываясь на обоснованных допущениях, Группа создает резервы под возможные последствия налогового аудита, проводимого налоговыми органами стран, в которых она осуществляет свою деятельность. </w:t>
      </w:r>
    </w:p>
    <w:p>
      <w:pPr>
        <w:spacing w:after="0"/>
        <w:ind w:left="0"/>
        <w:jc w:val="both"/>
      </w:pPr>
      <w:r>
        <w:rPr>
          <w:rFonts w:ascii="Times New Roman"/>
          <w:b w:val="false"/>
          <w:i w:val="false"/>
          <w:color w:val="000000"/>
          <w:sz w:val="28"/>
        </w:rPr>
        <w:t xml:space="preserve">
      Величина подобных резервов зависит от различных факторов, например, от результатов предыдущих аудитов и различных интерпретаций налогового законодательства компанией-налогоплательщиком и соответствующим налоговым органом. Подобные различия в интерпретации могут возникнуть по большому количеству вопросов в зависимости от условий, преобладающих в стране, в которой зарегистрирована соответствующая компания Группы. </w:t>
      </w:r>
    </w:p>
    <w:p>
      <w:pPr>
        <w:spacing w:after="0"/>
        <w:ind w:left="0"/>
        <w:jc w:val="both"/>
      </w:pPr>
      <w:r>
        <w:rPr>
          <w:rFonts w:ascii="Times New Roman"/>
          <w:b w:val="false"/>
          <w:i w:val="false"/>
          <w:color w:val="000000"/>
          <w:sz w:val="28"/>
        </w:rPr>
        <w:t>
      При оценке налоговых рисков, руководство Группы рассматривает в качестве возможных обязательств известные сферы несоблюдения налогового законодательства, которые Группа не может оспорить или не считает, что она сможет успешно обжаловать, если дополнительные налоги будут начислены налоговыми органами. Такое определение требует вынесения существенных суждений и может изменяться в результате изменений в налоговом законодательстве и нормативно-правовых актах, поправок в условия налогообложения в контрактах Группы на недропользование, определения ожидаемых результатов по ожидающим своего решения налоговым разбирательствам и результата осуществляемой налоговыми органами проверки на соответствие. Резерв по налогам, раскрытый в Примечании 22, в основном, относится к применению Группой казахстанского законодательства о трансфертном ценообразовании в отношении экспортной реализации сырой нефти на период с 2002 по 2006 годы. Остальные неопределенности, относящиеся к налогообложению, раскрыты в Примечании 40.</w:t>
      </w:r>
    </w:p>
    <w:bookmarkStart w:name="z148" w:id="148"/>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Справедливая стоимость финансовых инструментов</w:t>
      </w:r>
    </w:p>
    <w:bookmarkEnd w:id="148"/>
    <w:p>
      <w:pPr>
        <w:spacing w:after="0"/>
        <w:ind w:left="0"/>
        <w:jc w:val="both"/>
      </w:pPr>
      <w:r>
        <w:rPr>
          <w:rFonts w:ascii="Times New Roman"/>
          <w:b w:val="false"/>
          <w:i w:val="false"/>
          <w:color w:val="000000"/>
          <w:sz w:val="28"/>
        </w:rPr>
        <w:t>
      В случаях, когда справедливая стоимость финансовых инструментов и финансовых обязательств, признанных в консолидированном бухгалтерском балансе, не может быть определена на основании данных активных рынков, она определяется с использованием методов оценки, включая модель дисконтированных денежных потоков. В качестве исходных данных для этих моделей по возможности используется информация с наблюдаемых рынков, однако в тех случаях, когда это не представляется практически осуществимым, требуется определенная доля суждения для установления справедливой стоимости. Суждения включают учет таких исходных данных как риск ликвидности, кредитный риск и волатильность. Изменения в допущениях относительно данных факторов могут оказать влияние на справедливую стоимость финансовых инструментов, отраженную в консолидированной финансовой отчетности. Более подробная информация приведена в Примечании 39.</w:t>
      </w:r>
    </w:p>
    <w:bookmarkStart w:name="z149" w:id="149"/>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Обязательство по вознаграждениям работникам</w:t>
      </w:r>
    </w:p>
    <w:bookmarkEnd w:id="149"/>
    <w:p>
      <w:pPr>
        <w:spacing w:after="0"/>
        <w:ind w:left="0"/>
        <w:jc w:val="both"/>
      </w:pPr>
      <w:r>
        <w:rPr>
          <w:rFonts w:ascii="Times New Roman"/>
          <w:b w:val="false"/>
          <w:i w:val="false"/>
          <w:color w:val="000000"/>
          <w:sz w:val="28"/>
        </w:rPr>
        <w:t>
      Группа использует актуарный метод оценки для определения текущей стоимости обязательств по установленным выплатам после выхода на пенсию и связанную с этим текущую стоимость услуг (Примечание 23). Это требует использования демографических предположений в отношении будущих характеристик действительных и ушедших работников, которым полагаются вознаграждения (смертность в течение работы и после, статистика по изменению численности персонала, и прочее), а также финансовые предположения (ставка дисконтирования, будущая годовая финансовая помощь, будущая годовая минимальная заработная плата, будущая средняя цена железнодорожного билета). Подробная информация об использованных допущениях приведена в Примечании 23.</w:t>
      </w:r>
    </w:p>
    <w:bookmarkStart w:name="z150" w:id="150"/>
    <w:p>
      <w:pPr>
        <w:spacing w:after="0"/>
        <w:ind w:left="0"/>
        <w:jc w:val="both"/>
      </w:pPr>
      <w:r>
        <w:rPr>
          <w:rFonts w:ascii="Times New Roman"/>
          <w:b w:val="false"/>
          <w:i w:val="false"/>
          <w:color w:val="000000"/>
          <w:sz w:val="28"/>
        </w:rPr>
        <w:t xml:space="preserve">
      </w:t>
      </w:r>
      <w:r>
        <w:rPr>
          <w:rFonts w:ascii="Times New Roman"/>
          <w:b/>
          <w:i w:val="false"/>
          <w:color w:val="000000"/>
          <w:sz w:val="28"/>
        </w:rPr>
        <w:t>Убытки от обесценения займов клиентам и финансовым учреждениям</w:t>
      </w:r>
    </w:p>
    <w:bookmarkEnd w:id="150"/>
    <w:p>
      <w:pPr>
        <w:spacing w:after="0"/>
        <w:ind w:left="0"/>
        <w:jc w:val="both"/>
      </w:pPr>
      <w:r>
        <w:rPr>
          <w:rFonts w:ascii="Times New Roman"/>
          <w:b w:val="false"/>
          <w:i w:val="false"/>
          <w:color w:val="000000"/>
          <w:sz w:val="28"/>
        </w:rPr>
        <w:t>
      На каждую отчетную дату Группа проводит анализ своих существенных по отдельности займов клиентам и кредитным учреждениям, для того, чтобы оценить, должен ли убыток от обесценения быть учтен в отчете о совокупном доходе. В частности, суждения руководства требуются в оценке суммы и сроков, будущих денежных потоков при определении убытка от обесценения. При оценке таких денежных потоков, Группа выносит суждения о финансовом положении заемщика и чистой стоимости реализации обеспечения. Эти оценки основаны на допущениях по ряду факторов, и фактические результаты могут быть иными, что приведет к будущим изменениям в резерве.</w:t>
      </w:r>
    </w:p>
    <w:p>
      <w:pPr>
        <w:spacing w:after="0"/>
        <w:ind w:left="0"/>
        <w:jc w:val="both"/>
      </w:pPr>
      <w:r>
        <w:rPr>
          <w:rFonts w:ascii="Times New Roman"/>
          <w:b w:val="false"/>
          <w:i w:val="false"/>
          <w:color w:val="000000"/>
          <w:sz w:val="28"/>
        </w:rPr>
        <w:t xml:space="preserve">
      Затем, займы, которые были оценены по отдельности, и которые не обесценились и все несущественные по отдельности займы, оцениваются в совокупности, в группах активов с аналогичными характеристиками риска, для определения того, необходимо ли формировать резерв вследствие наступления случаев убытка, в отношение которых имеется объективное свидетельство, но влияние не является очевидным. </w:t>
      </w:r>
    </w:p>
    <w:p>
      <w:pPr>
        <w:spacing w:after="0"/>
        <w:ind w:left="0"/>
        <w:jc w:val="both"/>
      </w:pPr>
      <w:r>
        <w:rPr>
          <w:rFonts w:ascii="Times New Roman"/>
          <w:b w:val="false"/>
          <w:i w:val="false"/>
          <w:color w:val="000000"/>
          <w:sz w:val="28"/>
        </w:rPr>
        <w:t xml:space="preserve">
      Совокупная оценка принимает во внимание данные по кредитному портфелю, (такие как кредитное качество, уровни просрочки, использование кредита, соотношение займа к обеспечению и пр.), концентрацию риска и экономические показатели (в том числе уровень безработицы, индексы цен на недвижимость, страновой риск и показатели работы различных отдельных групп). Убыток по обесценению займов клиентам и кредитным учреждениям более детально раскрыт в Примечаниях 10 и 11. </w:t>
      </w:r>
    </w:p>
    <w:bookmarkStart w:name="z151" w:id="151"/>
    <w:p>
      <w:pPr>
        <w:spacing w:after="0"/>
        <w:ind w:left="0"/>
        <w:jc w:val="both"/>
      </w:pPr>
      <w:r>
        <w:rPr>
          <w:rFonts w:ascii="Times New Roman"/>
          <w:b w:val="false"/>
          <w:i w:val="false"/>
          <w:color w:val="000000"/>
          <w:sz w:val="28"/>
        </w:rPr>
        <w:t xml:space="preserve">
      </w:t>
      </w:r>
      <w:r>
        <w:rPr>
          <w:rFonts w:ascii="Times New Roman"/>
          <w:b/>
          <w:i w:val="false"/>
          <w:color w:val="000000"/>
          <w:sz w:val="28"/>
        </w:rPr>
        <w:t>Резервы по сомнительной дебиторской задолженности</w:t>
      </w:r>
    </w:p>
    <w:bookmarkEnd w:id="151"/>
    <w:p>
      <w:pPr>
        <w:spacing w:after="0"/>
        <w:ind w:left="0"/>
        <w:jc w:val="both"/>
      </w:pPr>
      <w:r>
        <w:rPr>
          <w:rFonts w:ascii="Times New Roman"/>
          <w:b w:val="false"/>
          <w:i w:val="false"/>
          <w:color w:val="000000"/>
          <w:sz w:val="28"/>
        </w:rPr>
        <w:t xml:space="preserve">
      Группа формирует резервы по сомнительной дебиторской задолженности. Значительные суждения используются при определении сомнительных долгов. При определении сомнительных долгов рассматривается историческое и ожидаемое поведение клиентов. Изменения в экономике, индустрии или индивидуальные условия клиента могут потребовать корректировок резерва по сомнительной задолженности в данной консолидированной финансовой отчетности. По состоянию на 31 декабря 2013 года резервы по сомнительным долгам были сформированы в размере 96.396 миллионов тенге (2012: 85.089 миллионов тенге) </w:t>
      </w:r>
      <w:r>
        <w:rPr>
          <w:rFonts w:ascii="Times New Roman"/>
          <w:b w:val="false"/>
          <w:i/>
          <w:color w:val="000000"/>
          <w:sz w:val="28"/>
        </w:rPr>
        <w:t>(Примечания 13 и 15)</w:t>
      </w:r>
      <w:r>
        <w:rPr>
          <w:rFonts w:ascii="Times New Roman"/>
          <w:b w:val="false"/>
          <w:i w:val="false"/>
          <w:color w:val="000000"/>
          <w:sz w:val="28"/>
        </w:rPr>
        <w:t>.</w:t>
      </w:r>
    </w:p>
    <w:bookmarkStart w:name="z152" w:id="152"/>
    <w:p>
      <w:pPr>
        <w:spacing w:after="0"/>
        <w:ind w:left="0"/>
        <w:jc w:val="both"/>
      </w:pPr>
      <w:r>
        <w:rPr>
          <w:rFonts w:ascii="Times New Roman"/>
          <w:b w:val="false"/>
          <w:i w:val="false"/>
          <w:color w:val="000000"/>
          <w:sz w:val="28"/>
        </w:rPr>
        <w:t xml:space="preserve">
      </w:t>
      </w:r>
      <w:r>
        <w:rPr>
          <w:rFonts w:ascii="Times New Roman"/>
          <w:b/>
          <w:i w:val="false"/>
          <w:color w:val="000000"/>
          <w:sz w:val="28"/>
        </w:rPr>
        <w:t>5. ПРИОБРЕТЕНИЯ</w:t>
      </w:r>
    </w:p>
    <w:bookmarkEnd w:id="152"/>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ТОО "Казцинк"</w:t>
      </w:r>
    </w:p>
    <w:p>
      <w:pPr>
        <w:spacing w:after="0"/>
        <w:ind w:left="0"/>
        <w:jc w:val="both"/>
      </w:pPr>
      <w:r>
        <w:rPr>
          <w:rFonts w:ascii="Times New Roman"/>
          <w:b w:val="false"/>
          <w:i w:val="false"/>
          <w:color w:val="000000"/>
          <w:sz w:val="28"/>
        </w:rPr>
        <w:t xml:space="preserve">
      1 февраля 2013 года Фонд приобрел 29,8221% доли участия в уставном капитале ТОО "Казцинк" путем приобретения 100% долей участия в уставном капитале ТОО "Logic Business", ТОО "Logic Invest Capital" и ТОО "Инвестиционный дом "Дана", владеющих по 9,9407% доли участия в ТОО "Казцинк", на общую сумму 248.838 миллионов тенге (стоимость каждой компании составила 82.946 миллионов тенге). Приобретение было осуществлено за счет средств, поступивших от размещения купонных облигаций Фонда на сумму 255.000 миллионов тенге и выкупленных Национальным Банком Республики Казахстан </w:t>
      </w:r>
      <w:r>
        <w:rPr>
          <w:rFonts w:ascii="Times New Roman"/>
          <w:b w:val="false"/>
          <w:i/>
          <w:color w:val="000000"/>
          <w:sz w:val="28"/>
        </w:rPr>
        <w:t>(Примечание 19)</w:t>
      </w:r>
      <w:r>
        <w:rPr>
          <w:rFonts w:ascii="Times New Roman"/>
          <w:b w:val="false"/>
          <w:i w:val="false"/>
          <w:color w:val="000000"/>
          <w:sz w:val="28"/>
        </w:rPr>
        <w:t>. Срок обращения облигаций составляет 50 лет с купонным вознаграждением в размере 0,01% годовых.</w:t>
      </w:r>
    </w:p>
    <w:p>
      <w:pPr>
        <w:spacing w:after="0"/>
        <w:ind w:left="0"/>
        <w:jc w:val="both"/>
      </w:pPr>
      <w:r>
        <w:rPr>
          <w:rFonts w:ascii="Times New Roman"/>
          <w:b w:val="false"/>
          <w:i w:val="false"/>
          <w:color w:val="000000"/>
          <w:sz w:val="28"/>
        </w:rPr>
        <w:t>
      Доля участия в ТОО "Казцинк" учитывается по методу долевого участия в консолидированной финансовой отчетности Группы. Приобретение ТОО "Казцинк" было учтено в консолидированной финансовой отчетности по методу покупки.</w:t>
      </w:r>
    </w:p>
    <w:p>
      <w:pPr>
        <w:spacing w:after="0"/>
        <w:ind w:left="0"/>
        <w:jc w:val="both"/>
      </w:pPr>
      <w:r>
        <w:rPr>
          <w:rFonts w:ascii="Times New Roman"/>
          <w:b w:val="false"/>
          <w:i w:val="false"/>
          <w:color w:val="000000"/>
          <w:sz w:val="28"/>
        </w:rPr>
        <w:t>
      Справедливая стоимость идентифицируемых активов и обязательств на дату приобретения представлена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9950"/>
      </w:tblGrid>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вознаграждения</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248.838</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Консолидированная чистая прибыль Группы за год, закончившийся 31 декабря 2013 года, включает долю прибыли, приходящуюся на 29,8221% долю в ТОО "Казцинк" с даты приобретения по 31 декабря 2013 года в размере 6.364 миллиона тенге.</w:t>
      </w:r>
    </w:p>
    <w:bookmarkStart w:name="z153" w:id="153"/>
    <w:p>
      <w:pPr>
        <w:spacing w:after="0"/>
        <w:ind w:left="0"/>
        <w:jc w:val="both"/>
      </w:pPr>
      <w:r>
        <w:rPr>
          <w:rFonts w:ascii="Times New Roman"/>
          <w:b w:val="false"/>
          <w:i w:val="false"/>
          <w:color w:val="000000"/>
          <w:sz w:val="28"/>
        </w:rPr>
        <w:t xml:space="preserve">
      </w:t>
      </w:r>
      <w:r>
        <w:rPr>
          <w:rFonts w:ascii="Times New Roman"/>
          <w:b/>
          <w:i w:val="false"/>
          <w:color w:val="000000"/>
          <w:sz w:val="28"/>
        </w:rPr>
        <w:t>Приобретения в 2012 году</w:t>
      </w:r>
    </w:p>
    <w:bookmarkEnd w:id="153"/>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доли участия в Карачаганакском Проектном Консорциуме</w:t>
      </w:r>
    </w:p>
    <w:p>
      <w:pPr>
        <w:spacing w:after="0"/>
        <w:ind w:left="0"/>
        <w:jc w:val="both"/>
      </w:pPr>
      <w:r>
        <w:rPr>
          <w:rFonts w:ascii="Times New Roman"/>
          <w:b w:val="false"/>
          <w:i w:val="false"/>
          <w:color w:val="000000"/>
          <w:sz w:val="28"/>
        </w:rPr>
        <w:t>
      28 июня 2012 года Правительство, в лице Министерства нефти и газа и Комитета государственного имущества и приватизации Министерства финансов Республики Казахстан, и участники Карачаганакского проекта (далее – "Консорциум" или "КПО") подписали договор, согласно которого Правительство приобрело 10%-ю долю в КПО. Справедливая стоимость приобретенной 10%-й доли была оценена в размере 2 миллиарда долларов США (300 миллиардов тенге), из которых 150 миллиардов тенге Правительство выплатило денежными средствами, а оставшаяся часть была зачтена в счет обязательств по налогам.</w:t>
      </w:r>
    </w:p>
    <w:p>
      <w:pPr>
        <w:spacing w:after="0"/>
        <w:ind w:left="0"/>
        <w:jc w:val="both"/>
      </w:pPr>
      <w:r>
        <w:rPr>
          <w:rFonts w:ascii="Times New Roman"/>
          <w:b w:val="false"/>
          <w:i w:val="false"/>
          <w:color w:val="000000"/>
          <w:sz w:val="28"/>
        </w:rPr>
        <w:t>
      Правительство сформировало новое предприятие "Компания по управлению долей в окончательном соглашении о разделе продукции" (далее "КУДОСРП") и осуществило передачу приобретенной 10%-й доли в проекте в капитал КУДОСРП. Далее, в соответствии с Постановлением Правительства № 570 от 3 мая 2012 года, 28 июня 2012 года Фонду была передана 100% доля владения Правительства в КУДОСРП, справедливая стоимость которой на дату передачи составила 300.070 миллионов тенге. В обмен на это Фонд выпустил 300.071 простых акций на общую сумму 300.070 миллионов тенге.</w:t>
      </w:r>
    </w:p>
    <w:p>
      <w:pPr>
        <w:spacing w:after="0"/>
        <w:ind w:left="0"/>
        <w:jc w:val="both"/>
      </w:pPr>
      <w:r>
        <w:rPr>
          <w:rFonts w:ascii="Times New Roman"/>
          <w:b w:val="false"/>
          <w:i w:val="false"/>
          <w:color w:val="000000"/>
          <w:sz w:val="28"/>
        </w:rPr>
        <w:t>
      29 июня 2012 года Фонд осуществил передачу КУДОСРП НК КМГ в обмен на акции НК КМГ стоимостью 150.035 миллионов тенге и денежное вознаграждение в размере 150.035 миллионов тенге. Денежное вознаграждение было финансировано через заем в размере 1 миллиард долларов США. В соответствии с договором займа, годовая процентная ставка составила ЛИБОР плюс 3% помноженный на 1,25, и основной долг подлежит к уплате равными ежемесячными долями за счет денежных потоков от проекта в течение 3 (трех) лет. Согласно соглашения по займу в качестве обеспечения, НК КМГ предоставляет Консорциуму 5% доли участия в проекте. Фонд предоставил гарантию по данному займу.</w:t>
      </w:r>
    </w:p>
    <w:p>
      <w:pPr>
        <w:spacing w:after="0"/>
        <w:ind w:left="0"/>
        <w:jc w:val="both"/>
      </w:pPr>
      <w:r>
        <w:rPr>
          <w:rFonts w:ascii="Times New Roman"/>
          <w:b w:val="false"/>
          <w:i w:val="false"/>
          <w:color w:val="000000"/>
          <w:sz w:val="28"/>
        </w:rPr>
        <w:t xml:space="preserve">
      28 июня 2012 года, Фонд выплатил дивиденды в размере 159.113 миллионов тенге </w:t>
      </w:r>
      <w:r>
        <w:rPr>
          <w:rFonts w:ascii="Times New Roman"/>
          <w:b w:val="false"/>
          <w:i/>
          <w:color w:val="000000"/>
          <w:sz w:val="28"/>
        </w:rPr>
        <w:t>(Примечание 17.3)</w:t>
      </w:r>
      <w:r>
        <w:rPr>
          <w:rFonts w:ascii="Times New Roman"/>
          <w:b w:val="false"/>
          <w:i w:val="false"/>
          <w:color w:val="000000"/>
          <w:sz w:val="28"/>
        </w:rPr>
        <w:t>. Поступления от данных дивидендов Правительство использовало для финансирования приобретения упомянутой выше доли участия в КПО.</w:t>
      </w:r>
    </w:p>
    <w:p>
      <w:pPr>
        <w:spacing w:after="0"/>
        <w:ind w:left="0"/>
        <w:jc w:val="both"/>
      </w:pPr>
      <w:r>
        <w:rPr>
          <w:rFonts w:ascii="Times New Roman"/>
          <w:b w:val="false"/>
          <w:i w:val="false"/>
          <w:color w:val="000000"/>
          <w:sz w:val="28"/>
        </w:rPr>
        <w:t>
      В соответствии с Соглашением о Совместной деятельности (далее – "ССД"), подписанным в обновленном варианте 28 июня 2012 года, Группа приобрела все выгоды, затраты и обязательства, связанные с деятельностью Карачаганака в пропорции к приобретенной доле участия. Доля владения в Карачаганакском проекте на дату приобретения представлена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на дату приобретения</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293.506</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дебиторская задолженность</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309.854</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кредиторская задолженность</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доли участия в АО "Восточно-Казахстанская региональная энергетическая компания"</w:t>
      </w:r>
    </w:p>
    <w:p>
      <w:pPr>
        <w:spacing w:after="0"/>
        <w:ind w:left="0"/>
        <w:jc w:val="both"/>
      </w:pPr>
      <w:r>
        <w:rPr>
          <w:rFonts w:ascii="Times New Roman"/>
          <w:b w:val="false"/>
          <w:i w:val="false"/>
          <w:color w:val="000000"/>
          <w:sz w:val="28"/>
        </w:rPr>
        <w:t>
      В 2012 году Правительство передало Фонду 100%-ную долю участия в АО "Восточно-Казахстанская региональная энергетическая компания" (далее "ВК РЭК"). В обмен на это Фонд осуществил эмиссию акций на сумму 7.723 миллиона тенге. ВК РЭК оказывает услуги по передаче электроэнергии.</w:t>
      </w:r>
    </w:p>
    <w:p>
      <w:pPr>
        <w:spacing w:after="0"/>
        <w:ind w:left="0"/>
        <w:jc w:val="both"/>
      </w:pPr>
      <w:r>
        <w:rPr>
          <w:rFonts w:ascii="Times New Roman"/>
          <w:b w:val="false"/>
          <w:i w:val="false"/>
          <w:color w:val="000000"/>
          <w:sz w:val="28"/>
        </w:rPr>
        <w:t xml:space="preserve">
      Так как передача доли участия представляет собой объединение предприятий под общим контролем, данная операция была учтена с использованием метода объединения долей в консолидированной финансовой отчетности. Разница между балансовой стоимостью чистых активов и суммой выпущенного уставного капитала в размере 4.149 миллионов тенге отражена как уменьшение нераспределенной прибыли в составе консолидированного отчета об изменениях в капитале </w:t>
      </w:r>
      <w:r>
        <w:rPr>
          <w:rFonts w:ascii="Times New Roman"/>
          <w:b w:val="false"/>
          <w:i/>
          <w:color w:val="000000"/>
          <w:sz w:val="28"/>
        </w:rPr>
        <w:t>(Примечание 17.1)</w:t>
      </w:r>
      <w:r>
        <w:rPr>
          <w:rFonts w:ascii="Times New Roman"/>
          <w:b w:val="false"/>
          <w:i w:val="false"/>
          <w:color w:val="000000"/>
          <w:sz w:val="28"/>
        </w:rPr>
        <w:t>.</w:t>
      </w:r>
    </w:p>
    <w:bookmarkStart w:name="z154" w:id="154"/>
    <w:p>
      <w:pPr>
        <w:spacing w:after="0"/>
        <w:ind w:left="0"/>
        <w:jc w:val="both"/>
      </w:pPr>
      <w:r>
        <w:rPr>
          <w:rFonts w:ascii="Times New Roman"/>
          <w:b w:val="false"/>
          <w:i w:val="false"/>
          <w:color w:val="000000"/>
          <w:sz w:val="28"/>
        </w:rPr>
        <w:t xml:space="preserve">
      </w:t>
      </w:r>
      <w:r>
        <w:rPr>
          <w:rFonts w:ascii="Times New Roman"/>
          <w:b/>
          <w:i w:val="false"/>
          <w:color w:val="000000"/>
          <w:sz w:val="28"/>
        </w:rPr>
        <w:t>6. ПРЕКРАЩЕННАЯ ДЕЯТЕЛЬНОСТЬ, АКТИВЫ, КЛАССИФИЦИРУЕМЫЕ КАК ПРЕДНАЗНАЧЕННЫЕ ДЛЯ ПРОДАЖИ И ПОТЕРЯ КОНТРОЛЯ НАД ДОЧЕРНЕЙ ОРГАНИЗАЦИЕЙ</w:t>
      </w:r>
    </w:p>
    <w:bookmarkEnd w:id="154"/>
    <w:bookmarkStart w:name="z155" w:id="155"/>
    <w:p>
      <w:pPr>
        <w:spacing w:after="0"/>
        <w:ind w:left="0"/>
        <w:jc w:val="both"/>
      </w:pPr>
      <w:r>
        <w:rPr>
          <w:rFonts w:ascii="Times New Roman"/>
          <w:b w:val="false"/>
          <w:i w:val="false"/>
          <w:color w:val="000000"/>
          <w:sz w:val="28"/>
        </w:rPr>
        <w:t xml:space="preserve">
      </w:t>
      </w:r>
      <w:r>
        <w:rPr>
          <w:rFonts w:ascii="Times New Roman"/>
          <w:b/>
          <w:i w:val="false"/>
          <w:color w:val="000000"/>
          <w:sz w:val="28"/>
        </w:rPr>
        <w:t>Прекращенная деятельность 2013 года</w:t>
      </w:r>
    </w:p>
    <w:bookmarkEnd w:id="155"/>
    <w:p>
      <w:pPr>
        <w:spacing w:after="0"/>
        <w:ind w:left="0"/>
        <w:jc w:val="both"/>
      </w:pPr>
      <w:r>
        <w:rPr>
          <w:rFonts w:ascii="Times New Roman"/>
          <w:b w:val="false"/>
          <w:i w:val="false"/>
          <w:color w:val="000000"/>
          <w:sz w:val="28"/>
        </w:rPr>
        <w:t xml:space="preserve">
      </w:t>
      </w:r>
      <w:r>
        <w:rPr>
          <w:rFonts w:ascii="Times New Roman"/>
          <w:b w:val="false"/>
          <w:i/>
          <w:color w:val="000000"/>
          <w:sz w:val="28"/>
        </w:rPr>
        <w:t>Передача Акционеру институтов развития, финансовых организаций, ТОО "СК-Фармация" и АО "Национальная геологоразведочная компания "Казгеология"</w:t>
      </w:r>
    </w:p>
    <w:p>
      <w:pPr>
        <w:spacing w:after="0"/>
        <w:ind w:left="0"/>
        <w:jc w:val="both"/>
      </w:pPr>
      <w:r>
        <w:rPr>
          <w:rFonts w:ascii="Times New Roman"/>
          <w:b w:val="false"/>
          <w:i w:val="false"/>
          <w:color w:val="000000"/>
          <w:sz w:val="28"/>
        </w:rPr>
        <w:t xml:space="preserve">
      В соответствии с протоколом совещания с участием Президента Республики Казахстан от 23 января 2013 года № 01-7.1 "Об итогах социально-экономического развития Республики Казахстан за 2012 год и задачах по реализации </w:t>
      </w:r>
      <w:r>
        <w:rPr>
          <w:rFonts w:ascii="Times New Roman"/>
          <w:b w:val="false"/>
          <w:i w:val="false"/>
          <w:color w:val="000000"/>
          <w:sz w:val="28"/>
        </w:rPr>
        <w:t>Стратегии</w:t>
      </w:r>
      <w:r>
        <w:rPr>
          <w:rFonts w:ascii="Times New Roman"/>
          <w:b w:val="false"/>
          <w:i w:val="false"/>
          <w:color w:val="000000"/>
          <w:sz w:val="28"/>
        </w:rPr>
        <w:t xml:space="preserve"> "Казахстан-2050" Правительству было поручено создать АО "Национальное агентство развития". Владельцем 100% акций данного Агентства будет Правительство, с передачей ему принадлежащих Фонду долей владения в институтах развития и финансовых организациях, предусмотрев передачу ТОО "СК-Фармация" в ведение Министерства здравоохранения Республики Казахстан.</w:t>
      </w:r>
    </w:p>
    <w:p>
      <w:pPr>
        <w:spacing w:after="0"/>
        <w:ind w:left="0"/>
        <w:jc w:val="both"/>
      </w:pPr>
      <w:r>
        <w:rPr>
          <w:rFonts w:ascii="Times New Roman"/>
          <w:b w:val="false"/>
          <w:i w:val="false"/>
          <w:color w:val="000000"/>
          <w:sz w:val="28"/>
        </w:rPr>
        <w:t>
      В апреле 2013 года Фонд в соответствии с договорами доверительного управления с правом полного контроля передал пакеты акций некоторых дочерних организаций Акционеру в лице следующих государственных учреждений: Министерству регионального развития Республики Казахстан – АО "Фонд развития предпринимательства "Даму", Министерству индустрии и новых технологий Республики Казахстан – АО "Банк Развития Казахстана", АО "Kazyna Capital Management", АО "Экспортно-кредитная страховая корпорация" "КазЭкспортГарант", АО "Инвестиционный Фонд Казахстана", Министерству здравоохранения Республики Казахстан – ТОО "СК-Фармация". В мае 2013 года данные договора доверительного управления с Министерствами были аннулированы. Новые договора доверительного управления с и заключены новые договора с АО "Национальный управляющий холдинг "Байтерек".</w:t>
      </w:r>
    </w:p>
    <w:p>
      <w:pPr>
        <w:spacing w:after="0"/>
        <w:ind w:left="0"/>
        <w:jc w:val="both"/>
      </w:pPr>
      <w:r>
        <w:rPr>
          <w:rFonts w:ascii="Times New Roman"/>
          <w:b w:val="false"/>
          <w:i w:val="false"/>
          <w:color w:val="000000"/>
          <w:sz w:val="28"/>
        </w:rPr>
        <w:t xml:space="preserve">
      В мае 2013 года Фонд в соответствии с договорами доверительного управления с правом полного контроля передал пакеты акций институтов развития и финансовых организаций в АО "Национальный управляющий холдинг "Байтерек", созданный в соответствии с Постановлением Правительства от 25 мая 2013 года. </w:t>
      </w:r>
    </w:p>
    <w:p>
      <w:pPr>
        <w:spacing w:after="0"/>
        <w:ind w:left="0"/>
        <w:jc w:val="both"/>
      </w:pPr>
      <w:r>
        <w:rPr>
          <w:rFonts w:ascii="Times New Roman"/>
          <w:b w:val="false"/>
          <w:i w:val="false"/>
          <w:color w:val="000000"/>
          <w:sz w:val="28"/>
        </w:rPr>
        <w:t xml:space="preserve">
      В июле 2013 года во исполнение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мая 2013 года № 516 "О мерах по реализации Указа Президента Республики Казахстан № 571 от 22 мая 2013 года "О некоторых мерах по оптимизации системы управления институтами развития и развития национальной экономики" Фонд и Комитет государственного имущества и приватизации Министерства финансов подписали договор мены, согласно которому права собственности на пакеты акций и долю участия в дочерних организациях АО "Фонд развития предпринимательства "Даму", АО "Kazyna Capital Management", АО "Экспортно-кредитная страховая корпорация "КазЭкспортГарант", АО "Инвестиционный Фонд Казахстана", АО "Банк Развития Казахстана", ТОО "СК-Фармация" передаются в республиканскую собственность в обмен на республиканское имущество в соответствии с перечнем, указанном в Постановлении Правительства. В августе 2013 года в рамках вышеуказанного договора мены Фонд осуществил передачу в республиканскую собственность пакетов акций и долей участия в дочерних организациях (АО "Фонд развития предпринимательства "Даму", АО "Kazyna Capital Management", АО "Экспортно-кредитная страховая корпорация "КазЭкспортГарант", АО "Инвестиционный Фонд Казахстана", ТОО "СК-Фармация"). По состоянию на 31 декабря 2013 года Фонд не получал имущество по вышеописанному договору. </w:t>
      </w:r>
    </w:p>
    <w:p>
      <w:pPr>
        <w:spacing w:after="0"/>
        <w:ind w:left="0"/>
        <w:jc w:val="both"/>
      </w:pPr>
      <w:r>
        <w:rPr>
          <w:rFonts w:ascii="Times New Roman"/>
          <w:b w:val="false"/>
          <w:i w:val="false"/>
          <w:color w:val="000000"/>
          <w:sz w:val="28"/>
        </w:rPr>
        <w:t>
      В связи с тем, что в апреле 2013 года Фонд потерял контроль над данными дочерними организациями, Фонд отразил их выбытие как распределение Акционеру (</w:t>
      </w:r>
      <w:r>
        <w:rPr>
          <w:rFonts w:ascii="Times New Roman"/>
          <w:b w:val="false"/>
          <w:i/>
          <w:color w:val="000000"/>
          <w:sz w:val="28"/>
        </w:rPr>
        <w:t>Примечание 17.4</w:t>
      </w:r>
      <w:r>
        <w:rPr>
          <w:rFonts w:ascii="Times New Roman"/>
          <w:b w:val="false"/>
          <w:i w:val="false"/>
          <w:color w:val="000000"/>
          <w:sz w:val="28"/>
        </w:rPr>
        <w:t>).</w:t>
      </w:r>
    </w:p>
    <w:p>
      <w:pPr>
        <w:spacing w:after="0"/>
        <w:ind w:left="0"/>
        <w:jc w:val="both"/>
      </w:pPr>
      <w:r>
        <w:rPr>
          <w:rFonts w:ascii="Times New Roman"/>
          <w:b w:val="false"/>
          <w:i w:val="false"/>
          <w:color w:val="000000"/>
          <w:sz w:val="28"/>
        </w:rPr>
        <w:t>
      В соответствии с данным договором мены, права собственности на пакет акций в АО "Национальная геологоразведочная компания "Казгеология" также были переданы в республиканскую собственность в обмен на республиканское имущество, в соответствии с перечнем, указанном в Постановлении Правительства. Фонд отразил выбытие АО "Национальная геологоразведочная компания "Казгеология" как распределение Акционеру (</w:t>
      </w:r>
      <w:r>
        <w:rPr>
          <w:rFonts w:ascii="Times New Roman"/>
          <w:b w:val="false"/>
          <w:i/>
          <w:color w:val="000000"/>
          <w:sz w:val="28"/>
        </w:rPr>
        <w:t>Примечание 17.4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Институты развития и финансовые организации</w:t>
      </w:r>
    </w:p>
    <w:p>
      <w:pPr>
        <w:spacing w:after="0"/>
        <w:ind w:left="0"/>
        <w:jc w:val="both"/>
      </w:pPr>
      <w:r>
        <w:rPr>
          <w:rFonts w:ascii="Times New Roman"/>
          <w:b w:val="false"/>
          <w:i w:val="false"/>
          <w:color w:val="000000"/>
          <w:sz w:val="28"/>
        </w:rPr>
        <w:t>
      Результаты деятельности институтов развития и финансовых организаций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4523"/>
        <w:gridCol w:w="5494"/>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2013 года до даты выбытия</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год, закончившийся 31 декабря 2012 года*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(убыток)/прибыль</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Восстановление/(убыток) от обесценения, нетто</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доход</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убыток</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операционной деятельности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Положительная/(отрицательная) курсовая разница, нетто</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до налогообложения от прекращенной деятельности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прекращенной деятельности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По состоянию на 31 декабря 2013 года Группа провела пересчет консолидированного отчета о совокупном доходе и о движении денежных средств за год, закончившийся 31 декабря 2012 года, вследствие признания институтов развития и финансовых организаций как прекращенной деятельности.</w:t>
      </w:r>
    </w:p>
    <w:p>
      <w:pPr>
        <w:spacing w:after="0"/>
        <w:ind w:left="0"/>
        <w:jc w:val="both"/>
      </w:pPr>
      <w:r>
        <w:rPr>
          <w:rFonts w:ascii="Times New Roman"/>
          <w:b w:val="false"/>
          <w:i w:val="false"/>
          <w:color w:val="000000"/>
          <w:sz w:val="28"/>
        </w:rPr>
        <w:t>
      Соответственно, сравнительный консолидированный отчет о совокупном доходе и сравнительный консолидированный отчет о движении денежных средств за год, закончившийся 31 декабря 2012 года, были пересчитаны в соответствии с требованиями МСБУ 1.</w:t>
      </w:r>
    </w:p>
    <w:p>
      <w:pPr>
        <w:spacing w:after="0"/>
        <w:ind w:left="0"/>
        <w:jc w:val="both"/>
      </w:pPr>
      <w:r>
        <w:rPr>
          <w:rFonts w:ascii="Times New Roman"/>
          <w:b w:val="false"/>
          <w:i w:val="false"/>
          <w:color w:val="000000"/>
          <w:sz w:val="28"/>
        </w:rPr>
        <w:t>
      Основные категории активов и обязательств институтов развития и финансовых организаций на дату выбытия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5"/>
        <w:gridCol w:w="9325"/>
      </w:tblGrid>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и обязательства на дату выбытия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408.552</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469.612</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230.911</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подоходному налогу</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активы</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140.079</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1.290.759</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(784.244)</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 Республики Казахстан</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(857.815)</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Чистые денежные потоки институтов развития и финансовых организаций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4808"/>
        <w:gridCol w:w="5324"/>
      </w:tblGrid>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 января 2013 года до даты выбытия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(134.777)</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49.788</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63.078</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Чистое (расходование)/поступление денежных средств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(73.941)</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ТОО "СК-Фармация"</w:t>
      </w:r>
    </w:p>
    <w:p>
      <w:pPr>
        <w:spacing w:after="0"/>
        <w:ind w:left="0"/>
        <w:jc w:val="both"/>
      </w:pPr>
      <w:r>
        <w:rPr>
          <w:rFonts w:ascii="Times New Roman"/>
          <w:b w:val="false"/>
          <w:i w:val="false"/>
          <w:color w:val="000000"/>
          <w:sz w:val="28"/>
        </w:rPr>
        <w:t>
      ТОО "СК-Фармация" не отвечает определению прекращенной деятельности и было классифицировано как группа выбытия.</w:t>
      </w:r>
    </w:p>
    <w:p>
      <w:pPr>
        <w:spacing w:after="0"/>
        <w:ind w:left="0"/>
        <w:jc w:val="both"/>
      </w:pPr>
      <w:r>
        <w:rPr>
          <w:rFonts w:ascii="Times New Roman"/>
          <w:b w:val="false"/>
          <w:i w:val="false"/>
          <w:color w:val="000000"/>
          <w:sz w:val="28"/>
        </w:rPr>
        <w:t>
      Основные категории активов и обязательств ТОО "СК-Фармация" на дату выбытия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6"/>
        <w:gridCol w:w="8994"/>
      </w:tblGrid>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и обязательства на дату выбытия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23.628</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57.432</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кредиторская задолженность</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(39.611)</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(49.289)</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Чистая прибыль от деятельности ТОО "СК-Фармация" с 1 января 2013 года до даты выбытия составила 1.080 миллионов тенге (за год, закончившийся 31 декабря 2012 года: 2.753 миллиона тенге).</w:t>
      </w:r>
    </w:p>
    <w:p>
      <w:pPr>
        <w:spacing w:after="0"/>
        <w:ind w:left="0"/>
        <w:jc w:val="both"/>
      </w:pPr>
      <w:r>
        <w:rPr>
          <w:rFonts w:ascii="Times New Roman"/>
          <w:b w:val="false"/>
          <w:i w:val="false"/>
          <w:color w:val="000000"/>
          <w:sz w:val="28"/>
        </w:rPr>
        <w:t>
      Чистые денежные потоки ТОО "СК-Фармация" были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224"/>
        <w:gridCol w:w="578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 января 2013 года до даты выбытия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 денежных средств</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"Национальная геологоразведочная компания "Казгеология"</w:t>
      </w:r>
    </w:p>
    <w:p>
      <w:pPr>
        <w:spacing w:after="0"/>
        <w:ind w:left="0"/>
        <w:jc w:val="both"/>
      </w:pPr>
      <w:r>
        <w:rPr>
          <w:rFonts w:ascii="Times New Roman"/>
          <w:b w:val="false"/>
          <w:i w:val="false"/>
          <w:color w:val="000000"/>
          <w:sz w:val="28"/>
        </w:rPr>
        <w:t xml:space="preserve">
      АО "Национальная геологоразведочная компания "Казгеология" не отвечает определению прекращенной деятельности и было классифицировано как группа выбытия. </w:t>
      </w:r>
    </w:p>
    <w:p>
      <w:pPr>
        <w:spacing w:after="0"/>
        <w:ind w:left="0"/>
        <w:jc w:val="both"/>
      </w:pPr>
      <w:r>
        <w:rPr>
          <w:rFonts w:ascii="Times New Roman"/>
          <w:b w:val="false"/>
          <w:i w:val="false"/>
          <w:color w:val="000000"/>
          <w:sz w:val="28"/>
        </w:rPr>
        <w:t>
      Основные категории активов и обязательств АО "Национальная геологоразведочная компания "Казгеология" на дату выбытия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9177"/>
      </w:tblGrid>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и обязательства на дату выбытия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Чистая прибыль от деятельности АО "Национальная геологоразведочная компания "Казгеология" с 1 января 2013 года до даты выбытия составила 173 миллиона тенге (чистый убыток за год, закончившийся 31 декабря 2012 года: 371 миллион тенге).</w:t>
      </w:r>
    </w:p>
    <w:p>
      <w:pPr>
        <w:spacing w:after="0"/>
        <w:ind w:left="0"/>
        <w:jc w:val="both"/>
      </w:pPr>
      <w:r>
        <w:rPr>
          <w:rFonts w:ascii="Times New Roman"/>
          <w:b w:val="false"/>
          <w:i w:val="false"/>
          <w:color w:val="000000"/>
          <w:sz w:val="28"/>
        </w:rPr>
        <w:t>
      Чистые денежные потоки АО "Национальная геологоразведочная компания "Казгеология" были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224"/>
        <w:gridCol w:w="578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2013 года до даты выбытия</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расходование денежных средств</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bl>
    <w:p>
      <w:pPr>
        <w:spacing w:after="0"/>
        <w:ind w:left="0"/>
        <w:jc w:val="left"/>
      </w:pPr>
      <w:r>
        <w:br/>
      </w:r>
      <w:r>
        <w:rPr>
          <w:rFonts w:ascii="Times New Roman"/>
          <w:b w:val="false"/>
          <w:i w:val="false"/>
          <w:color w:val="000000"/>
          <w:sz w:val="28"/>
        </w:rPr>
        <w:t>
</w:t>
      </w:r>
    </w:p>
    <w:bookmarkStart w:name="z156" w:id="156"/>
    <w:p>
      <w:pPr>
        <w:spacing w:after="0"/>
        <w:ind w:left="0"/>
        <w:jc w:val="both"/>
      </w:pPr>
      <w:r>
        <w:rPr>
          <w:rFonts w:ascii="Times New Roman"/>
          <w:b w:val="false"/>
          <w:i w:val="false"/>
          <w:color w:val="000000"/>
          <w:sz w:val="28"/>
        </w:rPr>
        <w:t xml:space="preserve">
      </w:t>
      </w:r>
      <w:r>
        <w:rPr>
          <w:rFonts w:ascii="Times New Roman"/>
          <w:b w:val="false"/>
          <w:i/>
          <w:color w:val="000000"/>
          <w:sz w:val="28"/>
        </w:rPr>
        <w:t>АО "Темірбанк" и АО "БТА Банк"</w:t>
      </w:r>
    </w:p>
    <w:bookmarkEnd w:id="156"/>
    <w:p>
      <w:pPr>
        <w:spacing w:after="0"/>
        <w:ind w:left="0"/>
        <w:jc w:val="both"/>
      </w:pPr>
      <w:r>
        <w:rPr>
          <w:rFonts w:ascii="Times New Roman"/>
          <w:b w:val="false"/>
          <w:i w:val="false"/>
          <w:color w:val="000000"/>
          <w:sz w:val="28"/>
        </w:rPr>
        <w:t xml:space="preserve">
      В соответствии с протоколом совещания с участием Президента Республики Казахстан от 23 января 2013 года № 01-7.1 "Об итогах социально-экономического развития Республики Казахстан за 2012 год и задачах по реализации Стратегии "Казахстан-2050", Фонду поручено принять необходимые меры для выхода из состава акционеров АО "БТА Банк", АО "Альянс Банк", АО "Темірбанк" путем продажи принадлежащих Фонду пакетов акций до 31 декабря 2013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"Темiрбанк"</w:t>
      </w:r>
    </w:p>
    <w:p>
      <w:pPr>
        <w:spacing w:after="0"/>
        <w:ind w:left="0"/>
        <w:jc w:val="both"/>
      </w:pPr>
      <w:r>
        <w:rPr>
          <w:rFonts w:ascii="Times New Roman"/>
          <w:b w:val="false"/>
          <w:i w:val="false"/>
          <w:color w:val="000000"/>
          <w:sz w:val="28"/>
        </w:rPr>
        <w:t>
      В декабре 2013 года между Фондом и господином Утемуратовым Булатом подписаны соглашения о продаже Фондом 79,88% простых акций АО "Темiрбанк" (далее "Темирбанк") и 16% простых и привилегированных акций АО "Альянс Банк" (далее "Альянс Банк"), с целью последующего объединения Темирбанка и Альянс Банка в единый банк. Завершение сделки планируется до конца 2014 года, однако также зависит от ряда отлагательных условий, включающих принятие необходимых корпоративных решений, внесение изменений в банковское законодательство Республики Казахстан, уточняющих процедуру реорганизации банков, получение необходимых разрешений Национального Банка Республики Казахстан и других государственных органов. Руководство Фонда оценивает вероятность завершения сделок как высокую, и, учитывая, что весь имеющийся пакет простых акций Темирбанка находится в наличии для немедленной продажи в его настоящем состоянии исключительно на обычных и общепринятых условиях, которые характерны для сделок продажи инвестиций в банки, активы и обязательства Темирбанка были классифицированы как активы, классифицированные как предназначенные для продажи, по состоянию на 31 декабря 2013 года.</w:t>
      </w:r>
    </w:p>
    <w:p>
      <w:pPr>
        <w:spacing w:after="0"/>
        <w:ind w:left="0"/>
        <w:jc w:val="both"/>
      </w:pPr>
      <w:r>
        <w:rPr>
          <w:rFonts w:ascii="Times New Roman"/>
          <w:b w:val="false"/>
          <w:i w:val="false"/>
          <w:color w:val="000000"/>
          <w:sz w:val="28"/>
        </w:rPr>
        <w:t>
      Результаты деятельности Темирбанка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5008"/>
        <w:gridCol w:w="5496"/>
      </w:tblGrid>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2013 года</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21.656</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(Убыток)/восстановление от обесценения</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доход</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убыток</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операционной деятельности</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курсовая разница, нетто</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до налогообложения от прекращенной деятельности</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прекращенной деятельности</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По состоянию на 31 декабря 2013 года Группа провела пересчет консолидированного отчета о совокупном доходе и о движении денежных средств за год, закончившийся 31 декабря 2012 года, вследствие признания институтов развития и финансовых организаций как прекращенной деятельности. </w:t>
      </w:r>
    </w:p>
    <w:p>
      <w:pPr>
        <w:spacing w:after="0"/>
        <w:ind w:left="0"/>
        <w:jc w:val="both"/>
      </w:pPr>
      <w:r>
        <w:rPr>
          <w:rFonts w:ascii="Times New Roman"/>
          <w:b w:val="false"/>
          <w:i w:val="false"/>
          <w:color w:val="000000"/>
          <w:sz w:val="28"/>
        </w:rPr>
        <w:t>
      Соответственно, сравнительный консолидированный отчет о совокупном доходе и сравнительный консолидированный отчет о движении денежных средств за год, закончившийся 31 декабря 2012 года, были пересчитаны в соответствии с требованиями МСБУ 1.</w:t>
      </w:r>
    </w:p>
    <w:p>
      <w:pPr>
        <w:spacing w:after="0"/>
        <w:ind w:left="0"/>
        <w:jc w:val="both"/>
      </w:pPr>
      <w:r>
        <w:rPr>
          <w:rFonts w:ascii="Times New Roman"/>
          <w:b w:val="false"/>
          <w:i w:val="false"/>
          <w:color w:val="000000"/>
          <w:sz w:val="28"/>
        </w:rPr>
        <w:t>
      Основные категории активов и обязательств Темирбанка на 31 декабря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2"/>
        <w:gridCol w:w="7708"/>
      </w:tblGrid>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230.691</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29.791</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301.295</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(195.561)</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(246.415)</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Корректировка до справедливой стоимости чистых активов (обесценение)</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чистых активов</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Чистые денежные потоки Темирбанка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5531"/>
        <w:gridCol w:w="5532"/>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2013 года</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год, закончившийся 31 декабря 2012 года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Чистое расходование денежных средств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"БТА Банк"</w:t>
      </w:r>
    </w:p>
    <w:p>
      <w:pPr>
        <w:spacing w:after="0"/>
        <w:ind w:left="0"/>
        <w:jc w:val="both"/>
      </w:pPr>
      <w:r>
        <w:rPr>
          <w:rFonts w:ascii="Times New Roman"/>
          <w:b w:val="false"/>
          <w:i w:val="false"/>
          <w:color w:val="000000"/>
          <w:sz w:val="28"/>
        </w:rPr>
        <w:t xml:space="preserve">
      Согласно ряду документов, подписанных Фондом с АО "Казкоммерцбанк" (далее "ККБ") и господином Ракишевым Кенесом, в декабре 2013 года и январе 2014 года, ККБ и Кенес Ракишев каждый приобретают по 46,5% акций БТА Банка, с целью до конца 2014 года объединить БТА Банк и ККБ в единый банк. Оставшаяся доля в БТА Банке в размере 4,26% будет передана в доверительное управление ККБ, в результате чего ККБ получит контроль над БТА Банком до объединения. </w:t>
      </w:r>
    </w:p>
    <w:p>
      <w:pPr>
        <w:spacing w:after="0"/>
        <w:ind w:left="0"/>
        <w:jc w:val="both"/>
      </w:pPr>
      <w:r>
        <w:rPr>
          <w:rFonts w:ascii="Times New Roman"/>
          <w:b w:val="false"/>
          <w:i w:val="false"/>
          <w:color w:val="000000"/>
          <w:sz w:val="28"/>
        </w:rPr>
        <w:t xml:space="preserve">
      Сделка не будет считаться завершенной до выполнения сторонами ряда отлагательных условий, включающих получение разрешений соответствующих органов управления сторон и государственных регулирующих органов, а также внесение изменений в банковское законодательство Республики Казахстан, разрешающих ККБ осуществление инвестиций свыше 10% от собственного капитала. </w:t>
      </w:r>
    </w:p>
    <w:p>
      <w:pPr>
        <w:spacing w:after="0"/>
        <w:ind w:left="0"/>
        <w:jc w:val="both"/>
      </w:pPr>
      <w:r>
        <w:rPr>
          <w:rFonts w:ascii="Times New Roman"/>
          <w:b w:val="false"/>
          <w:i w:val="false"/>
          <w:color w:val="000000"/>
          <w:sz w:val="28"/>
        </w:rPr>
        <w:t xml:space="preserve">
      В дополнение, стороны договорились о взаимодействии по возврату проблемных активов БТА Банка. Завершение сделки планируется во втором квартале 2014 года. </w:t>
      </w:r>
    </w:p>
    <w:p>
      <w:pPr>
        <w:spacing w:after="0"/>
        <w:ind w:left="0"/>
        <w:jc w:val="both"/>
      </w:pPr>
      <w:r>
        <w:rPr>
          <w:rFonts w:ascii="Times New Roman"/>
          <w:b w:val="false"/>
          <w:i w:val="false"/>
          <w:color w:val="000000"/>
          <w:sz w:val="28"/>
        </w:rPr>
        <w:t>
      Принимая во внимание вышеуказанное, а также то, что Правительство и Национальный Банк Республики Казахстан согласно Меморандуму о взаимопонимании окажут содействие сторонам для решения некоторых критических отлагательных условий, активы и обязательства БТА Банка были классифицированы как активы, классифицированные как предназначенные для продажи, на 31 декабря 2013 года.</w:t>
      </w:r>
    </w:p>
    <w:p>
      <w:pPr>
        <w:spacing w:after="0"/>
        <w:ind w:left="0"/>
        <w:jc w:val="both"/>
      </w:pPr>
      <w:r>
        <w:rPr>
          <w:rFonts w:ascii="Times New Roman"/>
          <w:b w:val="false"/>
          <w:i w:val="false"/>
          <w:color w:val="000000"/>
          <w:sz w:val="28"/>
        </w:rPr>
        <w:t>
      Результаты деятельности БТА Банка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4727"/>
        <w:gridCol w:w="5188"/>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2013 года</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139.576</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146.985</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(81.668)</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(136.867)</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57.908</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(44.699)</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(59.739)</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(Убыток)/восстановление обесценения</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доход</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1.123.831</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убыток</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(45.650)</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(678.389)</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(Убыток)/прибыль от операционной деятельности</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398.621</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Положительная/(отрицательная) курсовая разница, нетто</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(Убыток)/прибыль до налогообложения от прекращенной деятельности</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379.639</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Льгота/(расходы) по подоходному налогу</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(Убыток)/прибыль от прекращенной деятельности</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По состоянию на 31 декабря 2013 года Группа провела пересчет консолидированного отчета о совокупном доходе и о движении денежных средств за год, закончившийся 31 декабря 2012 года, вследствие признания институтов развития и финансовых организаций как прекращенной деятельности. </w:t>
      </w:r>
    </w:p>
    <w:p>
      <w:pPr>
        <w:spacing w:after="0"/>
        <w:ind w:left="0"/>
        <w:jc w:val="both"/>
      </w:pPr>
      <w:r>
        <w:rPr>
          <w:rFonts w:ascii="Times New Roman"/>
          <w:b w:val="false"/>
          <w:i w:val="false"/>
          <w:color w:val="000000"/>
          <w:sz w:val="28"/>
        </w:rPr>
        <w:t>
      Соответственно, сравнительный консолидированный отчет о совокупном доходе и сравнительный консолидированный отчет о движении денежных средств за год, закончившийся 31 декабря 2012 года, были пересчитаны в соответствии с требованиями МСБУ 1.</w:t>
      </w:r>
    </w:p>
    <w:p>
      <w:pPr>
        <w:spacing w:after="0"/>
        <w:ind w:left="0"/>
        <w:jc w:val="both"/>
      </w:pPr>
      <w:r>
        <w:rPr>
          <w:rFonts w:ascii="Times New Roman"/>
          <w:b w:val="false"/>
          <w:i w:val="false"/>
          <w:color w:val="000000"/>
          <w:sz w:val="28"/>
        </w:rPr>
        <w:t>
      Основные категории активов и обязательств БТА Банка на 31 декабря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2"/>
        <w:gridCol w:w="8158"/>
      </w:tblGrid>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616.439</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759.313</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компании</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56.390</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56.639</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60.657</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1.603.482</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(551.661)</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(231.441)</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 Республики Казахстан</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(475.439)</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(65.233)</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(1.323.774)</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279.708</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до справедливой стоимости чистых активов (обесценение)</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(144.165)</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чистых активов</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Чистые денежные потоки БТА Банка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5109"/>
        <w:gridCol w:w="5110"/>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2013 года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год, закончившийся 31 декабря 2012 года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193.907</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Чистое (расходование)/поступление денежных средств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"Локомотив қерастыру зауыты"</w:t>
      </w:r>
    </w:p>
    <w:p>
      <w:pPr>
        <w:spacing w:after="0"/>
        <w:ind w:left="0"/>
        <w:jc w:val="both"/>
      </w:pPr>
      <w:r>
        <w:rPr>
          <w:rFonts w:ascii="Times New Roman"/>
          <w:b w:val="false"/>
          <w:i w:val="false"/>
          <w:color w:val="000000"/>
          <w:sz w:val="28"/>
        </w:rPr>
        <w:t xml:space="preserve">
      В течение 2012 года руководство Группы приняло план по реализации 50% доли участия в дочерней организации, АО "Локомотив қерастыру зауыты". В мае 2013 года сделка была осуществлена путем продажи 26% доли Группы и одновременного выпуска 24% акций АО "Локомотив қерастыру зауыты". В результате продажи Группа потеряла контроль над АО "Локомотив қерастыру зауыты". Группа признала оставшуюся у нее 50% долю участия в АО "Локомотив қерастыру зауыты" как инвестиции в совместное предприятие. </w:t>
      </w:r>
    </w:p>
    <w:p>
      <w:pPr>
        <w:spacing w:after="0"/>
        <w:ind w:left="0"/>
        <w:jc w:val="both"/>
      </w:pPr>
      <w:r>
        <w:rPr>
          <w:rFonts w:ascii="Times New Roman"/>
          <w:b w:val="false"/>
          <w:i w:val="false"/>
          <w:color w:val="000000"/>
          <w:sz w:val="28"/>
        </w:rPr>
        <w:t>
      Результаты деятельности АО "Локомотив қерастыру зауыты"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4995"/>
        <w:gridCol w:w="5531"/>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 января 2013 года до даты выбытия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доход, нетто</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операционной деятельности</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курсовая разница, нетто</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до налогообложения от прекращенной деятельности</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после налогообложения от прекращенной деятельности</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категории активов и обязательств АО "Локомотив қерастыру зауыты" на дату выбытия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6"/>
        <w:gridCol w:w="8994"/>
      </w:tblGrid>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обязательства на дату выбытия</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22.628</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41.282</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кредиторская задолженность</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Чистые денежные потоки АО "Локомотив қерастыру зауыты"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4808"/>
        <w:gridCol w:w="5324"/>
      </w:tblGrid>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2013 года до даты выбытия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поступление/(расходование) денежных средств</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Убыток от выбытия активов, относящихся к прекращенной деятельности, представлен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5"/>
        <w:gridCol w:w="8385"/>
      </w:tblGrid>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2013 года</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полученного вознаграждения</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Выбывшие чистые активы</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оставшейся доли</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выбытия активов, относящихся к прекращенной деятельности</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Потеря контроля над дочерней организацией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"Досжан Темир Жолы"</w:t>
      </w:r>
    </w:p>
    <w:p>
      <w:pPr>
        <w:spacing w:after="0"/>
        <w:ind w:left="0"/>
        <w:jc w:val="both"/>
      </w:pPr>
      <w:r>
        <w:rPr>
          <w:rFonts w:ascii="Times New Roman"/>
          <w:b w:val="false"/>
          <w:i w:val="false"/>
          <w:color w:val="000000"/>
          <w:sz w:val="28"/>
        </w:rPr>
        <w:t>
      В связи с тем, что АО "Инвестиционный Фонд Казахстана" владеет 48,94% долей участия в АО "Досжан Темир Жолы", выбытие АО "Инвестиционный Фонд Казахстана" привело к потере Группой контроля над АО "Досжан Темир Жолы". Группа прекратила признание и отразила выбытие АО "Досжан Темир Жолы" как распределение Акционеру в консолидированном отчете об изменениях в капитале. Группа признала оставшуюся у нее 46,02% долю участия в АО "Досжан Темир Жолы" как инвестиции в ассоциированную компанию по справедливой стоимости на дату потери контроля, где справедливая стоимость была оценена в ноль тенге.</w:t>
      </w:r>
    </w:p>
    <w:p>
      <w:pPr>
        <w:spacing w:after="0"/>
        <w:ind w:left="0"/>
        <w:jc w:val="both"/>
      </w:pPr>
      <w:r>
        <w:rPr>
          <w:rFonts w:ascii="Times New Roman"/>
          <w:b w:val="false"/>
          <w:i w:val="false"/>
          <w:color w:val="000000"/>
          <w:sz w:val="28"/>
        </w:rPr>
        <w:t>
      Основные категории активов и обязательств АО "Досжан Темир Жолы" на дату потери контроля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6"/>
        <w:gridCol w:w="8994"/>
      </w:tblGrid>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обязательства на дату выбытия</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23.968</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(30.401)</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Чистый убыток от деятельности АО "Досжан Темир Жолы" с 1 января 2013 года до даты выбытия составил 1.189 миллионов тенге (за год, закончившийся 31 декабря 2012 года: 1.792 миллиона тенге).</w:t>
      </w:r>
    </w:p>
    <w:p>
      <w:pPr>
        <w:spacing w:after="0"/>
        <w:ind w:left="0"/>
        <w:jc w:val="both"/>
      </w:pPr>
      <w:r>
        <w:rPr>
          <w:rFonts w:ascii="Times New Roman"/>
          <w:b w:val="false"/>
          <w:i w:val="false"/>
          <w:color w:val="000000"/>
          <w:sz w:val="28"/>
        </w:rPr>
        <w:t>
      Чистые денежные потоки АО "Досжан Темир Жолы"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224"/>
        <w:gridCol w:w="578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2013 года до даты выбытия</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расходование денежных средств</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ТОО "Семизбай-U"</w:t>
      </w:r>
    </w:p>
    <w:p>
      <w:pPr>
        <w:spacing w:after="0"/>
        <w:ind w:left="0"/>
        <w:jc w:val="both"/>
      </w:pPr>
      <w:r>
        <w:rPr>
          <w:rFonts w:ascii="Times New Roman"/>
          <w:b w:val="false"/>
          <w:i w:val="false"/>
          <w:color w:val="000000"/>
          <w:sz w:val="28"/>
        </w:rPr>
        <w:t>
      В 2008 году, Группа заключила Соглашение (далее "Соглашение") с Компанией Beijing Sino-Kaz Uranium Resources Investment Company Limited (далее "Sino-Kaz") о продаже 49% доли участия в ТОО "Семизбай-U".</w:t>
      </w:r>
    </w:p>
    <w:p>
      <w:pPr>
        <w:spacing w:after="0"/>
        <w:ind w:left="0"/>
        <w:jc w:val="both"/>
      </w:pPr>
      <w:r>
        <w:rPr>
          <w:rFonts w:ascii="Times New Roman"/>
          <w:b w:val="false"/>
          <w:i w:val="false"/>
          <w:color w:val="000000"/>
          <w:sz w:val="28"/>
        </w:rPr>
        <w:t>
      Соглашение давало право Sino-Kaz на минимальное распределение ежегодного чистого дохода ТОО СемизбайU в период 2010-2033 годы. Оплата данных выплат гарантировалась АО НАК "Казатомпром". Данное обязательство было оценено по справедливой стоимости на дату заключения соглашения, а дальше оценивалось – по амортизированной.</w:t>
      </w:r>
    </w:p>
    <w:p>
      <w:pPr>
        <w:spacing w:after="0"/>
        <w:ind w:left="0"/>
        <w:jc w:val="both"/>
      </w:pPr>
      <w:r>
        <w:rPr>
          <w:rFonts w:ascii="Times New Roman"/>
          <w:b w:val="false"/>
          <w:i w:val="false"/>
          <w:color w:val="000000"/>
          <w:sz w:val="28"/>
        </w:rPr>
        <w:t>
      Отчуждение Группой доли участия в ТОО "Семизбай-U" требовало разрешения регулирующего органа Республики Казахстан, что являлось условием договора.</w:t>
      </w:r>
    </w:p>
    <w:p>
      <w:pPr>
        <w:spacing w:after="0"/>
        <w:ind w:left="0"/>
        <w:jc w:val="both"/>
      </w:pPr>
      <w:r>
        <w:rPr>
          <w:rFonts w:ascii="Times New Roman"/>
          <w:b w:val="false"/>
          <w:i w:val="false"/>
          <w:color w:val="000000"/>
          <w:sz w:val="28"/>
        </w:rPr>
        <w:t>
      По состоянию на 31 декабря 2012 года, соответствующее разрешение регулирующего органа не было получено. В 2012 году Группа заключила Мировое Соглашение с компанией "Sino-Kaz" о пересмотре условии сделки купли-продажи 49% доли в Семизбай-U. Соответствующими условиями данного Мирового соглашения являлись следующие пункты:</w:t>
      </w:r>
    </w:p>
    <w:p>
      <w:pPr>
        <w:spacing w:after="0"/>
        <w:ind w:left="0"/>
        <w:jc w:val="both"/>
      </w:pPr>
      <w:r>
        <w:rPr>
          <w:rFonts w:ascii="Times New Roman"/>
          <w:b w:val="false"/>
          <w:i w:val="false"/>
          <w:color w:val="000000"/>
          <w:sz w:val="28"/>
        </w:rPr>
        <w:t>
      - Группа получит все необходимые разрешения казахстанских регулирующих органов. Данные разрешения были получены 30 мая 2013 года;</w:t>
      </w:r>
    </w:p>
    <w:p>
      <w:pPr>
        <w:spacing w:after="0"/>
        <w:ind w:left="0"/>
        <w:jc w:val="both"/>
      </w:pPr>
      <w:r>
        <w:rPr>
          <w:rFonts w:ascii="Times New Roman"/>
          <w:b w:val="false"/>
          <w:i w:val="false"/>
          <w:color w:val="000000"/>
          <w:sz w:val="28"/>
        </w:rPr>
        <w:t>
      - Стороны договорились пересмотреть справедливую стоимость 49% доли в Семизбай-U. В результате этого условия, Группа выплатила разницу между первоначальным контрактным обязательством и справедливой рыночной стоимостью 49% доли участия ТОО "Семизбай-U" в размере 132 миллиона долларов (эквивалент – 19,9 миллиарда тенге) 7 июня 2013 года;</w:t>
      </w:r>
    </w:p>
    <w:p>
      <w:pPr>
        <w:spacing w:after="0"/>
        <w:ind w:left="0"/>
        <w:jc w:val="both"/>
      </w:pPr>
      <w:r>
        <w:rPr>
          <w:rFonts w:ascii="Times New Roman"/>
          <w:b w:val="false"/>
          <w:i w:val="false"/>
          <w:color w:val="000000"/>
          <w:sz w:val="28"/>
        </w:rPr>
        <w:t>
      - Стороны договорились отменить гарантированные минимальные дивиденды, подлежащие выплате ТОО "Семизбай-U" за период с 2012 по 2033 годы. Амортизированная стоимость финансового обязательства по состоянию на 30 мая 2013 года была равна 308 миллионов долларов США (эквивалент 46,7 миллиарда тенге).</w:t>
      </w:r>
    </w:p>
    <w:p>
      <w:pPr>
        <w:spacing w:after="0"/>
        <w:ind w:left="0"/>
        <w:jc w:val="both"/>
      </w:pPr>
      <w:r>
        <w:rPr>
          <w:rFonts w:ascii="Times New Roman"/>
          <w:b w:val="false"/>
          <w:i w:val="false"/>
          <w:color w:val="000000"/>
          <w:sz w:val="28"/>
        </w:rPr>
        <w:t>
      Наряду с получением разрешения регулирующих органов на продажу 49% доли участия, были изменены руководящие документы ТОО "Семизбай-U". В результате данных изменений Группа потеряла возможность управлять деятельностью ТОО "Семизбай-U" в одностороннем порядке; принятие решений теперь делится с "Sino-Kaz". Группа учла отмену минимального гарантированного дивиденда, как погашение финансового обязательства. В результате, Группа прекратила консолидацию инвестиции в ТОО "Семизбай-U" и признала оставшуюся долю владения по справедливой стоимости на момент потери контроля.</w:t>
      </w:r>
    </w:p>
    <w:p>
      <w:pPr>
        <w:spacing w:after="0"/>
        <w:ind w:left="0"/>
        <w:jc w:val="both"/>
      </w:pPr>
      <w:r>
        <w:rPr>
          <w:rFonts w:ascii="Times New Roman"/>
          <w:b w:val="false"/>
          <w:i w:val="false"/>
          <w:color w:val="000000"/>
          <w:sz w:val="28"/>
        </w:rPr>
        <w:t xml:space="preserve">
      В результате этих операций, Группа признала прибыль в размере 23.930 миллионов тенге в консолидированном отчете о совокупном доходе. Результат выбытия ТОО "Семизбай-U" был признан в консолидированной финансовой отчетности в следующем порядке: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1"/>
        <w:gridCol w:w="5369"/>
      </w:tblGrid>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момент потери контроля</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35.572</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ТОО "Семизбай-U" по состоянию на дату выбытия</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справедливая стоимость оставшейся 51% неконтролирующей доли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минимальные гарантированные дивиденды по амортизированной стоимости, до выплаты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(46.676)</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Выплата денежными средствами Sino-Kaz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погашения обязательства и выбытия дочерней организации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23.930</w:t>
            </w:r>
          </w:p>
        </w:tc>
      </w:tr>
    </w:tbl>
    <w:p>
      <w:pPr>
        <w:spacing w:after="0"/>
        <w:ind w:left="0"/>
        <w:jc w:val="left"/>
      </w:pPr>
      <w:r>
        <w:br/>
      </w:r>
      <w:r>
        <w:rPr>
          <w:rFonts w:ascii="Times New Roman"/>
          <w:b w:val="false"/>
          <w:i w:val="false"/>
          <w:color w:val="000000"/>
          <w:sz w:val="28"/>
        </w:rPr>
        <w:t>
</w:t>
      </w:r>
    </w:p>
    <w:bookmarkStart w:name="z157" w:id="157"/>
    <w:p>
      <w:pPr>
        <w:spacing w:after="0"/>
        <w:ind w:left="0"/>
        <w:jc w:val="both"/>
      </w:pPr>
      <w:r>
        <w:rPr>
          <w:rFonts w:ascii="Times New Roman"/>
          <w:b w:val="false"/>
          <w:i w:val="false"/>
          <w:color w:val="000000"/>
          <w:sz w:val="28"/>
        </w:rPr>
        <w:t xml:space="preserve">
      </w:t>
      </w:r>
      <w:r>
        <w:rPr>
          <w:rFonts w:ascii="Times New Roman"/>
          <w:b/>
          <w:i w:val="false"/>
          <w:color w:val="000000"/>
          <w:sz w:val="28"/>
        </w:rPr>
        <w:t>Прекращенная деятельность 2012 года</w:t>
      </w:r>
    </w:p>
    <w:bookmarkEnd w:id="157"/>
    <w:p>
      <w:pPr>
        <w:spacing w:after="0"/>
        <w:ind w:left="0"/>
        <w:jc w:val="both"/>
      </w:pPr>
      <w:r>
        <w:rPr>
          <w:rFonts w:ascii="Times New Roman"/>
          <w:b w:val="false"/>
          <w:i w:val="false"/>
          <w:color w:val="000000"/>
          <w:sz w:val="28"/>
        </w:rPr>
        <w:t xml:space="preserve">
      </w:t>
      </w:r>
      <w:r>
        <w:rPr>
          <w:rFonts w:ascii="Times New Roman"/>
          <w:b w:val="false"/>
          <w:i/>
          <w:color w:val="000000"/>
          <w:sz w:val="28"/>
        </w:rPr>
        <w:t>GSM Казахстан</w:t>
      </w:r>
    </w:p>
    <w:p>
      <w:pPr>
        <w:spacing w:after="0"/>
        <w:ind w:left="0"/>
        <w:jc w:val="both"/>
      </w:pPr>
      <w:r>
        <w:rPr>
          <w:rFonts w:ascii="Times New Roman"/>
          <w:b w:val="false"/>
          <w:i w:val="false"/>
          <w:color w:val="000000"/>
          <w:sz w:val="28"/>
        </w:rPr>
        <w:t xml:space="preserve">
      На 31 декабря 2011 года Группа владела 49% долей участия в ТОО "GSM Казахстан ОАО "Казахтелеком" (далее "GSM Казахстан") – оператор услуг сотовой связи стандарта GSM в Казахстане. </w:t>
      </w:r>
    </w:p>
    <w:p>
      <w:pPr>
        <w:spacing w:after="0"/>
        <w:ind w:left="0"/>
        <w:jc w:val="both"/>
      </w:pPr>
      <w:r>
        <w:rPr>
          <w:rFonts w:ascii="Times New Roman"/>
          <w:b w:val="false"/>
          <w:i w:val="false"/>
          <w:color w:val="000000"/>
          <w:sz w:val="28"/>
        </w:rPr>
        <w:t xml:space="preserve">
      21 декабря 2011 года Казахтелеком заключил соглашение о продаже 49% доли участия в GSM Казахстан компании Sonera Holdings B.V., дочерней организации шведского мобильного оператора Telia Sonera AB. </w:t>
      </w:r>
    </w:p>
    <w:p>
      <w:pPr>
        <w:spacing w:after="0"/>
        <w:ind w:left="0"/>
        <w:jc w:val="both"/>
      </w:pPr>
      <w:r>
        <w:rPr>
          <w:rFonts w:ascii="Times New Roman"/>
          <w:b w:val="false"/>
          <w:i w:val="false"/>
          <w:color w:val="000000"/>
          <w:sz w:val="28"/>
        </w:rPr>
        <w:t xml:space="preserve">
      1 февраля 2012 года Группа завершила продажу 49% доли участия в GSM Казахстан за вознаграждение в размере 1.519 миллионов долларов США (эквивалентно 225.739 миллионов тенге). В результате доход от продажи составил 200.033 миллиона тенге. Поступления денежных средств от реализации инвестиции в ассоциированную компанию в 2012 году были отражены в инвестиционной деятельности в отчете о движении денежных средств. </w:t>
      </w:r>
    </w:p>
    <w:p>
      <w:pPr>
        <w:spacing w:after="0"/>
        <w:ind w:left="0"/>
        <w:jc w:val="both"/>
      </w:pPr>
      <w:r>
        <w:rPr>
          <w:rFonts w:ascii="Times New Roman"/>
          <w:b w:val="false"/>
          <w:i w:val="false"/>
          <w:color w:val="000000"/>
          <w:sz w:val="28"/>
        </w:rPr>
        <w:t xml:space="preserve">
      Движение инвестиций в ассоциированную компанию представлено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4924"/>
        <w:gridCol w:w="4924"/>
      </w:tblGrid>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58.389</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53.785</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чистой прибыли ассоциированной компании</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объявленные</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Прекращенная деятельность</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Движение дивидендов к получению представлено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4924"/>
        <w:gridCol w:w="4924"/>
      </w:tblGrid>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января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объявленные</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полученные</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Прибыль от прекращенной деятельности за год, закончившийся на 31 декабря, представлена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5"/>
        <w:gridCol w:w="4875"/>
        <w:gridCol w:w="4210"/>
      </w:tblGrid>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чистой прибыли ассоциированной компании</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до налогообложения за отчетный период от прекращенной деятельности</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за отчетный период от прекращенной деятельности</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Прибыль от продажи инвестиции была представлена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8"/>
        <w:gridCol w:w="3282"/>
      </w:tblGrid>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полученные от Sonera Holdings B.V.</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225.739</w:t>
            </w:r>
          </w:p>
        </w:tc>
      </w:tr>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предназначенные для продажи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курсовая разница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продажи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200.033</w:t>
            </w:r>
          </w:p>
        </w:tc>
      </w:tr>
    </w:tbl>
    <w:p>
      <w:pPr>
        <w:spacing w:after="0"/>
        <w:ind w:left="0"/>
        <w:jc w:val="left"/>
      </w:pPr>
      <w:r>
        <w:br/>
      </w:r>
      <w:r>
        <w:rPr>
          <w:rFonts w:ascii="Times New Roman"/>
          <w:b w:val="false"/>
          <w:i w:val="false"/>
          <w:color w:val="000000"/>
          <w:sz w:val="28"/>
        </w:rPr>
        <w:t>
</w:t>
      </w:r>
    </w:p>
    <w:bookmarkStart w:name="z158" w:id="158"/>
    <w:p>
      <w:pPr>
        <w:spacing w:after="0"/>
        <w:ind w:left="0"/>
        <w:jc w:val="both"/>
      </w:pPr>
      <w:r>
        <w:rPr>
          <w:rFonts w:ascii="Times New Roman"/>
          <w:b w:val="false"/>
          <w:i w:val="false"/>
          <w:color w:val="000000"/>
          <w:sz w:val="28"/>
        </w:rPr>
        <w:t xml:space="preserve">
      </w:t>
      </w:r>
      <w:r>
        <w:rPr>
          <w:rFonts w:ascii="Times New Roman"/>
          <w:b/>
          <w:i w:val="false"/>
          <w:color w:val="000000"/>
          <w:sz w:val="28"/>
        </w:rPr>
        <w:t>Итоговая информация</w:t>
      </w:r>
    </w:p>
    <w:bookmarkEnd w:id="158"/>
    <w:p>
      <w:pPr>
        <w:spacing w:after="0"/>
        <w:ind w:left="0"/>
        <w:jc w:val="both"/>
      </w:pPr>
      <w:r>
        <w:rPr>
          <w:rFonts w:ascii="Times New Roman"/>
          <w:b w:val="false"/>
          <w:i w:val="false"/>
          <w:color w:val="000000"/>
          <w:sz w:val="28"/>
        </w:rPr>
        <w:t>
      Активы, классифицированные как предназначенные для продажи на 31 декабря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5683"/>
        <w:gridCol w:w="4073"/>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789.973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"Темiрбанк"</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280.666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"Локомотив қерастыру зауыты"</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1.086.843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Обязательства, связанные с активами, классифицированными как предназначенные для продажи на 31 декабря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5683"/>
        <w:gridCol w:w="4073"/>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1.069.482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"Темiрбанк"</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"Локомотив қерастыру зауыты"</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1.219.950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прекращенной деятельности за год, закончившийся на 31 декабря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4878"/>
        <w:gridCol w:w="4317"/>
      </w:tblGrid>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 чистый убыток</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378.901</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 убыток от обесценения</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(144.165)</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"Темiрбанк", чистая прибыль</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"Темiрбанк", убыток от обесценения</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"Локомотив қерастыру зауыты"</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201.996</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Институты развития и финансовые организации</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580.063</w:t>
            </w:r>
          </w:p>
        </w:tc>
      </w:tr>
    </w:tbl>
    <w:p>
      <w:pPr>
        <w:spacing w:after="0"/>
        <w:ind w:left="0"/>
        <w:jc w:val="left"/>
      </w:pPr>
      <w:r>
        <w:br/>
      </w:r>
      <w:r>
        <w:rPr>
          <w:rFonts w:ascii="Times New Roman"/>
          <w:b w:val="false"/>
          <w:i w:val="false"/>
          <w:color w:val="000000"/>
          <w:sz w:val="28"/>
        </w:rPr>
        <w:t>
</w:t>
      </w:r>
    </w:p>
    <w:bookmarkStart w:name="z159" w:id="159"/>
    <w:p>
      <w:pPr>
        <w:spacing w:after="0"/>
        <w:ind w:left="0"/>
        <w:jc w:val="both"/>
      </w:pPr>
      <w:r>
        <w:rPr>
          <w:rFonts w:ascii="Times New Roman"/>
          <w:b w:val="false"/>
          <w:i w:val="false"/>
          <w:color w:val="000000"/>
          <w:sz w:val="28"/>
        </w:rPr>
        <w:t xml:space="preserve">
      </w:t>
      </w:r>
      <w:r>
        <w:rPr>
          <w:rFonts w:ascii="Times New Roman"/>
          <w:b/>
          <w:i w:val="false"/>
          <w:color w:val="000000"/>
          <w:sz w:val="28"/>
        </w:rPr>
        <w:t>7. ОСНОВНЫЕ СРЕДСТВА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175"/>
        <w:gridCol w:w="975"/>
        <w:gridCol w:w="1175"/>
        <w:gridCol w:w="1153"/>
        <w:gridCol w:w="1153"/>
        <w:gridCol w:w="1175"/>
        <w:gridCol w:w="1020"/>
        <w:gridCol w:w="1020"/>
        <w:gridCol w:w="1153"/>
        <w:gridCol w:w="1353"/>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Нефтегазовые активы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разведке и оценке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и активы НПЗ</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пути и инфраструктура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и транспортные средства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Горнорудные активы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Остаточная стоимость на 1 января 2012 года (пересчитано)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иностранных валют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350.270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Приобретения доли участия в КПО </w:t>
            </w:r>
            <w:r>
              <w:rPr>
                <w:rFonts w:ascii="Times New Roman"/>
                <w:b w:val="false"/>
                <w:i/>
                <w:color w:val="000000"/>
                <w:sz w:val="20"/>
              </w:rPr>
              <w:t>(Примечание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Прекращенная деятельность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износу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и обесценение по выбытиям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 вычетом сторнирования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контроля над дочерней организацией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активы, предназначенные для продажи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из/(в) запасы,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нематериальные активы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переводы и перегруппировки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Остаточная стоимость на 31 декабря 2012 года (пересчитано)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6.093.002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1 января 2013 года (пересчитано)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6.093.002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иностранных валют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Приобретения посредством объединения предприятий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Прекращенная деятельность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износу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(349.768)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и обесценение по выбытиям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 вычетом сторнирования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Потеря контроля над дочерней организацией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Переводы в активы, предназначенные для продажи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из/(в) запасы,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из/(в) нематериальные активы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переводы и перегруппировки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Остаточная стоимость на 31 декабря 2013 года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601.499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9.062.395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износ и обесценение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(919.899)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(2.044.161)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2013 года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601.499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2.262.918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2.413.242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7.831.035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износ и обесценение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(791.268)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2012 года (пересчитано)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6.093.002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Движения в активах по разведке и оценке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3022"/>
        <w:gridCol w:w="2195"/>
        <w:gridCol w:w="3023"/>
      </w:tblGrid>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Нефтегазовые активы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Горнорудные активы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Остаточная стоимость на 1 января 2012 года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135.602</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обесценение, за вычетом восстановления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контроля над дочерней организацией</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переводы и перегруппировки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Остаточная стоимость на 31 декабря 2012 года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126.406</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валюты отчетности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31.546</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33.887</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обесценение по выбытиям</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нематериальных активов</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переводы и перегруппировки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2013 года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205.152</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211.019</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Накопленное обесценение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2013 года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205.152</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135.923</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Накопленное обесценение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Остаточная стоимость на 31 декабря 2012 года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31 декабря 2013 года основные средства с чистой балансовой стоимостью в сумме 1.395.600 миллионов тенге были заложены в качестве обеспечения по некоторым займам Группы (2012: 1.087.516 миллионов тенге). </w:t>
      </w:r>
    </w:p>
    <w:p>
      <w:pPr>
        <w:spacing w:after="0"/>
        <w:ind w:left="0"/>
        <w:jc w:val="both"/>
      </w:pPr>
      <w:r>
        <w:rPr>
          <w:rFonts w:ascii="Times New Roman"/>
          <w:b w:val="false"/>
          <w:i w:val="false"/>
          <w:color w:val="000000"/>
          <w:sz w:val="28"/>
        </w:rPr>
        <w:t>
      На 31 декабря 2013 года балансовая стоимость основных средств, полученных по соглашениям о финансовой аренде, составляла 118.348 миллионов тенге (2012: 65.638 миллионов тенге).</w:t>
      </w:r>
    </w:p>
    <w:p>
      <w:pPr>
        <w:spacing w:after="0"/>
        <w:ind w:left="0"/>
        <w:jc w:val="both"/>
      </w:pPr>
      <w:r>
        <w:rPr>
          <w:rFonts w:ascii="Times New Roman"/>
          <w:b w:val="false"/>
          <w:i w:val="false"/>
          <w:color w:val="000000"/>
          <w:sz w:val="28"/>
        </w:rPr>
        <w:t>
      На 31 декабря 2013 года первоначальная стоимость полностью самортизированных основных средств Группы составила 494.378 миллионов тенге (2012: 483.458 миллионов тенге).</w:t>
      </w:r>
    </w:p>
    <w:p>
      <w:pPr>
        <w:spacing w:after="0"/>
        <w:ind w:left="0"/>
        <w:jc w:val="both"/>
      </w:pPr>
      <w:r>
        <w:rPr>
          <w:rFonts w:ascii="Times New Roman"/>
          <w:b w:val="false"/>
          <w:i w:val="false"/>
          <w:color w:val="000000"/>
          <w:sz w:val="28"/>
        </w:rPr>
        <w:t xml:space="preserve">
      В 2013 году Группа капитализировала затраты по займам по средневзвешенной ставке капитализации в размере 9,1% на сумму 19.038 миллион тенге (2012: в размере 6% на сумму 4.162 миллиона тенге).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Обесценение основных средств</w:t>
      </w:r>
    </w:p>
    <w:p>
      <w:pPr>
        <w:spacing w:after="0"/>
        <w:ind w:left="0"/>
        <w:jc w:val="both"/>
      </w:pPr>
      <w:r>
        <w:rPr>
          <w:rFonts w:ascii="Times New Roman"/>
          <w:b w:val="false"/>
          <w:i w:val="false"/>
          <w:color w:val="000000"/>
          <w:sz w:val="28"/>
        </w:rPr>
        <w:t>
      В 2013 году Группа признала чистый убыток по обесценению в размере 67.179 миллионов тенге, который, в основном, приходится на обесценение основных средств "РД КМГ" в размере 60.044 миллиона тенге (Примечание 4), АО "НАК "Казатомпром" в размере 3.434 миллиона тенге и АО "НК "КТЖ" в размере 1.523 миллиона тенге.</w:t>
      </w:r>
    </w:p>
    <w:p>
      <w:pPr>
        <w:spacing w:after="0"/>
        <w:ind w:left="0"/>
        <w:jc w:val="both"/>
      </w:pPr>
      <w:r>
        <w:rPr>
          <w:rFonts w:ascii="Times New Roman"/>
          <w:b w:val="false"/>
          <w:i w:val="false"/>
          <w:color w:val="000000"/>
          <w:sz w:val="28"/>
        </w:rPr>
        <w:t xml:space="preserve">
      В 2012 году Группа признала чистый убыток по обесценению в размере 86.143 миллиона тенге, который, в основном, приходится на обесценение основных средств "РД КМГ" в размере 76.344 миллиона тенге (Примечание 4), АО "КазМунайГаз – переработка и маркетинг" в размере 1.258 миллионов тенге и ТОО "Наукоград" в размере 2.326 миллионов тенге. </w:t>
      </w:r>
    </w:p>
    <w:bookmarkStart w:name="z160" w:id="160"/>
    <w:p>
      <w:pPr>
        <w:spacing w:after="0"/>
        <w:ind w:left="0"/>
        <w:jc w:val="both"/>
      </w:pPr>
      <w:r>
        <w:rPr>
          <w:rFonts w:ascii="Times New Roman"/>
          <w:b w:val="false"/>
          <w:i w:val="false"/>
          <w:color w:val="000000"/>
          <w:sz w:val="28"/>
        </w:rPr>
        <w:t xml:space="preserve">
      </w:t>
      </w:r>
      <w:r>
        <w:rPr>
          <w:rFonts w:ascii="Times New Roman"/>
          <w:b/>
          <w:i w:val="false"/>
          <w:color w:val="000000"/>
          <w:sz w:val="28"/>
        </w:rPr>
        <w:t>8. НЕМАТЕРИАЛЬНЫЕ АКТИВЫ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1"/>
        <w:gridCol w:w="1450"/>
        <w:gridCol w:w="1450"/>
        <w:gridCol w:w="1450"/>
        <w:gridCol w:w="1197"/>
        <w:gridCol w:w="1450"/>
        <w:gridCol w:w="1451"/>
        <w:gridCol w:w="1641"/>
      </w:tblGrid>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по маркетингу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на недропользование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2011 года (пересчитано)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306.989</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Пересчет валюты отчетности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оценке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64.909</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 посредством объединения предприятий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Прекращенная деятельность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контроля над дочерней организацией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по выбытиям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запасов, нетто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основные средства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основных средств</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переводы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2012 года (пересчитано)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358.276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валют отчетности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оценке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 посредством объединения предприятий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Прекращенная деятельность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(23.745)</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контроля над дочерней организацией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активы, классифицированные как предназначенные для продажи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по выбытиям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из/(в) запасы, нетто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основные средства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основных средств</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переводы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2013 года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284.325</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Первоначальная стоимость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425.619</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Накопленная амортизация и обесценение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(141.294)</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2013 года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284.325</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Первоначальная стоимость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486.789</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Накопленная амортизация и обесценение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(128.513)</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2012 года (пересчитано)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358.276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31 декабря 2013 года права на недропользование включали остаточную стоимость нефтегазовых и горнорудных разведочных и оценочных активов на сумму 30.594 миллиона тенге и 4.621 миллион тенге, соответственно (2012: 69.811 миллионов тенге и 9.575 миллионов тенге, соответственно).</w:t>
      </w:r>
    </w:p>
    <w:p>
      <w:pPr>
        <w:spacing w:after="0"/>
        <w:ind w:left="0"/>
        <w:jc w:val="both"/>
      </w:pPr>
      <w:r>
        <w:rPr>
          <w:rFonts w:ascii="Times New Roman"/>
          <w:b w:val="false"/>
          <w:i w:val="false"/>
          <w:color w:val="000000"/>
          <w:sz w:val="28"/>
        </w:rPr>
        <w:t>
      Тест на обесценение гудвилла</w:t>
      </w:r>
    </w:p>
    <w:p>
      <w:pPr>
        <w:spacing w:after="0"/>
        <w:ind w:left="0"/>
        <w:jc w:val="both"/>
      </w:pPr>
      <w:r>
        <w:rPr>
          <w:rFonts w:ascii="Times New Roman"/>
          <w:b w:val="false"/>
          <w:i w:val="false"/>
          <w:color w:val="000000"/>
          <w:sz w:val="28"/>
        </w:rPr>
        <w:t>
      Балансовая стоимость гудвилла по состоянию, отнесенного на каждую из единиц, генерирующих денежные потоки по сегментам,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4340"/>
        <w:gridCol w:w="4341"/>
      </w:tblGrid>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генерирующие денежные потоки</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Нефтепереработка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121.708</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121.654</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нефтегазовый сегмент</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135.080</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135.026</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горнопромышленный сегмент (добыча урана)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сегмент телекоммуникаций (IP-телевидение)</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прочие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гудвилл</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Группа "Нефтепереработка" включает в себя "Rompetrol Group N.V.", "Downstream Romania", "Dyneff" и ТОО "Refinery Company RT", приобретенного в 2009 году (</w:t>
      </w:r>
      <w:r>
        <w:rPr>
          <w:rFonts w:ascii="Times New Roman"/>
          <w:b w:val="false"/>
          <w:i/>
          <w:color w:val="000000"/>
          <w:sz w:val="28"/>
        </w:rPr>
        <w:t>Примечание 4</w:t>
      </w:r>
      <w:r>
        <w:rPr>
          <w:rFonts w:ascii="Times New Roman"/>
          <w:b w:val="false"/>
          <w:i w:val="false"/>
          <w:color w:val="000000"/>
          <w:sz w:val="28"/>
        </w:rPr>
        <w:t>).</w:t>
      </w:r>
    </w:p>
    <w:p>
      <w:pPr>
        <w:spacing w:after="0"/>
        <w:ind w:left="0"/>
        <w:jc w:val="both"/>
      </w:pPr>
      <w:r>
        <w:rPr>
          <w:rFonts w:ascii="Times New Roman"/>
          <w:b w:val="false"/>
          <w:i w:val="false"/>
          <w:color w:val="000000"/>
          <w:sz w:val="28"/>
        </w:rPr>
        <w:t>
      Расходы по обесценению гудвилла, признанные в 2013 году в консолидированном отчете о совокупном доходе, включали обесценение в горнопромышленном сегменте на сумму 4.945 миллионов тенге (2012 год: ноль).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ИНВЕСТИЦИИ В СОВМЕСТНЫЕ ПРЕДПРИЯТИЯ И АССОЦИИРОВАННЫЕ КОМПАНИИ</w:t>
      </w:r>
    </w:p>
    <w:p>
      <w:pPr>
        <w:spacing w:after="0"/>
        <w:ind w:left="0"/>
        <w:jc w:val="both"/>
      </w:pPr>
      <w:r>
        <w:rPr>
          <w:rFonts w:ascii="Times New Roman"/>
          <w:b w:val="false"/>
          <w:i w:val="false"/>
          <w:color w:val="000000"/>
          <w:sz w:val="28"/>
        </w:rPr>
        <w:t>
      На 31 декабря инвестиции в совместные предприятия и ассоциированные компании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868"/>
        <w:gridCol w:w="363"/>
        <w:gridCol w:w="1773"/>
        <w:gridCol w:w="1404"/>
        <w:gridCol w:w="1773"/>
        <w:gridCol w:w="1406"/>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осуществления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деятельность</w:t>
            </w: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предприятия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"ТенгизшеврОйл"</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добыча нефти и газа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 Инвестментс Б.В.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добыча нефти и газа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"Экибастузская ГРЭС-1" ("ЭГРЭС-1")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электроэнергии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"Казахойл-Актобе"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добыча нефти и газа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"Газопровод "Бейнеу-Шымкент"</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газопровода Бейнеу-Шымкент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КазГерМунай"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добыча нефти и газа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"КазРосГаз"</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продажа природного газа и продуктов нефтепереработки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"Экибастузская ГРЭС-2" ("ЭГРЭС-2")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 Forum Muider B. V.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"Kazakhstan Petrochemical </w:t>
            </w:r>
          </w:p>
          <w:p>
            <w:pPr>
              <w:spacing w:after="20"/>
              <w:ind w:left="20"/>
              <w:jc w:val="both"/>
            </w:pPr>
            <w:r>
              <w:rPr>
                <w:rFonts w:ascii="Times New Roman"/>
                <w:b w:val="false"/>
                <w:i w:val="false"/>
                <w:color w:val="000000"/>
                <w:sz w:val="20"/>
              </w:rPr>
              <w:t>
Industries Inc."</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первого интегрированного газохимического комплекса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совместные предприятия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1.039.415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7"/>
        <w:gridCol w:w="1007"/>
        <w:gridCol w:w="421"/>
        <w:gridCol w:w="2054"/>
        <w:gridCol w:w="1628"/>
        <w:gridCol w:w="2054"/>
        <w:gridCol w:w="1629"/>
      </w:tblGrid>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осуществления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деятельность</w:t>
            </w: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"Казцинк" (</w:t>
            </w:r>
            <w:r>
              <w:rPr>
                <w:rFonts w:ascii="Times New Roman"/>
                <w:b w:val="false"/>
                <w:i/>
                <w:color w:val="000000"/>
                <w:sz w:val="20"/>
              </w:rPr>
              <w:t>Примечание 5</w:t>
            </w: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обогащение руд, получение аффинированных металлов</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Sekerbank T.A.S.</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деятельность</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Инк." ("ПКИ")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Разведка, добыча и переработка нефти и газа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КАТКО"</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Разведка, разработка, добыча и переработка урана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ассоциированные компании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506.121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Ниже представлена обобщенная финансовая информация о существенных совместных предприятиях, основанная на финансовой отчетности данных предприятий за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1786"/>
        <w:gridCol w:w="1551"/>
        <w:gridCol w:w="2080"/>
        <w:gridCol w:w="1551"/>
        <w:gridCol w:w="1483"/>
        <w:gridCol w:w="1552"/>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"Тенгиз-шеврОйл"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 Инвестментс Б.В.</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"Экибастузская ГРЭС-1" ("ЭГРЭС-1")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"Казахойл-Актобе"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"Газопровод "Бейнеу-Шымкент"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КазГерМунай"</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предприятия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2.046.774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175.436</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 включая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541.783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84.923</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включая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582.356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 включая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446.796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76.844</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финансовые обязательства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1.559.405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306.244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138.094</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непризнанная доля в убытках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инвестиции по состоянию на 31 декабря 2013 года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3.839.623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643.603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372.392</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амортизация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(633.970)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(75.103)</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Прибыль/(убыток) за год от продолжающейся деятельности</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1.479.538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86.432</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прекращенной деятельности</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доход/(убыток)</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88.604</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Непризнанная доля в убытках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1136"/>
        <w:gridCol w:w="1524"/>
        <w:gridCol w:w="2576"/>
        <w:gridCol w:w="5381"/>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"КазРосГаз"</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"Экибастузская ГРЭС-2" ("ЭГРЭС-2")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Forum Muider B. V</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"Kazakhstan Petrochemical Industries Inc."</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42.152</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 включая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39.702</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33.301</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22.903</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включая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 включая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финансовые обязательства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54.277</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56.688</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55.015</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непризнанная доля в убытках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инвестиции по состоянию на 31 декабря 2013 года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96.331</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амортизация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Прибыль/(убыток) за год от продолжающейся деятельности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прекращенной деятельности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доход/(убыток)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Непризнанная доля в убытках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Ниже представлена обобщенная финансовая информация о существенных совместных предприятиях, основанная на финансовой отчетности данных предприятий за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1786"/>
        <w:gridCol w:w="1551"/>
        <w:gridCol w:w="2080"/>
        <w:gridCol w:w="1551"/>
        <w:gridCol w:w="1483"/>
        <w:gridCol w:w="1552"/>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"Тенгизшевр-Ойл"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 Инвестментс Б.В.</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"Экибастузская ГРЭС-1" ("ЭГРЭС-1")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"Казахойл-Актобе"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"Газопровод "Бейнеу-Шымкент"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КазГерМунай"</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предприятия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1.901.162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184.117</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 включая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487.082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144.994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включая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688.777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59.793</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 включая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375.972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75.872</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финансовые обязательства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1.323.495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353.898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110.632</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непризнанная доля в убытках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инвестиции по состоянию на 31 декабря 2012 года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55.316</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3.442.771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636.259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344.477</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амортизация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(573.919)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(75.765)</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Прибыль/(убыток) за год от продолжающейся деятельности</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1.339.145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76.716</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прекращенной деятельности</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доход/(убыток)</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1.359.119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77.316</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Непризнанная доля в убытках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1136"/>
        <w:gridCol w:w="1524"/>
        <w:gridCol w:w="2576"/>
        <w:gridCol w:w="5381"/>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"КазРосГаз"</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"Экибастузская ГРЭС-2" ("ЭГРЭС-2")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Forum Muider B. V</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"Kazakhstan Petrochemical Industries Inc."</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33.045</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 включая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включая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46.926</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 включая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финансовые обязательства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59.676</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непризнанная доля в убытках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инвестиции по состоянию на 31 декабря 2012 года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29.838</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82.027</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амортизация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Прибыль/(убыток) за год от продолжающейся деятельности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прекращенной деятельности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доход/(убыток)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Непризнанная доля в убытках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Ниже представлена обобщенная финансовая информация о существенных ассоциированных компаниях, основанная на финансовой отчетности данных предприятий за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1947"/>
        <w:gridCol w:w="3829"/>
        <w:gridCol w:w="1862"/>
        <w:gridCol w:w="1778"/>
      </w:tblGrid>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"Казцинк"</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Sekerbank T.A.S.</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Инк. ("ПКИ")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КАТКО"</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713.496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864.412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418.059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684.917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34.582</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966.432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707.424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295.171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непризнанная доля в убытках</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инвестиции по состоянию на 31 декабря 2013 года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42.757</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295.928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71.469</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за год от продолжающейся деятельности</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прекращенной деятельности</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Непризнанная доля в убытках</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Ниже представлена обобщенная финансовая информация о существенных ассоциированных компаниях, основанная на финансовой отчетности данных предприятий за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829"/>
        <w:gridCol w:w="4243"/>
        <w:gridCol w:w="2062"/>
        <w:gridCol w:w="1970"/>
      </w:tblGrid>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"Казцинк"</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Sekerbank T.A.S.</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Инк. ("ПКИ")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КАТКО"</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728.622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65.701</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660.719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40.144</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871.761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274.775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77.946</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непризнанная доля в убытках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инвестиции по состоянию на 31 декабря 2012 года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38.262</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320.681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47.859</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за год от продолжающейся деятельности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прекращенной деятельности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Непризнанная доля в убытках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 вышеперечисленные совместные предприятия и ассоциированные компании, за исключением Sekerbank T.A.S. являются стратегическими для бизнеса Группы.</w:t>
      </w:r>
    </w:p>
    <w:p>
      <w:pPr>
        <w:spacing w:after="0"/>
        <w:ind w:left="0"/>
        <w:jc w:val="both"/>
      </w:pPr>
      <w:r>
        <w:rPr>
          <w:rFonts w:ascii="Times New Roman"/>
          <w:b w:val="false"/>
          <w:i w:val="false"/>
          <w:color w:val="000000"/>
          <w:sz w:val="28"/>
        </w:rPr>
        <w:t>
      Не существует активного рынка для существенных совместных предприятий и ассоциированных компаний, поэтому Группа не раскрывает информацию о справедливой стоимости данных инвестиций.</w:t>
      </w:r>
    </w:p>
    <w:p>
      <w:pPr>
        <w:spacing w:after="0"/>
        <w:ind w:left="0"/>
        <w:jc w:val="both"/>
      </w:pPr>
      <w:r>
        <w:rPr>
          <w:rFonts w:ascii="Times New Roman"/>
          <w:b w:val="false"/>
          <w:i w:val="false"/>
          <w:color w:val="000000"/>
          <w:sz w:val="28"/>
        </w:rPr>
        <w:t>
      Ниже представлена обобщенная финансовая информация об индивидуально несущественных совместных предприятиях (пропорциональная доля участия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2"/>
        <w:gridCol w:w="4294"/>
        <w:gridCol w:w="4294"/>
      </w:tblGrid>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стоимость инвестиций по состоянию на 31 декабря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196.861</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121.208</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за год от продолжающейся деятельности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36.909</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прекращенной деятельности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Прочий совокупный доход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Ниже представлена обобщенная финансовая информация об индивидуально несущественных ассоциированных компаниях (пропорциональная доля участия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3893"/>
        <w:gridCol w:w="4509"/>
      </w:tblGrid>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стоимость инвестиций по состоянию на 31 декабря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88.598</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106.342</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за год от продолжающейся деятельности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прекращенной деятельности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Прочий совокупный доход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в инвестициях в совместные предприятия и ассоциированные компании в 2013 и 2012 годах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4"/>
        <w:gridCol w:w="4203"/>
        <w:gridCol w:w="4203"/>
      </w:tblGrid>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1 января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1.294.982</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 доходе совместных предприятий и ассоциированных компаний, нетто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542.434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538.835</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(438.759)</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(556.217)</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дивидендах к получению</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Приобретения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315.931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46.171</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активы, классифицируемые как предназначенные для продажи (</w:t>
            </w:r>
            <w:r>
              <w:rPr>
                <w:rFonts w:ascii="Times New Roman"/>
                <w:b w:val="false"/>
                <w:i/>
                <w:color w:val="000000"/>
                <w:sz w:val="20"/>
              </w:rPr>
              <w:t>Примечание 6</w:t>
            </w:r>
            <w:r>
              <w:rPr>
                <w:rFonts w:ascii="Times New Roman"/>
                <w:b w:val="false"/>
                <w:i w:val="false"/>
                <w:color w:val="000000"/>
                <w:sz w:val="20"/>
              </w:rPr>
              <w:t>)</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15.548</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финансовых активов</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(Обесценение)/восстановление обесценения</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в капитале совместных предприятий и ассоциированных компаний</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31 декабря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1.717.249</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2013 году Группа признала убыток от обесценения инвестиций в ассоциированную компанию, ТОО "Казцинк", в размере 60.369 миллионов тенге. Возмещаемая стоимость данной инвестиции была определена на основе ценности ее использования путем дисконтирования будущих денежных потоков.</w:t>
      </w:r>
    </w:p>
    <w:p>
      <w:pPr>
        <w:spacing w:after="0"/>
        <w:ind w:left="0"/>
        <w:jc w:val="both"/>
      </w:pPr>
      <w:r>
        <w:rPr>
          <w:rFonts w:ascii="Times New Roman"/>
          <w:b w:val="false"/>
          <w:i w:val="false"/>
          <w:color w:val="000000"/>
          <w:sz w:val="28"/>
        </w:rPr>
        <w:t>
      На 31 декабря 2013 года, доля Группы в непризнанных накопленных убытках совместных предприятий и ассоциированных компаний составила 24.823 миллиона тенге (2012: 33.509 миллионов тенге).</w:t>
      </w:r>
    </w:p>
    <w:bookmarkStart w:name="z161" w:id="161"/>
    <w:p>
      <w:pPr>
        <w:spacing w:after="0"/>
        <w:ind w:left="0"/>
        <w:jc w:val="both"/>
      </w:pPr>
      <w:r>
        <w:rPr>
          <w:rFonts w:ascii="Times New Roman"/>
          <w:b w:val="false"/>
          <w:i w:val="false"/>
          <w:color w:val="000000"/>
          <w:sz w:val="28"/>
        </w:rPr>
        <w:t xml:space="preserve">
      </w:t>
      </w:r>
      <w:r>
        <w:rPr>
          <w:rFonts w:ascii="Times New Roman"/>
          <w:b/>
          <w:i w:val="false"/>
          <w:color w:val="000000"/>
          <w:sz w:val="28"/>
        </w:rPr>
        <w:t>10. ЗАЙМЫ КЛИЕНТАМ</w:t>
      </w:r>
    </w:p>
    <w:bookmarkEnd w:id="161"/>
    <w:p>
      <w:pPr>
        <w:spacing w:after="0"/>
        <w:ind w:left="0"/>
        <w:jc w:val="both"/>
      </w:pPr>
      <w:r>
        <w:rPr>
          <w:rFonts w:ascii="Times New Roman"/>
          <w:b w:val="false"/>
          <w:i w:val="false"/>
          <w:color w:val="000000"/>
          <w:sz w:val="28"/>
        </w:rPr>
        <w:t>
      На 31 декабря займы клиентам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4964"/>
        <w:gridCol w:w="5718"/>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крупным предприятиям</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719.762</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2.049.953</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331.358</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718.670</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малого и среднего бизнеса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40.165</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292.957</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финансовую аренду</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56.888</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займов</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1.104.443</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3.123.703</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(207.560)</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(1.071.993)</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 нетто</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896.883</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2.051.710</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(249.800)</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(665.326)</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647.083</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1.386.384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Движение в резерве на обесценение по займам за годы, закончившиеся 31 декабря, представлено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4601"/>
        <w:gridCol w:w="3996"/>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1 января</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1.071.993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1.262.590</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нетто</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Восстановлено/списано за счет резерва, нетто</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(231.746)</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 активы, классифицированные как предназначенные для продажи (Примечание 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валюты отчетности</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Прекращенная деятельность</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следующих таблицах представлена информация о кредитном качестве ссудного портфеля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4097"/>
        <w:gridCol w:w="4177"/>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не было выявлено признаков обесценения:</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займы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822.028</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1.467.523</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(25.141)</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(51.004)</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займы за минусом резерва на обесценение</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796.887</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1.416.519</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Обесцененные займы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 обесцененные займы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199.832</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1.441.378</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(162.793)</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(987.461)</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 обесцененные займы за минусом резерва на обесценение</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453.917</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займы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менее чем на 90 дней</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35.384</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свыше 90 дней и менее 1 года</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26.242</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56.208</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свыше 1 года</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124.584</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(33.528)</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займы за минусом резерва на обесценение</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62.957</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181.274</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обесцененных займов</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99.996</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635.191</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займов клиентам, нетто</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896.883</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компоненты чистых инвестиций по финансовой аренде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4676"/>
        <w:gridCol w:w="4677"/>
      </w:tblGrid>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года</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37.551</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одного года, но не свыше пяти лет</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23.662</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пяти лет</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арендные платежи</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75.377</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незаработанный финансовый доход</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финансовую аренду</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Kazakhmys Finance Plc</w:t>
      </w:r>
    </w:p>
    <w:p>
      <w:pPr>
        <w:spacing w:after="0"/>
        <w:ind w:left="0"/>
        <w:jc w:val="both"/>
      </w:pPr>
      <w:r>
        <w:rPr>
          <w:rFonts w:ascii="Times New Roman"/>
          <w:b w:val="false"/>
          <w:i w:val="false"/>
          <w:color w:val="000000"/>
          <w:sz w:val="28"/>
        </w:rPr>
        <w:t xml:space="preserve">
      В 2013 году Группа предоставила заем Kazakhmys Finance Plc в размере 200 миллионов долларов США (эквивалент 30.812 миллионов тенге по курсу на 31 декабря 2013 года) со сроками погашения 12 лет (2012: 1.200 миллионов долларов США, эквивалент 180.888 миллионов тенге по курсу на 31 декабря 2012 года). Годовая процентная ставка по займам состоит из базовой ставки, равной шестимесячной ставке ЛИБОР, и маржи в размере 4,80%. Данный заем был предоставлен для разработки медного месторождения Жомарт. Финансирование данного займа было осуществлено из средств, полученных в рамках кредитной линии Государственного Банка Развития Китая </w:t>
      </w:r>
      <w:r>
        <w:rPr>
          <w:rFonts w:ascii="Times New Roman"/>
          <w:b w:val="false"/>
          <w:i/>
          <w:color w:val="000000"/>
          <w:sz w:val="28"/>
        </w:rPr>
        <w:t>(Примечание 18)</w:t>
      </w:r>
      <w:r>
        <w:rPr>
          <w:rFonts w:ascii="Times New Roman"/>
          <w:b w:val="false"/>
          <w:i w:val="false"/>
          <w:color w:val="000000"/>
          <w:sz w:val="28"/>
        </w:rPr>
        <w:t xml:space="preserve">. </w:t>
      </w:r>
    </w:p>
    <w:bookmarkStart w:name="z162" w:id="162"/>
    <w:p>
      <w:pPr>
        <w:spacing w:after="0"/>
        <w:ind w:left="0"/>
        <w:jc w:val="both"/>
      </w:pPr>
      <w:r>
        <w:rPr>
          <w:rFonts w:ascii="Times New Roman"/>
          <w:b w:val="false"/>
          <w:i w:val="false"/>
          <w:color w:val="000000"/>
          <w:sz w:val="28"/>
        </w:rPr>
        <w:t xml:space="preserve">
      </w:t>
      </w:r>
      <w:r>
        <w:rPr>
          <w:rFonts w:ascii="Times New Roman"/>
          <w:b/>
          <w:i w:val="false"/>
          <w:color w:val="000000"/>
          <w:sz w:val="28"/>
        </w:rPr>
        <w:t>11. СРЕДСТВА В КРЕДИТНЫХ УЧРЕЖДЕНИЯХ</w:t>
      </w:r>
    </w:p>
    <w:bookmarkEnd w:id="162"/>
    <w:p>
      <w:pPr>
        <w:spacing w:after="0"/>
        <w:ind w:left="0"/>
        <w:jc w:val="both"/>
      </w:pPr>
      <w:r>
        <w:rPr>
          <w:rFonts w:ascii="Times New Roman"/>
          <w:b w:val="false"/>
          <w:i w:val="false"/>
          <w:color w:val="000000"/>
          <w:sz w:val="28"/>
        </w:rPr>
        <w:t>
      На 31 декабря средства в кредитных учреждениях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5286"/>
        <w:gridCol w:w="5287"/>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Банковские депозиты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1.356.231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1.099.040</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кредитным учреждениям</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311.162</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(64.133)</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 нетто</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1.346.069</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(1.291.888)</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(1.076.442)</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282.676</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4830"/>
        <w:gridCol w:w="4831"/>
      </w:tblGrid>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крупнейших местных кредитных учреждений</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997.137</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913.505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местные кредитные учреждения</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189.063</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кредитные учреждения</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388.364</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4"/>
        <w:gridCol w:w="3853"/>
        <w:gridCol w:w="3853"/>
      </w:tblGrid>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от ААА(Ааа) до АА-(Аа3)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35.684</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от А+(А1) до А-(А3)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258.099</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137.860</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от ВВВ+(Ваа1) до ВВВ(Ваа2)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125.928</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от ВВВ-(Ваа3) до ВВ-(Ва3)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300.932</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от В+(В1) до В-(В3)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973.206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592.773</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от ССС+(Саа1) до D(D)</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 отсутствует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152.892</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4829"/>
        <w:gridCol w:w="4829"/>
      </w:tblGrid>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 выраженные в тенге</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884.287</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790.109</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 выраженные в долларах США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689.287</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549.874</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 выраженные в иных валютах</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1.346.069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года средневзвешенная процентная ставка по средствам в кредитных учреждениях составила 4,68% (2012: 4,86%).</w:t>
      </w:r>
    </w:p>
    <w:p>
      <w:pPr>
        <w:spacing w:after="0"/>
        <w:ind w:left="0"/>
        <w:jc w:val="both"/>
      </w:pPr>
      <w:r>
        <w:rPr>
          <w:rFonts w:ascii="Times New Roman"/>
          <w:b w:val="false"/>
          <w:i w:val="false"/>
          <w:color w:val="000000"/>
          <w:sz w:val="28"/>
        </w:rPr>
        <w:t>
      Изменения в резерве на обесценение по средствам в кредитных учреждениях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4922"/>
        <w:gridCol w:w="4276"/>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1 января</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62.789</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нетто</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валюты отчетности</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за счет резерва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Прекращенная деятельность</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активы классифицированные, как предназначенные для продажи</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(52.119)</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года средства в кредитных учреждениях включали денежные средства в сумме 38.217 миллионов тенге, которые были заложены в качестве обеспечения по некоторым займам Группы (2012: 4.982 миллиона тенге)</w:t>
      </w:r>
      <w:r>
        <w:rPr>
          <w:rFonts w:ascii="Times New Roman"/>
          <w:b w:val="false"/>
          <w:i/>
          <w:color w:val="000000"/>
          <w:sz w:val="28"/>
        </w:rPr>
        <w:t xml:space="preserve"> (Примечание 18)</w:t>
      </w:r>
      <w:r>
        <w:rPr>
          <w:rFonts w:ascii="Times New Roman"/>
          <w:b w:val="false"/>
          <w:i w:val="false"/>
          <w:color w:val="000000"/>
          <w:sz w:val="28"/>
        </w:rPr>
        <w:t>.</w:t>
      </w:r>
    </w:p>
    <w:bookmarkStart w:name="z163" w:id="163"/>
    <w:p>
      <w:pPr>
        <w:spacing w:after="0"/>
        <w:ind w:left="0"/>
        <w:jc w:val="both"/>
      </w:pPr>
      <w:r>
        <w:rPr>
          <w:rFonts w:ascii="Times New Roman"/>
          <w:b w:val="false"/>
          <w:i w:val="false"/>
          <w:color w:val="000000"/>
          <w:sz w:val="28"/>
        </w:rPr>
        <w:t xml:space="preserve">
      </w:t>
      </w:r>
      <w:r>
        <w:rPr>
          <w:rFonts w:ascii="Times New Roman"/>
          <w:b/>
          <w:i w:val="false"/>
          <w:color w:val="000000"/>
          <w:sz w:val="28"/>
        </w:rPr>
        <w:t>12. ПРОЧИЕ ФИНАНСОВЫЕ АКТИВЫ</w:t>
      </w:r>
    </w:p>
    <w:bookmarkEnd w:id="163"/>
    <w:p>
      <w:pPr>
        <w:spacing w:after="0"/>
        <w:ind w:left="0"/>
        <w:jc w:val="both"/>
      </w:pPr>
      <w:r>
        <w:rPr>
          <w:rFonts w:ascii="Times New Roman"/>
          <w:b w:val="false"/>
          <w:i w:val="false"/>
          <w:color w:val="000000"/>
          <w:sz w:val="28"/>
        </w:rPr>
        <w:t>
      На 31 декабря прочие финансовые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6"/>
        <w:gridCol w:w="4192"/>
        <w:gridCol w:w="4192"/>
      </w:tblGrid>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к получению от участника совместного предприятия</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Вексель к получению от участника ассоциированной компании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20.722</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 включая</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484.542</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219.582</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Облигации казахстанских финансовых учреждений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135.413</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обязательства Министерства финансов Республики Казахстан</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68.316</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облигации</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32.177</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международных финансовых организаций</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ценные бумаги</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активы по договорам репо</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удерживаемые до погашения, включая</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Облигации казахстанских финансовых учреждений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42.596</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обязательства Министерства финансов Республики Казахстан</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облигации</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учитываемые по справедливой стоимости через прибыль и убыток, включая</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37.256</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обязательства Министерства финансов Республики Казахстан</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казахстанских финансовых учреждений</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Некотирующиеся инвестиции в организации венчурного капитала</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Некотирующиеся инвестиции в акционерный капитал</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4797"/>
        <w:gridCol w:w="5424"/>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облигации</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долевые ценные бумаги</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ценные бумаги, включая</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казахстанских финансовых учреждений</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20.997</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обязательства Министерства финансов Республики Казахстан</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облигации</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долевые ценные бумаги</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25.668</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ценные бумаги</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включая</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50.278</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47.638</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Валютные свопы</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финансовые активы</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732.743</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(267.809)</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года процентные ставки по финансовым активам, имеющимся в наличии для продажи, финансовым активам, удерживаемым до погашения, и торговым ценным бумагам находились в диапазоне от 4,3% до 9,2%, от 0,93% до 15% и от 3,6% до 11%, соответственно (2012: 2,3% до 17,4%, от 0,93% до 15% и от 3,6% до 11%, соответственно).</w:t>
      </w:r>
    </w:p>
    <w:p>
      <w:pPr>
        <w:spacing w:after="0"/>
        <w:ind w:left="0"/>
        <w:jc w:val="both"/>
      </w:pPr>
      <w:r>
        <w:rPr>
          <w:rFonts w:ascii="Times New Roman"/>
          <w:b w:val="false"/>
          <w:i w:val="false"/>
          <w:color w:val="000000"/>
          <w:sz w:val="28"/>
        </w:rPr>
        <w:t>
      Прочие финансовые активы в разрезе валют, за исключением производных финансовых инструментов, были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4877"/>
        <w:gridCol w:w="4877"/>
      </w:tblGrid>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выраженные в тенге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442.444</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выраженные в долларах США</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выраженные в иных валютах</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в резерве на обесценение прочих финансовых активов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5024"/>
        <w:gridCol w:w="4016"/>
      </w:tblGrid>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1 января</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(Восстановлено)/начислено, нетто</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Списано за счет резерва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Прекращенная деятельность</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валюты отчетности</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Долевые ценные бумаги (финансовые активы, имеющиеся в наличии для продажи) – акции "Toshiba Nuclear Energy Holdings (US) Inc." и "Toshiba Nuclear Energy Holdings (UK) Ltd."</w:t>
      </w:r>
    </w:p>
    <w:p>
      <w:pPr>
        <w:spacing w:after="0"/>
        <w:ind w:left="0"/>
        <w:jc w:val="both"/>
      </w:pPr>
      <w:r>
        <w:rPr>
          <w:rFonts w:ascii="Times New Roman"/>
          <w:b w:val="false"/>
          <w:i w:val="false"/>
          <w:color w:val="000000"/>
          <w:sz w:val="28"/>
        </w:rPr>
        <w:t xml:space="preserve">
      В 2007 году НАК КАП приобрела у "Toshiba Nuclear Energy Investments US Inc." 400 обыкновенных акций класса А компании "Toshiba Nuclear Energy Holdings (US) Inc." (далее "TNEH-US"), за 400.000 тысяч долларов США. Помимо этого НАК КАП приобрела у "Toshiba Nuclear Energy Investments UK Ltd" 140 обыкновенных акций класса А компании "Toshiba Nuclear Energy Holdings (UK) Ltd." (далее "TNEH-UK") за 140.000 тысяч долларов США. В результате покупки 400 обыкновенных акций класса А в TNEH - US и 140 обыкновенных акций класса А в TNEH-UK, НАК КАП приобрела 10% доли владения в указанных компаниях. TNEH-US и TNEH-UK владеют 100% акций в "Westinghouse Group" (далее "Westinghouse"). </w:t>
      </w:r>
    </w:p>
    <w:p>
      <w:pPr>
        <w:spacing w:after="0"/>
        <w:ind w:left="0"/>
        <w:jc w:val="both"/>
      </w:pPr>
      <w:r>
        <w:rPr>
          <w:rFonts w:ascii="Times New Roman"/>
          <w:b w:val="false"/>
          <w:i w:val="false"/>
          <w:color w:val="000000"/>
          <w:sz w:val="28"/>
        </w:rPr>
        <w:t>
      В связи и одновременно с приобретением доли участия в TNEH-US и TNEH-UK, НАК КАП заключила соглашение на опцион "пут" (далее "пут"). В зависимости от сертификации, производимой Westinghouse, в отношении производства топливных сборок АО "Ульбинский металлургический завод" (дочерняя организация НАК КАП), опцион "пут" предоставляет НАК КАП опцион продать свои акции Корпорации "Toshiba" за 100% первоначальной цены покупки, равной 540.000 тысяч долларов США за первые 67% акций, и за 90% первоначальной стоимости приобретения за оставшиеся 33% акций, в результате чего цена исполнения опциона "пут" равняется 522.180 тысяч долларов США. В дополнение к данному соглашению опцион "пут", в конце 2012 года НАК КАП и Корпорация "Toshiba" подписали соглашение, согласно которому НАК КАП может использовать опцион "пут" до 28 февраля 2018 года. По состоянию на 31 декабря 2013 года НАК КАП не использовала опцион "пут".</w:t>
      </w:r>
    </w:p>
    <w:p>
      <w:pPr>
        <w:spacing w:after="0"/>
        <w:ind w:left="0"/>
        <w:jc w:val="both"/>
      </w:pPr>
      <w:r>
        <w:rPr>
          <w:rFonts w:ascii="Times New Roman"/>
          <w:b w:val="false"/>
          <w:i w:val="false"/>
          <w:color w:val="000000"/>
          <w:sz w:val="28"/>
        </w:rPr>
        <w:t>
      В связи и одновременно с приобретением доли владения в TNEH-US и TNEH-UK, НАК КАП заключила соглашение на опцион "колл" (далее опцион "колл"). Опцион "колл" дает право Корпорации "Toshiba" требовать от НАК КАП продажи ее акций в TNEH-US и TNEH-UK, если Комитет по иностранным инвестициям США сочтет, что НАК КАП более не является стратегическим партнером. В этом случае справедливая стоимость данных акций, принадлежащих НАК КАП, будет определена независимой международной оценочной компанией. По состоянию на 31 декабря 2013 года Корпорация "Toshiba" не использовала опцион "колл".</w:t>
      </w:r>
    </w:p>
    <w:p>
      <w:pPr>
        <w:spacing w:after="0"/>
        <w:ind w:left="0"/>
        <w:jc w:val="both"/>
      </w:pPr>
      <w:r>
        <w:rPr>
          <w:rFonts w:ascii="Times New Roman"/>
          <w:b w:val="false"/>
          <w:i w:val="false"/>
          <w:color w:val="000000"/>
          <w:sz w:val="28"/>
        </w:rPr>
        <w:t>
      Группа классифицировала эти инвестиции как имеющиеся в наличии для продажи, поскольку это наилучший способ отразить намерение и способность Группы держать инвестиции в долгосрочной перспективе. Инвестиции в TNEH-US и TNEH-UK учитываются по себестоимости, так как они являются капиталом частной компании, чья справедливая стоимость не может быть достоверно определена.</w:t>
      </w:r>
    </w:p>
    <w:p>
      <w:pPr>
        <w:spacing w:after="0"/>
        <w:ind w:left="0"/>
        <w:jc w:val="both"/>
      </w:pPr>
      <w:r>
        <w:rPr>
          <w:rFonts w:ascii="Times New Roman"/>
          <w:b w:val="false"/>
          <w:i w:val="false"/>
          <w:color w:val="000000"/>
          <w:sz w:val="28"/>
        </w:rPr>
        <w:t xml:space="preserve">
      На 31 декабря 2013 года балансовая стоимость данных инвестиций составила 66.005 миллионов тенге (2012: 66.005 миллионов тенге).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Долевые ценные бумаги (финансовые активы, имеющиеся в наличии для продажи) – акции Kazakhmys Plc</w:t>
      </w:r>
    </w:p>
    <w:p>
      <w:pPr>
        <w:spacing w:after="0"/>
        <w:ind w:left="0"/>
        <w:jc w:val="both"/>
      </w:pPr>
      <w:r>
        <w:rPr>
          <w:rFonts w:ascii="Times New Roman"/>
          <w:b w:val="false"/>
          <w:i w:val="false"/>
          <w:color w:val="000000"/>
          <w:sz w:val="28"/>
        </w:rPr>
        <w:t xml:space="preserve">
      6 июня 2013 года Фонд осуществил безвозмездную передачу всех имеющихся во владении Фонда простых акций Kazakhmys Plc (58.876.793 акции) в республиканскую собственность, путем их передачи Комитету государственного имущества и приватизации Министерства финансов Республики Казахстан. Справедливая стоимость данных финансовых активов на дату передачи составила 44.069 миллионов тенге. </w:t>
      </w:r>
      <w:r>
        <w:rPr>
          <w:rFonts w:ascii="Times New Roman"/>
          <w:b w:val="false"/>
          <w:i/>
          <w:color w:val="000000"/>
          <w:sz w:val="28"/>
        </w:rPr>
        <w:t>(Примечание 17.5)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На 31 декабря 2012 года существовали объективные свидетельства того, что первоначальная стоимость долевых ценных бумаг Kazakhmys Plc, имеющихся в наличии для продажи, может быть не возмещена, в связи со значительным и продолжительным снижением их справедливой стоимости ниже величины первоначальной стоимости. В связи с этим, в 2012 году Группа реклассифицировала из состава прочего совокупного дохода нереализованный убыток по долевым ценным бумагам Kazakhmys Plc в убытки по обесценению в размере 86.103 миллиона тенге. Убытки по обесценению были признаны в размере разницы между справедливой стоимостью и первоначальной стоимостью долевых ценных бумаг Kazakhmys Plc.</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Долевые ценные бумаги (финансовые активы, имеющиеся в наличии для продажи) – акции АО "Казкоммерцбанк"</w:t>
      </w:r>
    </w:p>
    <w:p>
      <w:pPr>
        <w:spacing w:after="0"/>
        <w:ind w:left="0"/>
        <w:jc w:val="both"/>
      </w:pPr>
      <w:r>
        <w:rPr>
          <w:rFonts w:ascii="Times New Roman"/>
          <w:b w:val="false"/>
          <w:i w:val="false"/>
          <w:color w:val="000000"/>
          <w:sz w:val="28"/>
        </w:rPr>
        <w:t>
      На 31 декабря 2013 года справедливая стоимость ценных бумаг АО "Казкоммерцбанк" составила 23.237 миллионов тенге (2012: 24.828 миллионов тенге).</w:t>
      </w:r>
    </w:p>
    <w:p>
      <w:pPr>
        <w:spacing w:after="0"/>
        <w:ind w:left="0"/>
        <w:jc w:val="both"/>
      </w:pPr>
      <w:r>
        <w:rPr>
          <w:rFonts w:ascii="Times New Roman"/>
          <w:b w:val="false"/>
          <w:i w:val="false"/>
          <w:color w:val="000000"/>
          <w:sz w:val="28"/>
        </w:rPr>
        <w:t>
      На 31 декабря 2012 года существовали объективные свидетельства того, что первоначальная стоимость долевых ценных бумаг АО "Казкоммерцбанк" в наличии для продажи, может быть не возмещена, в связи со значительным и продолжительным снижением стоимости ниже величины первоначальной стоимости. В связи с этим, Группа реклассифицировала из состава прочего совокупного дохода нереализованный убыток по долевым ценным бумагам АО "Казкоммерцбанк" в убытки по обесценению в размере 60.745 миллионов тенге. Убытки по обесценению были признаны в размере разницы между справедливой стоимостью и первоначальной стоимостью долевых ценных бумаг АО "Казкоммерцбанк".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Реализация долевых ценных бумаг (финансовые активы, имеющиеся в наличии для продажи) – акции АО "Народный Банк Казахстана"</w:t>
      </w:r>
    </w:p>
    <w:p>
      <w:pPr>
        <w:spacing w:after="0"/>
        <w:ind w:left="0"/>
        <w:jc w:val="both"/>
      </w:pPr>
      <w:r>
        <w:rPr>
          <w:rFonts w:ascii="Times New Roman"/>
          <w:b w:val="false"/>
          <w:i w:val="false"/>
          <w:color w:val="000000"/>
          <w:sz w:val="28"/>
        </w:rPr>
        <w:t>
      28 мая 2012 года АО "Холдинговая группа "АЛМЭКС" и АО "Народный Банк Казахстана" заключили соглашение об уступке прав по опционному соглашению в отношении привилегированных акций АО "Народный Банк Казахстана".</w:t>
      </w:r>
    </w:p>
    <w:p>
      <w:pPr>
        <w:spacing w:after="0"/>
        <w:ind w:left="0"/>
        <w:jc w:val="both"/>
      </w:pPr>
      <w:r>
        <w:rPr>
          <w:rFonts w:ascii="Times New Roman"/>
          <w:b w:val="false"/>
          <w:i w:val="false"/>
          <w:color w:val="000000"/>
          <w:sz w:val="28"/>
        </w:rPr>
        <w:t>
      В соответствии с данным соглашением, 29 июня 2012 года и 5 июля 2012 года у фонда АО "Народный Банк Казахстана" частично реализовал свое право на исполнение опциона и осуществил выкуп 150.000.000 и 40.000.000 своих привилегированных акций по цене 179,94 тенге и 180,21 тенге за акцию. Общая стоимость реализации составила 34.199 миллионов тенге.</w:t>
      </w:r>
    </w:p>
    <w:p>
      <w:pPr>
        <w:spacing w:after="0"/>
        <w:ind w:left="0"/>
        <w:jc w:val="both"/>
      </w:pPr>
      <w:r>
        <w:rPr>
          <w:rFonts w:ascii="Times New Roman"/>
          <w:b w:val="false"/>
          <w:i w:val="false"/>
          <w:color w:val="000000"/>
          <w:sz w:val="28"/>
        </w:rPr>
        <w:t>
      После реализации привилегированных акций АО "Народный Банк Казахстана" со справедливой стоимостью на дату продажи в размере 27.057 и 7.215 миллионов тенге, соответственно, Фонд прекратил признание соответствующих обязательств по опциону на выкуп привилегированных акций. Справедливая стоимость данных обязательств по опциону на дату продажи составила 2.770 и 739 миллионов тенге, соответственно.</w:t>
      </w:r>
    </w:p>
    <w:p>
      <w:pPr>
        <w:spacing w:after="0"/>
        <w:ind w:left="0"/>
        <w:jc w:val="both"/>
      </w:pPr>
      <w:r>
        <w:rPr>
          <w:rFonts w:ascii="Times New Roman"/>
          <w:b w:val="false"/>
          <w:i w:val="false"/>
          <w:color w:val="000000"/>
          <w:sz w:val="28"/>
        </w:rPr>
        <w:t>
      Нереализованная прибыль в размере 1.394 миллионов тенге по переоценке инвестиций, имеющихся в наличии для продажи, по привилегированным акциям АО "Народный Банк Казахстана", была также реклассифицирована из резерва по переоценке инвестиций, имеющихся в наличие для продажи, в чистую прибыль за период. Полученная чистая прибыль от выбытия финансовых активов была отражена в консолидированном отчете о совокупном доходе за 2012 год в размере 4.830 миллионов тенге.</w:t>
      </w:r>
    </w:p>
    <w:p>
      <w:pPr>
        <w:spacing w:after="0"/>
        <w:ind w:left="0"/>
        <w:jc w:val="both"/>
      </w:pPr>
      <w:r>
        <w:rPr>
          <w:rFonts w:ascii="Times New Roman"/>
          <w:b w:val="false"/>
          <w:i w:val="false"/>
          <w:color w:val="000000"/>
          <w:sz w:val="28"/>
        </w:rPr>
        <w:t>
      На 31 декабря 2013 года справедливая стоимость оставшихся во владении Фонда ценных бумаг АО "Народный Банк Казахстана" составила 1.025 миллионов тенге (2012: 1.028 миллионов тенге).</w:t>
      </w:r>
    </w:p>
    <w:bookmarkStart w:name="z164" w:id="164"/>
    <w:p>
      <w:pPr>
        <w:spacing w:after="0"/>
        <w:ind w:left="0"/>
        <w:jc w:val="both"/>
      </w:pPr>
      <w:r>
        <w:rPr>
          <w:rFonts w:ascii="Times New Roman"/>
          <w:b w:val="false"/>
          <w:i w:val="false"/>
          <w:color w:val="000000"/>
          <w:sz w:val="28"/>
        </w:rPr>
        <w:t xml:space="preserve">
      </w:t>
      </w:r>
      <w:r>
        <w:rPr>
          <w:rFonts w:ascii="Times New Roman"/>
          <w:b/>
          <w:i w:val="false"/>
          <w:color w:val="000000"/>
          <w:sz w:val="28"/>
        </w:rPr>
        <w:t>13. ПРОЧИЕ ДОЛГОСРОЧНЫЕ АКТИВЫ</w:t>
      </w:r>
    </w:p>
    <w:bookmarkEnd w:id="164"/>
    <w:p>
      <w:pPr>
        <w:spacing w:after="0"/>
        <w:ind w:left="0"/>
        <w:jc w:val="both"/>
      </w:pPr>
      <w:r>
        <w:rPr>
          <w:rFonts w:ascii="Times New Roman"/>
          <w:b w:val="false"/>
          <w:i w:val="false"/>
          <w:color w:val="000000"/>
          <w:sz w:val="28"/>
        </w:rPr>
        <w:t>
      На 31 декабря прочие долгосрочные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5055"/>
        <w:gridCol w:w="5055"/>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уплаченные за долгосрочные активы</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302.517</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292.387</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НДС к возмещению</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62.997</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47.616</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реализации государству</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запасы</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ограниченные в использовании</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резерв на обесценение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461.896</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421.092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в резерве на обесценение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2"/>
        <w:gridCol w:w="4469"/>
        <w:gridCol w:w="4249"/>
      </w:tblGrid>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1 января</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валюты отчетности</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нетто</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активы, классифицированные, как предназначенные для продажи</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31 декабря 2013 года авансы, уплаченные за долгосрочные активы, в основном представлены авансами за выполнение строительных работ и приобретение основных средств.</w:t>
      </w:r>
    </w:p>
    <w:bookmarkStart w:name="z165" w:id="165"/>
    <w:p>
      <w:pPr>
        <w:spacing w:after="0"/>
        <w:ind w:left="0"/>
        <w:jc w:val="both"/>
      </w:pPr>
      <w:r>
        <w:rPr>
          <w:rFonts w:ascii="Times New Roman"/>
          <w:b w:val="false"/>
          <w:i w:val="false"/>
          <w:color w:val="000000"/>
          <w:sz w:val="28"/>
        </w:rPr>
        <w:t xml:space="preserve">
      </w:t>
      </w:r>
      <w:r>
        <w:rPr>
          <w:rFonts w:ascii="Times New Roman"/>
          <w:b/>
          <w:i w:val="false"/>
          <w:color w:val="000000"/>
          <w:sz w:val="28"/>
        </w:rPr>
        <w:t>14. ЗАПАСЫ</w:t>
      </w:r>
    </w:p>
    <w:bookmarkEnd w:id="165"/>
    <w:p>
      <w:pPr>
        <w:spacing w:after="0"/>
        <w:ind w:left="0"/>
        <w:jc w:val="both"/>
      </w:pPr>
      <w:r>
        <w:rPr>
          <w:rFonts w:ascii="Times New Roman"/>
          <w:b w:val="false"/>
          <w:i w:val="false"/>
          <w:color w:val="000000"/>
          <w:sz w:val="28"/>
        </w:rPr>
        <w:t>
      На 31 декабря запасы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907"/>
        <w:gridCol w:w="4907"/>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переработки нефти для продажи</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50.717</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41.085</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материалы и запасы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Урановая продукция</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29.860</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перепродажи</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34.448</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запасы нефтегазовой отрасли</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запасы железнодорожной отрасли</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обеспечение на праве собственности</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газа</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запасные части</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 для телекоммуникационного оборудования</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запасы урановой отрасли</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 для оборудования по передаче электроэнергии</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и запасы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46.037</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резерв по чистой стоимости реализации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346.300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409.508</w:t>
            </w:r>
          </w:p>
        </w:tc>
      </w:tr>
    </w:tbl>
    <w:p>
      <w:pPr>
        <w:spacing w:after="0"/>
        <w:ind w:left="0"/>
        <w:jc w:val="left"/>
      </w:pPr>
      <w:r>
        <w:br/>
      </w:r>
      <w:r>
        <w:rPr>
          <w:rFonts w:ascii="Times New Roman"/>
          <w:b w:val="false"/>
          <w:i w:val="false"/>
          <w:color w:val="000000"/>
          <w:sz w:val="28"/>
        </w:rPr>
        <w:t>
</w:t>
      </w:r>
    </w:p>
    <w:bookmarkStart w:name="z166" w:id="166"/>
    <w:p>
      <w:pPr>
        <w:spacing w:after="0"/>
        <w:ind w:left="0"/>
        <w:jc w:val="both"/>
      </w:pPr>
      <w:r>
        <w:rPr>
          <w:rFonts w:ascii="Times New Roman"/>
          <w:b w:val="false"/>
          <w:i w:val="false"/>
          <w:color w:val="000000"/>
          <w:sz w:val="28"/>
        </w:rPr>
        <w:t xml:space="preserve">
      </w:t>
      </w:r>
      <w:r>
        <w:rPr>
          <w:rFonts w:ascii="Times New Roman"/>
          <w:b/>
          <w:i w:val="false"/>
          <w:color w:val="000000"/>
          <w:sz w:val="28"/>
        </w:rPr>
        <w:t>15. ТОРГОВАЯ ДЕБИТОРСКАЯ ЗАДОЛЖЕННОСТЬ И ПРОЧИЕ ТЕКУЩИЕ АКТИВЫ</w:t>
      </w:r>
    </w:p>
    <w:bookmarkEnd w:id="166"/>
    <w:p>
      <w:pPr>
        <w:spacing w:after="0"/>
        <w:ind w:left="0"/>
        <w:jc w:val="both"/>
      </w:pPr>
      <w:r>
        <w:rPr>
          <w:rFonts w:ascii="Times New Roman"/>
          <w:b w:val="false"/>
          <w:i w:val="false"/>
          <w:color w:val="000000"/>
          <w:sz w:val="28"/>
        </w:rPr>
        <w:t>
      На 31 декабря торговая дебиторская задолженность включала: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5039"/>
        <w:gridCol w:w="5039"/>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дебиторская задолженность</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397.699</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370.676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по сомнительной задолженности</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361.069</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прочие текущие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5055"/>
        <w:gridCol w:w="5055"/>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 предназначенный в пользу Акционера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70.627</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76.720</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выплаченные и расходы будущих периодов</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39.328</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48.427</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предоплата по налогам</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22.348</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23.690</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Дивиденды к получению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ограниченные в использовании</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работников</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27.359</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резерв на обесценение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(32.116)</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211.020</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298.175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года дебиторская задолженность Группы в размере 91.914 миллионов тенге заложена в качестве обеспечения по договорам займа (2012: 91.460 миллионов тенге).</w:t>
      </w:r>
    </w:p>
    <w:p>
      <w:pPr>
        <w:spacing w:after="0"/>
        <w:ind w:left="0"/>
        <w:jc w:val="both"/>
      </w:pPr>
      <w:r>
        <w:rPr>
          <w:rFonts w:ascii="Times New Roman"/>
          <w:b w:val="false"/>
          <w:i w:val="false"/>
          <w:color w:val="000000"/>
          <w:sz w:val="28"/>
        </w:rPr>
        <w:t>
      Изменения в резерве по сомнительной торговой дебиторской задолженности и в резерве на обесценение прочих текущих активов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4922"/>
        <w:gridCol w:w="4276"/>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1 января</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оценке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нетто</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валюты отчетности</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(Восстановлено)/списано, нетто</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в активы, классифицированные как предназначенные для продажи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при объединении предприятий</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контроля над дочерней организацией</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68.746</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года по дебиторской задолженности Группы в размере 7.683 миллионов тенге начислялось вознаграждение (2012: нуль).</w:t>
      </w:r>
    </w:p>
    <w:p>
      <w:pPr>
        <w:spacing w:after="0"/>
        <w:ind w:left="0"/>
        <w:jc w:val="both"/>
      </w:pPr>
      <w:r>
        <w:rPr>
          <w:rFonts w:ascii="Times New Roman"/>
          <w:b w:val="false"/>
          <w:i w:val="false"/>
          <w:color w:val="000000"/>
          <w:sz w:val="28"/>
        </w:rPr>
        <w:t>
      На 31 декабря анализ торговой дебиторской задолженности в разрезе сроков представлен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800"/>
        <w:gridCol w:w="1800"/>
        <w:gridCol w:w="1554"/>
        <w:gridCol w:w="1554"/>
        <w:gridCol w:w="1348"/>
        <w:gridCol w:w="1719"/>
        <w:gridCol w:w="1342"/>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просроченная и не обесцененная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но не обесцененная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 дней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p>
            <w:pPr>
              <w:spacing w:after="20"/>
              <w:ind w:left="20"/>
              <w:jc w:val="both"/>
            </w:pPr>
            <w:r>
              <w:rPr>
                <w:rFonts w:ascii="Times New Roman"/>
                <w:b w:val="false"/>
                <w:i w:val="false"/>
                <w:color w:val="000000"/>
                <w:sz w:val="20"/>
              </w:rPr>
              <w:t>
дней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p>
            <w:pPr>
              <w:spacing w:after="20"/>
              <w:ind w:left="20"/>
              <w:jc w:val="both"/>
            </w:pPr>
            <w:r>
              <w:rPr>
                <w:rFonts w:ascii="Times New Roman"/>
                <w:b w:val="false"/>
                <w:i w:val="false"/>
                <w:color w:val="000000"/>
                <w:sz w:val="20"/>
              </w:rPr>
              <w:t>
дней</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 дней</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&gt;120 дней</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361.069</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r>
    </w:tbl>
    <w:p>
      <w:pPr>
        <w:spacing w:after="0"/>
        <w:ind w:left="0"/>
        <w:jc w:val="left"/>
      </w:pPr>
      <w:r>
        <w:br/>
      </w:r>
      <w:r>
        <w:rPr>
          <w:rFonts w:ascii="Times New Roman"/>
          <w:b w:val="false"/>
          <w:i w:val="false"/>
          <w:color w:val="000000"/>
          <w:sz w:val="28"/>
        </w:rPr>
        <w:t>
</w:t>
      </w:r>
    </w:p>
    <w:bookmarkStart w:name="z167" w:id="167"/>
    <w:p>
      <w:pPr>
        <w:spacing w:after="0"/>
        <w:ind w:left="0"/>
        <w:jc w:val="both"/>
      </w:pPr>
      <w:r>
        <w:rPr>
          <w:rFonts w:ascii="Times New Roman"/>
          <w:b w:val="false"/>
          <w:i w:val="false"/>
          <w:color w:val="000000"/>
          <w:sz w:val="28"/>
        </w:rPr>
        <w:t xml:space="preserve">
      </w:t>
      </w:r>
      <w:r>
        <w:rPr>
          <w:rFonts w:ascii="Times New Roman"/>
          <w:b/>
          <w:i w:val="false"/>
          <w:color w:val="000000"/>
          <w:sz w:val="28"/>
        </w:rPr>
        <w:t>16. ДЕНЕЖНЫЕ СРЕДСТВА И ИХ ЭКВИВАЛЕНТЫ</w:t>
      </w:r>
    </w:p>
    <w:bookmarkEnd w:id="167"/>
    <w:p>
      <w:pPr>
        <w:spacing w:after="0"/>
        <w:ind w:left="0"/>
        <w:jc w:val="both"/>
      </w:pPr>
      <w:r>
        <w:rPr>
          <w:rFonts w:ascii="Times New Roman"/>
          <w:b w:val="false"/>
          <w:i w:val="false"/>
          <w:color w:val="000000"/>
          <w:sz w:val="28"/>
        </w:rPr>
        <w:t>
      На 31 декабря денежные средства и их эквиваленты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0"/>
        <w:gridCol w:w="3219"/>
        <w:gridCol w:w="3881"/>
      </w:tblGrid>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вклады – тенге</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вклады – доллары США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123.752</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вклады – другие валюты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банках – тенге</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196.814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в банках – доллары США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383.384</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банках – другие валюты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покупки и обратной продажи ("обратное репо") с другими банками с первоначальным сроком погашения менее трех месяцев</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Краткосрочные вклады вносятся на различные сроки – от 1 (одного) дня до 3 (трех) месяцев, в зависимости от срочных потребностей Группы в наличных денежных средствах. На 31 декабря 2013 года средневзвешенная процентная ставка по срочным вкладам в банках и по текущим банковским счетам составила 3,73% и 1,18%, соответственно (2012: 1,91% и 0,52%, соответственно).</w:t>
      </w:r>
    </w:p>
    <w:p>
      <w:pPr>
        <w:spacing w:after="0"/>
        <w:ind w:left="0"/>
        <w:jc w:val="both"/>
      </w:pPr>
      <w:r>
        <w:rPr>
          <w:rFonts w:ascii="Times New Roman"/>
          <w:b w:val="false"/>
          <w:i w:val="false"/>
          <w:color w:val="000000"/>
          <w:sz w:val="28"/>
        </w:rPr>
        <w:t>
      В общей сумме денежных средств Группы на счетах в банках имеются средства, полученные из Республиканского бюджета и Национального Фонда по целевым программам Правительства. По состоянию на 31 декабря 2013 года данные денежные средства аккумулируются на счетах Национального Банка и составляют 85 миллиардов тенге (2012: 395 миллиардов тенге), в том числе:</w:t>
      </w:r>
    </w:p>
    <w:p>
      <w:pPr>
        <w:spacing w:after="0"/>
        <w:ind w:left="0"/>
        <w:jc w:val="both"/>
      </w:pPr>
      <w:r>
        <w:rPr>
          <w:rFonts w:ascii="Times New Roman"/>
          <w:b w:val="false"/>
          <w:i w:val="false"/>
          <w:color w:val="000000"/>
          <w:sz w:val="28"/>
        </w:rPr>
        <w:t>
      - 54 миллиарда тенге – средства Национального Фонда, полученные в рамках реализации Плана Стабилизации (2012: 247 миллиардов тенге);</w:t>
      </w:r>
    </w:p>
    <w:p>
      <w:pPr>
        <w:spacing w:after="0"/>
        <w:ind w:left="0"/>
        <w:jc w:val="both"/>
      </w:pPr>
      <w:r>
        <w:rPr>
          <w:rFonts w:ascii="Times New Roman"/>
          <w:b w:val="false"/>
          <w:i w:val="false"/>
          <w:color w:val="000000"/>
          <w:sz w:val="28"/>
        </w:rPr>
        <w:t>
      - 2 миллиарда тенге – средства, полученные из Республиканского бюджета в целях финансирования проектов, реализуемых Фондом (2012: 6 миллиардов тенге);</w:t>
      </w:r>
    </w:p>
    <w:p>
      <w:pPr>
        <w:spacing w:after="0"/>
        <w:ind w:left="0"/>
        <w:jc w:val="both"/>
      </w:pPr>
      <w:r>
        <w:rPr>
          <w:rFonts w:ascii="Times New Roman"/>
          <w:b w:val="false"/>
          <w:i w:val="false"/>
          <w:color w:val="000000"/>
          <w:sz w:val="28"/>
        </w:rPr>
        <w:t>
      - 29 миллиардов тенге – остаток денежных средств Фонда, необходимый для осуществления операционной и инвестиционной деятельности (2012: 142 миллиарда тенге).</w:t>
      </w:r>
    </w:p>
    <w:bookmarkStart w:name="z168" w:id="168"/>
    <w:p>
      <w:pPr>
        <w:spacing w:after="0"/>
        <w:ind w:left="0"/>
        <w:jc w:val="both"/>
      </w:pPr>
      <w:r>
        <w:rPr>
          <w:rFonts w:ascii="Times New Roman"/>
          <w:b w:val="false"/>
          <w:i w:val="false"/>
          <w:color w:val="000000"/>
          <w:sz w:val="28"/>
        </w:rPr>
        <w:t xml:space="preserve">
      </w:t>
      </w:r>
      <w:r>
        <w:rPr>
          <w:rFonts w:ascii="Times New Roman"/>
          <w:b/>
          <w:i w:val="false"/>
          <w:color w:val="000000"/>
          <w:sz w:val="28"/>
        </w:rPr>
        <w:t>17. КАПИТАЛ</w:t>
      </w:r>
    </w:p>
    <w:bookmarkEnd w:id="168"/>
    <w:bookmarkStart w:name="z169" w:id="169"/>
    <w:p>
      <w:pPr>
        <w:spacing w:after="0"/>
        <w:ind w:left="0"/>
        <w:jc w:val="both"/>
      </w:pPr>
      <w:r>
        <w:rPr>
          <w:rFonts w:ascii="Times New Roman"/>
          <w:b w:val="false"/>
          <w:i w:val="false"/>
          <w:color w:val="000000"/>
          <w:sz w:val="28"/>
        </w:rPr>
        <w:t xml:space="preserve">
      </w:t>
      </w:r>
      <w:r>
        <w:rPr>
          <w:rFonts w:ascii="Times New Roman"/>
          <w:b/>
          <w:i w:val="false"/>
          <w:color w:val="000000"/>
          <w:sz w:val="28"/>
        </w:rPr>
        <w:t>17.1 Выпуск акций</w:t>
      </w:r>
    </w:p>
    <w:bookmarkEnd w:id="169"/>
    <w:p>
      <w:pPr>
        <w:spacing w:after="0"/>
        <w:ind w:left="0"/>
        <w:jc w:val="both"/>
      </w:pPr>
      <w:r>
        <w:rPr>
          <w:rFonts w:ascii="Times New Roman"/>
          <w:b w:val="false"/>
          <w:i w:val="false"/>
          <w:color w:val="000000"/>
          <w:sz w:val="28"/>
        </w:rPr>
        <w:t>
      В течение 2013 и 2012 годов, Фонд осуществил эмиссию акций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2161"/>
        <w:gridCol w:w="7045"/>
        <w:gridCol w:w="1547"/>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акций</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разрешенных к выпуску и выпущенных акций</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акции, в тенге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 миллионах тенге</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2011 года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3.480.637.455</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4.050.383</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денежными средствами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имуществом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350.282</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93.549; 90.092; 80.000; 72.800; 23.156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государственными пакетами акций</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282.174; 100.000; 46.000; 40.600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311.903</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2012 года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3.481.526.139</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денежными средствами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901.000; 1.000.000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государственными пакетами акций</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1.000.000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имуществом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1.000;422.451; 615.921; 1.000.000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2013 года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3.481.602.341</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года 3.481.602.341 акций были полностью оплачены (2012: 3.481.526.139 акций).</w:t>
      </w:r>
    </w:p>
    <w:bookmarkStart w:name="z170" w:id="170"/>
    <w:p>
      <w:pPr>
        <w:spacing w:after="0"/>
        <w:ind w:left="0"/>
        <w:jc w:val="both"/>
      </w:pPr>
      <w:r>
        <w:rPr>
          <w:rFonts w:ascii="Times New Roman"/>
          <w:b w:val="false"/>
          <w:i w:val="false"/>
          <w:color w:val="000000"/>
          <w:sz w:val="28"/>
        </w:rPr>
        <w:t xml:space="preserve">
      </w:t>
      </w:r>
      <w:r>
        <w:rPr>
          <w:rFonts w:ascii="Times New Roman"/>
          <w:b/>
          <w:i w:val="false"/>
          <w:color w:val="000000"/>
          <w:sz w:val="28"/>
        </w:rPr>
        <w:t>2013</w:t>
      </w:r>
    </w:p>
    <w:bookmarkEnd w:id="17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2013-2015 годы" от 23 ноября 2012 года Акционер осуществил взнос в уставный капитал Фонда денежными средствами в размере 39.320 миллионов тенге. Данные средства предназначены для финансирования проектов, осуществляемых дочерними организациями Фонда.</w:t>
      </w:r>
    </w:p>
    <w:p>
      <w:pPr>
        <w:spacing w:after="0"/>
        <w:ind w:left="0"/>
        <w:jc w:val="both"/>
      </w:pPr>
      <w:r>
        <w:rPr>
          <w:rFonts w:ascii="Times New Roman"/>
          <w:b w:val="false"/>
          <w:i w:val="false"/>
          <w:color w:val="000000"/>
          <w:sz w:val="28"/>
        </w:rPr>
        <w:t xml:space="preserve">
      В 2013 году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939 от 14 сентября 2010 года Акционер осуществил взнос в уставный капитал Фонда имуществом на общую сумму 9.808 миллионов тенге.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1538 от 4 декабря 2012 года, 26 июля 2013 года Фонду был передан государственный пакет акций АО "Национальная компания "Актауский международный морской торговый порт". Поскольку передача пакета акций АО "Национальная компания "Актауский международный морской торговый порт" представляет собой объединение предприятий под общим контролем, данная консолидированная финансовая отчетность была подготовлена с использованием метода учета компании-предшественника. Соответственно, данная консолидированная финансовая отчетность представлена таким образом, как если бы передача акций АО "Национальная компания "Актауский международный морской торговый порт" произошла на дату наиболее раннего представленного периода, и, как результат, сравнительная информация была пересчитана. Балансовая стоимость внесенных чистых активов в данной консолидированной финансовой отчетности была учтена как корректировка нераспределенной прибыли, которая впоследствии, при выпуске акций Фонда, была перенесена в уставный капитал в сумме 26.234 миллиона тенге.</w:t>
      </w:r>
    </w:p>
    <w:bookmarkStart w:name="z171" w:id="171"/>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171"/>
    <w:p>
      <w:pPr>
        <w:spacing w:after="0"/>
        <w:ind w:left="0"/>
        <w:jc w:val="both"/>
      </w:pPr>
      <w:r>
        <w:rPr>
          <w:rFonts w:ascii="Times New Roman"/>
          <w:b w:val="false"/>
          <w:i w:val="false"/>
          <w:color w:val="000000"/>
          <w:sz w:val="28"/>
        </w:rPr>
        <w:t>
      19 апреля 2012 года Фонду передан государственный пакет акций АО "Аркагаз" справедливая стоимость которого на дату получения составила 4.110 миллионов тенге.</w:t>
      </w:r>
    </w:p>
    <w:p>
      <w:pPr>
        <w:spacing w:after="0"/>
        <w:ind w:left="0"/>
        <w:jc w:val="both"/>
      </w:pPr>
      <w:r>
        <w:rPr>
          <w:rFonts w:ascii="Times New Roman"/>
          <w:b w:val="false"/>
          <w:i w:val="false"/>
          <w:color w:val="000000"/>
          <w:sz w:val="28"/>
        </w:rPr>
        <w:t xml:space="preserve">
      28 июня 2012 года Фонду передана 100% доля участия в КУДОСРП, в форме взноса в уставный капитал, со справедливой стоимостью 300.070 миллионов тенге </w:t>
      </w:r>
      <w:r>
        <w:rPr>
          <w:rFonts w:ascii="Times New Roman"/>
          <w:b w:val="false"/>
          <w:i/>
          <w:color w:val="000000"/>
          <w:sz w:val="28"/>
        </w:rPr>
        <w:t>(Примечание 5)</w:t>
      </w:r>
      <w:r>
        <w:rPr>
          <w:rFonts w:ascii="Times New Roman"/>
          <w:b w:val="false"/>
          <w:i w:val="false"/>
          <w:color w:val="000000"/>
          <w:sz w:val="28"/>
        </w:rPr>
        <w:t xml:space="preserve"> на дату получения. </w:t>
      </w:r>
    </w:p>
    <w:p>
      <w:pPr>
        <w:spacing w:after="0"/>
        <w:ind w:left="0"/>
        <w:jc w:val="both"/>
      </w:pPr>
      <w:r>
        <w:rPr>
          <w:rFonts w:ascii="Times New Roman"/>
          <w:b w:val="false"/>
          <w:i w:val="false"/>
          <w:color w:val="000000"/>
          <w:sz w:val="28"/>
        </w:rPr>
        <w:t xml:space="preserve">
      20 декабря 2012 года Правительство Республики Казахстан передало Фонду государственный пакет 100% доли ВК РЭК, справедливая стоимость которого на дату передачи составила 7.723 миллиона тенге. Активы и обязательства ВК РЭК были учтены в данной консолидированной финансовой отчетности по балансовой стоимости в финансовой отчетности ВК РЭК. Разница между балансовой стоимостью полученных чистых активов и суммой выпущенного уставного капитала в размере 4.149 миллионов тенге отражена как уменьшение нераспределенной прибыли в составе консолидированного отчета об изменениях в капитале </w:t>
      </w:r>
      <w:r>
        <w:rPr>
          <w:rFonts w:ascii="Times New Roman"/>
          <w:b w:val="false"/>
          <w:i/>
          <w:color w:val="000000"/>
          <w:sz w:val="28"/>
        </w:rPr>
        <w:t>(Примечание 5)</w:t>
      </w:r>
      <w:r>
        <w:rPr>
          <w:rFonts w:ascii="Times New Roman"/>
          <w:b w:val="false"/>
          <w:i w:val="false"/>
          <w:color w:val="000000"/>
          <w:sz w:val="28"/>
        </w:rPr>
        <w:t>.</w:t>
      </w:r>
    </w:p>
    <w:bookmarkStart w:name="z172" w:id="172"/>
    <w:p>
      <w:pPr>
        <w:spacing w:after="0"/>
        <w:ind w:left="0"/>
        <w:jc w:val="both"/>
      </w:pPr>
      <w:r>
        <w:rPr>
          <w:rFonts w:ascii="Times New Roman"/>
          <w:b w:val="false"/>
          <w:i w:val="false"/>
          <w:color w:val="000000"/>
          <w:sz w:val="28"/>
        </w:rPr>
        <w:t xml:space="preserve">
      </w:t>
      </w:r>
      <w:r>
        <w:rPr>
          <w:rFonts w:ascii="Times New Roman"/>
          <w:b/>
          <w:i w:val="false"/>
          <w:color w:val="000000"/>
          <w:sz w:val="28"/>
        </w:rPr>
        <w:t>17.2 Дисконт по займам от Правительства и по облигациям, выкупленным Национальным Банком Республики Казахстан</w:t>
      </w:r>
    </w:p>
    <w:bookmarkEnd w:id="172"/>
    <w:bookmarkStart w:name="z173" w:id="173"/>
    <w:p>
      <w:pPr>
        <w:spacing w:after="0"/>
        <w:ind w:left="0"/>
        <w:jc w:val="both"/>
      </w:pPr>
      <w:r>
        <w:rPr>
          <w:rFonts w:ascii="Times New Roman"/>
          <w:b w:val="false"/>
          <w:i w:val="false"/>
          <w:color w:val="000000"/>
          <w:sz w:val="28"/>
        </w:rPr>
        <w:t xml:space="preserve">
      </w:t>
      </w:r>
      <w:r>
        <w:rPr>
          <w:rFonts w:ascii="Times New Roman"/>
          <w:b/>
          <w:i w:val="false"/>
          <w:color w:val="000000"/>
          <w:sz w:val="28"/>
        </w:rPr>
        <w:t>2013</w:t>
      </w:r>
    </w:p>
    <w:bookmarkEnd w:id="173"/>
    <w:p>
      <w:pPr>
        <w:spacing w:after="0"/>
        <w:ind w:left="0"/>
        <w:jc w:val="both"/>
      </w:pPr>
      <w:r>
        <w:rPr>
          <w:rFonts w:ascii="Times New Roman"/>
          <w:b w:val="false"/>
          <w:i w:val="false"/>
          <w:color w:val="000000"/>
          <w:sz w:val="28"/>
        </w:rPr>
        <w:t>
      В январе 2013 года Фонд разместил купонные облигации по рыночной ставке вознаграждения, которые были выкуплены Национальным Банком Республики Казахстан и получил займ от Правительства по ставке ниже рыночных Дисконт при первоначальном признании данных обязательств в сумме 249.828 миллионов тенге был отражен как единовременный доход в консолидированном отчете об изменениях в капитале.</w:t>
      </w:r>
    </w:p>
    <w:bookmarkStart w:name="z174" w:id="174"/>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174"/>
    <w:p>
      <w:pPr>
        <w:spacing w:after="0"/>
        <w:ind w:left="0"/>
        <w:jc w:val="both"/>
      </w:pPr>
      <w:r>
        <w:rPr>
          <w:rFonts w:ascii="Times New Roman"/>
          <w:b w:val="false"/>
          <w:i w:val="false"/>
          <w:color w:val="000000"/>
          <w:sz w:val="28"/>
        </w:rPr>
        <w:t>
      В 2012 году Фонд разместил купонные облигации по ставкам вознаграждения ниже рыночных. Дисконт при первоначальном признании данных обязательств в сумме 89.617 миллионов тенге был отражен в консолидированном отчете об изменениях в капитале.</w:t>
      </w:r>
    </w:p>
    <w:p>
      <w:pPr>
        <w:spacing w:after="0"/>
        <w:ind w:left="0"/>
        <w:jc w:val="both"/>
      </w:pPr>
      <w:r>
        <w:rPr>
          <w:rFonts w:ascii="Times New Roman"/>
          <w:b w:val="false"/>
          <w:i w:val="false"/>
          <w:color w:val="000000"/>
          <w:sz w:val="28"/>
        </w:rPr>
        <w:t>
      В 2012 году были зарегистрированы изменения и дополнения в проспекты по облигациям, размещенным Фондом и выкупленным Национальным Банком Республики Казахстан. В соответствии с данными изменениями сроки обращения по данным облигациям были продлены до 2062 года и ставки вознаграждения были снижены до 0,01%. Изменения в проспекте привели к значительным изменениям в первоначальных условиях размещения облигаций, и, соответственно, к прекращению признания первоначального обязательства и признанию нового обязательства в соответствии с МСБУ 39. Разница между справедливой стоимостью нового обязательства и балансовой стоимостью первоначального обязательства на дату внесения изменений в размере 304.650 миллионов тенге была признана в консолидированном отчете об изменениях в капитале.</w:t>
      </w:r>
    </w:p>
    <w:bookmarkStart w:name="z175" w:id="175"/>
    <w:p>
      <w:pPr>
        <w:spacing w:after="0"/>
        <w:ind w:left="0"/>
        <w:jc w:val="both"/>
      </w:pPr>
      <w:r>
        <w:rPr>
          <w:rFonts w:ascii="Times New Roman"/>
          <w:b w:val="false"/>
          <w:i w:val="false"/>
          <w:color w:val="000000"/>
          <w:sz w:val="28"/>
        </w:rPr>
        <w:t xml:space="preserve">
      </w:t>
      </w:r>
      <w:r>
        <w:rPr>
          <w:rFonts w:ascii="Times New Roman"/>
          <w:b/>
          <w:i w:val="false"/>
          <w:color w:val="000000"/>
          <w:sz w:val="28"/>
        </w:rPr>
        <w:t>17.3 Дивиденды</w:t>
      </w:r>
    </w:p>
    <w:bookmarkEnd w:id="175"/>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 приходящиеся на Акционера материнской компании</w:t>
      </w:r>
    </w:p>
    <w:p>
      <w:pPr>
        <w:spacing w:after="0"/>
        <w:ind w:left="0"/>
        <w:jc w:val="both"/>
      </w:pPr>
      <w:r>
        <w:rPr>
          <w:rFonts w:ascii="Times New Roman"/>
          <w:b w:val="false"/>
          <w:i w:val="false"/>
          <w:color w:val="000000"/>
          <w:sz w:val="28"/>
        </w:rPr>
        <w:t>
      16 октября 2013 года Фонд осуществил выплату дивидендов Акционеру в размере 9.077 миллионов тенге по финансовым результатам за 2012 год в соответствии с Постановлением Правительства Республики Казахстан № 1060 от 5 октября 2013 года (2012 год: 159.113 миллионов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 приходящиеся на держателей неконтрольной доли участия</w:t>
      </w:r>
    </w:p>
    <w:p>
      <w:pPr>
        <w:spacing w:after="0"/>
        <w:ind w:left="0"/>
        <w:jc w:val="both"/>
      </w:pPr>
      <w:r>
        <w:rPr>
          <w:rFonts w:ascii="Times New Roman"/>
          <w:b w:val="false"/>
          <w:i w:val="false"/>
          <w:color w:val="000000"/>
          <w:sz w:val="28"/>
        </w:rPr>
        <w:t>
      В 2013 году Группа объявила дивиденды на сумму 40.591 миллион тенге, 14.919 миллионов тенге и 2.885 миллионов тенге держателям неконтрольной доли участия в РД КМГ, КТК и КТО, соответственно (2012: 114.312 миллионов тенге и 34.322 миллиона тенге держателям неконтрольной доли участия КТК и РД КМГ, соответственно).</w:t>
      </w:r>
    </w:p>
    <w:p>
      <w:pPr>
        <w:spacing w:after="0"/>
        <w:ind w:left="0"/>
        <w:jc w:val="both"/>
      </w:pPr>
      <w:r>
        <w:rPr>
          <w:rFonts w:ascii="Times New Roman"/>
          <w:b w:val="false"/>
          <w:i w:val="false"/>
          <w:color w:val="000000"/>
          <w:sz w:val="28"/>
        </w:rPr>
        <w:t>
      В 2013 году дивиденды, выплаченные держателям неконтрольной доли участия в прочих дочерних организациях, составили 2.326 миллионов тенге (2012: 1.663 миллиона тенге).</w:t>
      </w:r>
    </w:p>
    <w:bookmarkStart w:name="z176" w:id="176"/>
    <w:p>
      <w:pPr>
        <w:spacing w:after="0"/>
        <w:ind w:left="0"/>
        <w:jc w:val="both"/>
      </w:pPr>
      <w:r>
        <w:rPr>
          <w:rFonts w:ascii="Times New Roman"/>
          <w:b w:val="false"/>
          <w:i w:val="false"/>
          <w:color w:val="000000"/>
          <w:sz w:val="28"/>
        </w:rPr>
        <w:t xml:space="preserve">
      </w:t>
      </w:r>
      <w:r>
        <w:rPr>
          <w:rFonts w:ascii="Times New Roman"/>
          <w:b/>
          <w:i w:val="false"/>
          <w:color w:val="000000"/>
          <w:sz w:val="28"/>
        </w:rPr>
        <w:t>17.4 Прочие операции с Акционером</w:t>
      </w:r>
    </w:p>
    <w:bookmarkEnd w:id="176"/>
    <w:p>
      <w:pPr>
        <w:spacing w:after="0"/>
        <w:ind w:left="0"/>
        <w:jc w:val="both"/>
      </w:pPr>
      <w:r>
        <w:rPr>
          <w:rFonts w:ascii="Times New Roman"/>
          <w:b w:val="false"/>
          <w:i w:val="false"/>
          <w:color w:val="000000"/>
          <w:sz w:val="28"/>
        </w:rPr>
        <w:t>
      В соответствии с заключенными в апреле 2013 года договорами доверительного управления с правом полного контроля над институтами развития и финансовыми организациями, (АО "Фонд развития предпринимательства "Даму", АО "Kazyna Capital Management", АО "Экспортно-кредитная страховая корпорация "КазЭкспортГарант", АО "Инвестиционный Фонд Казахстана", АО "Банк Развития Казахстана"), ТОО "СКФармация" и АО "Досжан Темир Жолы", Фонд потерял контроль над данными предприятиями (Примечание 6). Фонд прекратил признание и отразил выбытие данных дочерних организаций как распределение Акционеру в сумме 471.711 миллионов тенге в консолидированном отчете об изменениях в капитале.</w:t>
      </w:r>
    </w:p>
    <w:p>
      <w:pPr>
        <w:spacing w:after="0"/>
        <w:ind w:left="0"/>
        <w:jc w:val="both"/>
      </w:pPr>
      <w:r>
        <w:rPr>
          <w:rFonts w:ascii="Times New Roman"/>
          <w:b w:val="false"/>
          <w:i w:val="false"/>
          <w:color w:val="000000"/>
          <w:sz w:val="28"/>
        </w:rPr>
        <w:t xml:space="preserve">
      В июле 2013 года во исполнение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мая 2013 года № 516 "О мерах по реализации Указа Президента Республики Казахстан № 571 от 22 мая 2013 года "О некоторых мерах по оптимизации системы управления институтами развития и развития национальной экономики" Фонд и Комитет государственного имущества и приватизации Министерства финансов Республики Казахстан подписали договор мены, согласно которому права собственности на пакеты акций и долю участия в выше описанных предприятиях передаются в республиканскую собственность в обмен на республиканское имущество в соответствии с перечнем, указанном в Постановлении Правительства. В августе 2013 года в рамках вышеуказанного договора мены Фонд осуществил передачу в республиканскую собственность пакетов акций и доли участия в некоторых дочерних организациях (АО "Фонд развития предпринимательства "Даму", АО "Kazyna Capital Management", АО "Экспортно-кредитная страховая корпорация "КазЭкспортГарант", АО "Инвестиционный Фонд Казахстана", ТОО "СК-Фармация").</w:t>
      </w:r>
    </w:p>
    <w:p>
      <w:pPr>
        <w:spacing w:after="0"/>
        <w:ind w:left="0"/>
        <w:jc w:val="both"/>
      </w:pPr>
      <w:r>
        <w:rPr>
          <w:rFonts w:ascii="Times New Roman"/>
          <w:b w:val="false"/>
          <w:i w:val="false"/>
          <w:color w:val="000000"/>
          <w:sz w:val="28"/>
        </w:rPr>
        <w:t>
      Также, в соответствии с вышеупомянутым договором мены, юридические права на долю участия в АО "Национальная геологоразведочная компания "Казгеология" передаются в республиканскую собственность в обмен на республиканское имущество, в соответствии с перечнем, указанном в Постановлении Правительства. Фонд признал и отразил выбытие АО "Национальная геологоразведочная компания "Казгеология" как распределение Акционеру в сумме 8.966 миллионов тенге в консолидированном отчете об изменениях в капитале.</w:t>
      </w:r>
    </w:p>
    <w:bookmarkStart w:name="z177" w:id="177"/>
    <w:p>
      <w:pPr>
        <w:spacing w:after="0"/>
        <w:ind w:left="0"/>
        <w:jc w:val="both"/>
      </w:pPr>
      <w:r>
        <w:rPr>
          <w:rFonts w:ascii="Times New Roman"/>
          <w:b w:val="false"/>
          <w:i w:val="false"/>
          <w:color w:val="000000"/>
          <w:sz w:val="28"/>
        </w:rPr>
        <w:t xml:space="preserve">
      </w:t>
      </w:r>
      <w:r>
        <w:rPr>
          <w:rFonts w:ascii="Times New Roman"/>
          <w:b/>
          <w:i w:val="false"/>
          <w:color w:val="000000"/>
          <w:sz w:val="28"/>
        </w:rPr>
        <w:t>17.5 Прочие распределения Акционеру</w:t>
      </w:r>
    </w:p>
    <w:bookmarkEnd w:id="177"/>
    <w:p>
      <w:pPr>
        <w:spacing w:after="0"/>
        <w:ind w:left="0"/>
        <w:jc w:val="both"/>
      </w:pPr>
      <w:r>
        <w:rPr>
          <w:rFonts w:ascii="Times New Roman"/>
          <w:b w:val="false"/>
          <w:i w:val="false"/>
          <w:color w:val="000000"/>
          <w:sz w:val="28"/>
        </w:rPr>
        <w:t xml:space="preserve">
      </w:t>
      </w:r>
      <w:r>
        <w:rPr>
          <w:rFonts w:ascii="Times New Roman"/>
          <w:b w:val="false"/>
          <w:i/>
          <w:color w:val="000000"/>
          <w:sz w:val="28"/>
        </w:rPr>
        <w:t>Передача акций "Kazakhmys Plc"</w:t>
      </w:r>
    </w:p>
    <w:p>
      <w:pPr>
        <w:spacing w:after="0"/>
        <w:ind w:left="0"/>
        <w:jc w:val="both"/>
      </w:pPr>
      <w:r>
        <w:rPr>
          <w:rFonts w:ascii="Times New Roman"/>
          <w:b w:val="false"/>
          <w:i w:val="false"/>
          <w:color w:val="000000"/>
          <w:sz w:val="28"/>
        </w:rPr>
        <w:t>
      6 июня 2013 года Фонд осуществил безвозмездную передачу всех имеющихся во владении Фонда простых акций Kazakhmys Plc (58.876.793 акции) в республиканскую собственность путем их передачи Комитету государственного имущества и приватизации Министерства финансов Республики Казахстан. Фонд прекратил признание инвестиций в Kazakhmys Plc, ранее учитывавшихся как финансовые активы, имеющиеся в наличии для продажи, с текущей стоимостью на дату выбытия в размере 44.069 миллионов тенге и связанного накопленного резерва по переоценке финансовых активов, имеющихся в наличии для продажи, в размере 67.856 миллионов тенге. Данное выбытие было отражено как прочие распределения Акционеру на общую сумму 111.925 миллионов тенге в консолидированном отчете об изменениях в капитале.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Строительство и передача основных средств</w:t>
      </w:r>
    </w:p>
    <w:p>
      <w:pPr>
        <w:spacing w:after="0"/>
        <w:ind w:left="0"/>
        <w:jc w:val="both"/>
      </w:pPr>
      <w:r>
        <w:rPr>
          <w:rFonts w:ascii="Times New Roman"/>
          <w:b w:val="false"/>
          <w:i w:val="false"/>
          <w:color w:val="000000"/>
          <w:sz w:val="28"/>
        </w:rPr>
        <w:t>
      В 2012 году Группа создала обязательства по передаче Северо-Каспийской экологической базы реагирования на розливы нефти (далее "СКЭБР") в ведение Министерства по чрезвычайным ситуациям Республики Казахстан в сумме 13.537 миллионов тенге и отразила их в качестве распределения Акционеру.</w:t>
      </w:r>
    </w:p>
    <w:p>
      <w:pPr>
        <w:spacing w:after="0"/>
        <w:ind w:left="0"/>
        <w:jc w:val="both"/>
      </w:pPr>
      <w:r>
        <w:rPr>
          <w:rFonts w:ascii="Times New Roman"/>
          <w:b w:val="false"/>
          <w:i w:val="false"/>
          <w:color w:val="000000"/>
          <w:sz w:val="28"/>
        </w:rPr>
        <w:t>
      27 июня 2013 года Межведомственная комиссия по развитию нефтегазовой и энергетической отраслей приняла решение оставить СКЭБР у Группы. На основании этого Группа сторнировала признанное в 2012 году распределение Акционеру в размере 13.537 миллионов тенге.</w:t>
      </w:r>
    </w:p>
    <w:p>
      <w:pPr>
        <w:spacing w:after="0"/>
        <w:ind w:left="0"/>
        <w:jc w:val="both"/>
      </w:pPr>
      <w:r>
        <w:rPr>
          <w:rFonts w:ascii="Times New Roman"/>
          <w:b w:val="false"/>
          <w:i w:val="false"/>
          <w:color w:val="000000"/>
          <w:sz w:val="28"/>
        </w:rPr>
        <w:t xml:space="preserve">
      В 2013 году Группа увеличила резерв на реконструкцию Выставочного Центра в г. Москва на 3.433 миллиона тенге (2012: 2.451 миллион тенге) и резерв в отношении затрат, которые будут понесены на строительство Музея Истории Казахстана в г. Астана в сумме 23.551 миллион тенге (2012: 5.179 миллионов тенге), и соответственно, отразила их в качестве распределения Акционеру. </w:t>
      </w:r>
    </w:p>
    <w:p>
      <w:pPr>
        <w:spacing w:after="0"/>
        <w:ind w:left="0"/>
        <w:jc w:val="both"/>
      </w:pPr>
      <w:r>
        <w:rPr>
          <w:rFonts w:ascii="Times New Roman"/>
          <w:b w:val="false"/>
          <w:i w:val="false"/>
          <w:color w:val="000000"/>
          <w:sz w:val="28"/>
        </w:rPr>
        <w:t xml:space="preserve">
      В 2012 году Группа увеличила резерв на постройку прочих социальных объектов в городе Астана на сумму 28.330 миллионов тенге. </w:t>
      </w:r>
    </w:p>
    <w:p>
      <w:pPr>
        <w:spacing w:after="0"/>
        <w:ind w:left="0"/>
        <w:jc w:val="both"/>
      </w:pPr>
      <w:r>
        <w:rPr>
          <w:rFonts w:ascii="Times New Roman"/>
          <w:b w:val="false"/>
          <w:i w:val="false"/>
          <w:color w:val="000000"/>
          <w:sz w:val="28"/>
        </w:rPr>
        <w:t>
      Согласно плана развития Щучинско – Боровской курортной зоны, утвержденного Правительством, Группа обязана построить гольф-клуб в данной курортной зоне. Стоимость строительства и возмещаемая стоимость данного проекта были оценены на сумму 19.573 миллиона тенге и 6.252 миллиона тенге, соответственно. Разница между сметной стоимостью строительства и возмещаемой стоимостью в сумме 13.321 миллион тенге была отражена в качестве распределения Акционеру в консолидированном отчете об изменениях в капитале за 2013 год.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Оказание благотворительной помощи по поручению Акционера</w:t>
      </w:r>
    </w:p>
    <w:p>
      <w:pPr>
        <w:spacing w:after="0"/>
        <w:ind w:left="0"/>
        <w:jc w:val="both"/>
      </w:pPr>
      <w:r>
        <w:rPr>
          <w:rFonts w:ascii="Times New Roman"/>
          <w:b w:val="false"/>
          <w:i w:val="false"/>
          <w:color w:val="000000"/>
          <w:sz w:val="28"/>
        </w:rPr>
        <w:t>
      В течение года, закончившегося 31 декабря 2013 года, по поручению Акционера, Группа выделила спонсорскую помощь в размере 8.833 миллиона тенге для финансирования социальных, культурно-массовых и спортивных мероприятий, которые были отражены в качестве распределения Акционеру (2012: 14.393 миллиона тенге).</w:t>
      </w:r>
    </w:p>
    <w:bookmarkStart w:name="z178" w:id="178"/>
    <w:p>
      <w:pPr>
        <w:spacing w:after="0"/>
        <w:ind w:left="0"/>
        <w:jc w:val="both"/>
      </w:pPr>
      <w:r>
        <w:rPr>
          <w:rFonts w:ascii="Times New Roman"/>
          <w:b w:val="false"/>
          <w:i w:val="false"/>
          <w:color w:val="000000"/>
          <w:sz w:val="28"/>
        </w:rPr>
        <w:t xml:space="preserve">
      </w:t>
      </w:r>
      <w:r>
        <w:rPr>
          <w:rFonts w:ascii="Times New Roman"/>
          <w:b/>
          <w:i w:val="false"/>
          <w:color w:val="000000"/>
          <w:sz w:val="28"/>
        </w:rPr>
        <w:t>17.6 Изменение долей участия в дочерних организациях – приобретение неконтрольной доли</w:t>
      </w:r>
    </w:p>
    <w:bookmarkEnd w:id="178"/>
    <w:p>
      <w:pPr>
        <w:spacing w:after="0"/>
        <w:ind w:left="0"/>
        <w:jc w:val="both"/>
      </w:pPr>
      <w:r>
        <w:rPr>
          <w:rFonts w:ascii="Times New Roman"/>
          <w:b w:val="false"/>
          <w:i w:val="false"/>
          <w:color w:val="000000"/>
          <w:sz w:val="28"/>
        </w:rPr>
        <w:t xml:space="preserve">
      </w:t>
      </w:r>
      <w:r>
        <w:rPr>
          <w:rFonts w:ascii="Times New Roman"/>
          <w:b w:val="false"/>
          <w:i/>
          <w:color w:val="000000"/>
          <w:sz w:val="28"/>
        </w:rPr>
        <w:t>БТА Банк</w:t>
      </w:r>
    </w:p>
    <w:p>
      <w:pPr>
        <w:spacing w:after="0"/>
        <w:ind w:left="0"/>
        <w:jc w:val="both"/>
      </w:pPr>
      <w:r>
        <w:rPr>
          <w:rFonts w:ascii="Times New Roman"/>
          <w:b w:val="false"/>
          <w:i w:val="false"/>
          <w:color w:val="000000"/>
          <w:sz w:val="28"/>
        </w:rPr>
        <w:t xml:space="preserve">
      В рамках плана реструктуризации обязательств БТА Банка, одобренного в декабре 2012 года, Фонд приобрел вновь выпущенные простые акции БТА Банка, увеличив свою долю владения с 81,48% до 97,28%. В результате данной сделки Фонд признал в консолидированной финансовой отчетности за 2012 год уменьшение нераспределенной прибыли на сумму 123.902 миллионов тенге и увеличение неконтрольной доли участия на сумму 126.033 миллионов тенге.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изменения долей участия в дочерних организациях</w:t>
      </w:r>
    </w:p>
    <w:p>
      <w:pPr>
        <w:spacing w:after="0"/>
        <w:ind w:left="0"/>
        <w:jc w:val="both"/>
      </w:pPr>
      <w:r>
        <w:rPr>
          <w:rFonts w:ascii="Times New Roman"/>
          <w:b w:val="false"/>
          <w:i w:val="false"/>
          <w:color w:val="000000"/>
          <w:sz w:val="28"/>
        </w:rPr>
        <w:t>
      В течение 2012 года прочие изменения долей участия в дочерних организациях в результате приобретения неконтролирующих долей повлекли за собой увеличение неконтрольной доли участия на сумму 9.539 миллионов тенге.</w:t>
      </w:r>
    </w:p>
    <w:bookmarkStart w:name="z179" w:id="179"/>
    <w:p>
      <w:pPr>
        <w:spacing w:after="0"/>
        <w:ind w:left="0"/>
        <w:jc w:val="both"/>
      </w:pPr>
      <w:r>
        <w:rPr>
          <w:rFonts w:ascii="Times New Roman"/>
          <w:b w:val="false"/>
          <w:i w:val="false"/>
          <w:color w:val="000000"/>
          <w:sz w:val="28"/>
        </w:rPr>
        <w:t xml:space="preserve">
      </w:t>
      </w:r>
      <w:r>
        <w:rPr>
          <w:rFonts w:ascii="Times New Roman"/>
          <w:b/>
          <w:i w:val="false"/>
          <w:color w:val="000000"/>
          <w:sz w:val="28"/>
        </w:rPr>
        <w:t>17.7 Неконтрольная доля участия</w:t>
      </w:r>
    </w:p>
    <w:bookmarkEnd w:id="179"/>
    <w:p>
      <w:pPr>
        <w:spacing w:after="0"/>
        <w:ind w:left="0"/>
        <w:jc w:val="both"/>
      </w:pPr>
      <w:r>
        <w:rPr>
          <w:rFonts w:ascii="Times New Roman"/>
          <w:b w:val="false"/>
          <w:i w:val="false"/>
          <w:color w:val="000000"/>
          <w:sz w:val="28"/>
        </w:rPr>
        <w:t>
      Ниже представлена информация о дочерних организациях с существенными неконтрольными долями участия.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6"/>
        <w:gridCol w:w="604"/>
        <w:gridCol w:w="1502"/>
        <w:gridCol w:w="1572"/>
        <w:gridCol w:w="1502"/>
        <w:gridCol w:w="1574"/>
      </w:tblGrid>
      <w:tr>
        <w:trPr>
          <w:trHeight w:val="30" w:hRule="atLeast"/>
        </w:trPr>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и осуществления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Неконтрольная доля участия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"Разведка Добыча "КазМунайГаз"</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492.114</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140.991</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"КазТрансОйл"</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Rafinare S.A.</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"Эйр Астана"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Downstream S.R.L.</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739.781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Ниже представлена обобщенная финансовая информация о дочерних организациях, в которых имеются существенные неконтрольные доли участия по состоянию на 31 декабря 2013 года и за год, закончившийся на эту дату: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266"/>
        <w:gridCol w:w="1099"/>
        <w:gridCol w:w="1099"/>
        <w:gridCol w:w="2994"/>
        <w:gridCol w:w="1099"/>
        <w:gridCol w:w="3706"/>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"Разведка Добыча "КазМунайГаз"</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"КазТрансОйл"</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Rafinare S.A.</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"Эйр Астана"</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Downstream S.R.L.</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Обобщенный бухгалтерский баланс</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666.034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319.084</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928.791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123.617</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(62.689)</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(49.619)</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1.371.093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Приходящийся на: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Акционера Материнской Компании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866.738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Неконтрольную долю участия</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Обобщенный отчет о совокупном доходе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Прибыль/(убыток) за год от продолжающейся деятельности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совокупный доход/(убыток) за год, за вычетом подоходного налога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83.075</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Приходящийся на: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Акционера Материнской Компании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74.916</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Неконтрольную долю участия</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Дивиденды, выплаченные в пользу неконтрольной доли участия</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Обобщенная информация о денежных потоках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деятельность</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95.859</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деятельность</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(28.848)</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(уменьшение)/увеличение денежных средств и их эквивалентов</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Ниже представлена обобщенная финансовая информация о дочерних организациях, в которых имеются существенные неконтрольные доли участия по состоянию на 31 декабря 2012 года и за год, закончившийся на эту дату: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251"/>
        <w:gridCol w:w="1228"/>
        <w:gridCol w:w="1086"/>
        <w:gridCol w:w="2960"/>
        <w:gridCol w:w="1086"/>
        <w:gridCol w:w="3664"/>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"Разведка Добыча "КазМунайГаз"</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"КазТрансОйл"</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Rafinare S.A.</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"Эйр Астана"</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Downstream S.R.L.</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Обобщенный бухгалтерский баланс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631.044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289.723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52.027</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36.391</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(23.477)</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1.337.769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42.611</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Приходящийся 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Акционера Материнской Компании</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21.756</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Неконтрольную долю участия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Обобщенный отчет о совокупном доходе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Прибыль/(убыток) за год от продолжающейся деятельности</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совокупный доход/(убыток) за год, за вычетом подоходного налога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Приходящийся 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Акционера Материнской Компании</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Неконтрольную долю участия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выплаченные в пользу неконтрольной доли участия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Обобщенная информация о денежных потоках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деятельность</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деятельность</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(уменьшение)/увеличение денежных средств и их эквивалентов</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bl>
    <w:p>
      <w:pPr>
        <w:spacing w:after="0"/>
        <w:ind w:left="0"/>
        <w:jc w:val="left"/>
      </w:pPr>
      <w:r>
        <w:br/>
      </w:r>
      <w:r>
        <w:rPr>
          <w:rFonts w:ascii="Times New Roman"/>
          <w:b w:val="false"/>
          <w:i w:val="false"/>
          <w:color w:val="000000"/>
          <w:sz w:val="28"/>
        </w:rPr>
        <w:t>
</w:t>
      </w:r>
    </w:p>
    <w:bookmarkStart w:name="z180" w:id="180"/>
    <w:p>
      <w:pPr>
        <w:spacing w:after="0"/>
        <w:ind w:left="0"/>
        <w:jc w:val="both"/>
      </w:pPr>
      <w:r>
        <w:rPr>
          <w:rFonts w:ascii="Times New Roman"/>
          <w:b w:val="false"/>
          <w:i w:val="false"/>
          <w:color w:val="000000"/>
          <w:sz w:val="28"/>
        </w:rPr>
        <w:t xml:space="preserve">
      </w:t>
      </w:r>
      <w:r>
        <w:rPr>
          <w:rFonts w:ascii="Times New Roman"/>
          <w:b/>
          <w:i w:val="false"/>
          <w:color w:val="000000"/>
          <w:sz w:val="28"/>
        </w:rPr>
        <w:t>17.8 Резерв по пересчету валют</w:t>
      </w:r>
    </w:p>
    <w:bookmarkEnd w:id="180"/>
    <w:p>
      <w:pPr>
        <w:spacing w:after="0"/>
        <w:ind w:left="0"/>
        <w:jc w:val="both"/>
      </w:pPr>
      <w:r>
        <w:rPr>
          <w:rFonts w:ascii="Times New Roman"/>
          <w:b w:val="false"/>
          <w:i w:val="false"/>
          <w:color w:val="000000"/>
          <w:sz w:val="28"/>
        </w:rPr>
        <w:t>
      Резерв по пересчету валюты используется для учета курсовых разниц, возникающих от пересчета финансовой отчетности дочерних организаций, функциональной валютой которых не является тенге, и финансовая отчетность которых включена в данную консолидированную финансовую отчетность.</w:t>
      </w:r>
    </w:p>
    <w:bookmarkStart w:name="z181" w:id="181"/>
    <w:p>
      <w:pPr>
        <w:spacing w:after="0"/>
        <w:ind w:left="0"/>
        <w:jc w:val="both"/>
      </w:pPr>
      <w:r>
        <w:rPr>
          <w:rFonts w:ascii="Times New Roman"/>
          <w:b w:val="false"/>
          <w:i w:val="false"/>
          <w:color w:val="000000"/>
          <w:sz w:val="28"/>
        </w:rPr>
        <w:t xml:space="preserve">
      </w:t>
      </w:r>
      <w:r>
        <w:rPr>
          <w:rFonts w:ascii="Times New Roman"/>
          <w:b/>
          <w:i w:val="false"/>
          <w:color w:val="000000"/>
          <w:sz w:val="28"/>
        </w:rPr>
        <w:t>17.9 Прочие капитальные резервы</w:t>
      </w:r>
    </w:p>
    <w:bookmarkEnd w:id="181"/>
    <w:p>
      <w:pPr>
        <w:spacing w:after="0"/>
        <w:ind w:left="0"/>
        <w:jc w:val="both"/>
      </w:pPr>
      <w:r>
        <w:rPr>
          <w:rFonts w:ascii="Times New Roman"/>
          <w:b w:val="false"/>
          <w:i w:val="false"/>
          <w:color w:val="000000"/>
          <w:sz w:val="28"/>
        </w:rPr>
        <w:t xml:space="preserve">
      Прочие капитальные резервы включают в себя влияние учета хеджирования потоков денежных средств для учета любых прибылей или убытков по справедливой стоимости в отношении определенного производного финансового инструмента в резерве по хеджированию в рамках капитала. Эти прибыли и убытки впоследствии непосредственно признаются в прибылях и убытках при проведении операции. </w:t>
      </w:r>
    </w:p>
    <w:p>
      <w:pPr>
        <w:spacing w:after="0"/>
        <w:ind w:left="0"/>
        <w:jc w:val="both"/>
      </w:pPr>
      <w:r>
        <w:rPr>
          <w:rFonts w:ascii="Times New Roman"/>
          <w:b w:val="false"/>
          <w:i w:val="false"/>
          <w:color w:val="000000"/>
          <w:sz w:val="28"/>
        </w:rPr>
        <w:t xml:space="preserve">
      Прочие капитальные резервы также включают в себя cуммы вознаграждений за предоставленные услуги, выплачиваемых работникам долевыми инструментами дочерней организации, в которой они работают. Расходы по выплатам на основе долевых инструментов признаются одновременно с соответствующим увеличением в прочих капитальных резервах в течение периода, в котором выполняются условия достижения результатов деятельности и/или условия выслуги определенного срока, и заканчивающегося на дату, когда работники получают полное право на вознаграждение. </w:t>
      </w:r>
    </w:p>
    <w:bookmarkStart w:name="z182" w:id="182"/>
    <w:p>
      <w:pPr>
        <w:spacing w:after="0"/>
        <w:ind w:left="0"/>
        <w:jc w:val="both"/>
      </w:pPr>
      <w:r>
        <w:rPr>
          <w:rFonts w:ascii="Times New Roman"/>
          <w:b w:val="false"/>
          <w:i w:val="false"/>
          <w:color w:val="000000"/>
          <w:sz w:val="28"/>
        </w:rPr>
        <w:t xml:space="preserve">
      </w:t>
      </w:r>
      <w:r>
        <w:rPr>
          <w:rFonts w:ascii="Times New Roman"/>
          <w:b/>
          <w:i w:val="false"/>
          <w:color w:val="000000"/>
          <w:sz w:val="28"/>
        </w:rPr>
        <w:t>17.10 Прибыль на акцию</w:t>
      </w:r>
    </w:p>
    <w:bookmarkEnd w:id="182"/>
    <w:p>
      <w:pPr>
        <w:spacing w:after="0"/>
        <w:ind w:left="0"/>
        <w:jc w:val="both"/>
      </w:pPr>
      <w:r>
        <w:rPr>
          <w:rFonts w:ascii="Times New Roman"/>
          <w:b w:val="false"/>
          <w:i w:val="false"/>
          <w:color w:val="000000"/>
          <w:sz w:val="28"/>
        </w:rPr>
        <w:t>
      Суммы базовой прибыли на акцию рассчитаны путем деления чистой прибыли за год, приходящейся на держателей простых акций материнской компании, на средневзвешенное количество простых акций в обращении в течение года.</w:t>
      </w:r>
    </w:p>
    <w:p>
      <w:pPr>
        <w:spacing w:after="0"/>
        <w:ind w:left="0"/>
        <w:jc w:val="both"/>
      </w:pPr>
      <w:r>
        <w:rPr>
          <w:rFonts w:ascii="Times New Roman"/>
          <w:b w:val="false"/>
          <w:i w:val="false"/>
          <w:color w:val="000000"/>
          <w:sz w:val="28"/>
        </w:rPr>
        <w:t>
      Суммы разводненной прибыли на акцию рассчитаны путем деления чистой прибыли, приходящейся на держателей простых акций материнской компании, на средневзвешенное количество простых акций в обращении в течение года плюс средневзвешенное количество простых акций, которые будут выпущены в случае конвертации всех потенциальных простых акций с разводняющим эффектом.</w:t>
      </w:r>
    </w:p>
    <w:p>
      <w:pPr>
        <w:spacing w:after="0"/>
        <w:ind w:left="0"/>
        <w:jc w:val="both"/>
      </w:pPr>
      <w:r>
        <w:rPr>
          <w:rFonts w:ascii="Times New Roman"/>
          <w:b w:val="false"/>
          <w:i w:val="false"/>
          <w:color w:val="000000"/>
          <w:sz w:val="28"/>
        </w:rPr>
        <w:t>
      Ниже приводится информация о прибыли и количестве акций, которые использованы в расчетах базовой и разводненной прибыли на акцию: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4893"/>
        <w:gridCol w:w="4894"/>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продолжающейся деятельности, относящаяся к Акционеру материнской компании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598.654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от прекращенной деятельности, относящаяся к Акционеру материнской компании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468.923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относящаяся к Акционеру материнской компании для расчета базовой прибыли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407.246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1.067.577</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 количество простых акций для расчета базовой и разводненной прибыли на акцию</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3.481.546.896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3.481.122.721</w:t>
            </w:r>
          </w:p>
        </w:tc>
      </w:tr>
    </w:tbl>
    <w:p>
      <w:pPr>
        <w:spacing w:after="0"/>
        <w:ind w:left="0"/>
        <w:jc w:val="left"/>
      </w:pPr>
      <w:r>
        <w:br/>
      </w:r>
      <w:r>
        <w:rPr>
          <w:rFonts w:ascii="Times New Roman"/>
          <w:b w:val="false"/>
          <w:i w:val="false"/>
          <w:color w:val="000000"/>
          <w:sz w:val="28"/>
        </w:rPr>
        <w:t>
</w:t>
      </w:r>
    </w:p>
    <w:bookmarkStart w:name="z183" w:id="183"/>
    <w:p>
      <w:pPr>
        <w:spacing w:after="0"/>
        <w:ind w:left="0"/>
        <w:jc w:val="both"/>
      </w:pPr>
      <w:r>
        <w:rPr>
          <w:rFonts w:ascii="Times New Roman"/>
          <w:b w:val="false"/>
          <w:i w:val="false"/>
          <w:color w:val="000000"/>
          <w:sz w:val="28"/>
        </w:rPr>
        <w:t xml:space="preserve">
      </w:t>
      </w:r>
      <w:r>
        <w:rPr>
          <w:rFonts w:ascii="Times New Roman"/>
          <w:b/>
          <w:i w:val="false"/>
          <w:color w:val="000000"/>
          <w:sz w:val="28"/>
        </w:rPr>
        <w:t>17.11 Балансовая стоимость акций</w:t>
      </w:r>
    </w:p>
    <w:bookmarkEnd w:id="183"/>
    <w:p>
      <w:pPr>
        <w:spacing w:after="0"/>
        <w:ind w:left="0"/>
        <w:jc w:val="both"/>
      </w:pPr>
      <w:r>
        <w:rPr>
          <w:rFonts w:ascii="Times New Roman"/>
          <w:b w:val="false"/>
          <w:i w:val="false"/>
          <w:color w:val="000000"/>
          <w:sz w:val="28"/>
        </w:rPr>
        <w:t>
      В соответствии с решением Биржевого совета АО "Казахстанская фондовая биржа" (далее "КФБ") от 4 октября 2010 года, финансовая отчетность должна содержать данные о балансовой стоимости одной акции (простой и привилегированной) на отчетную дату, рассчитанной в соответствии с утвержденными КФБ правилами.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5059"/>
        <w:gridCol w:w="5059"/>
      </w:tblGrid>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15.294.489</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15.274.204</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(284.325)</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(358.276)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(7.787.897)</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(7.858.745)</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для простых акций</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7.222.267</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7.057.183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простых акций на 31 декабря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3.481.602.341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3.481.526.139</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простой акции, тенге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bl>
    <w:p>
      <w:pPr>
        <w:spacing w:after="0"/>
        <w:ind w:left="0"/>
        <w:jc w:val="left"/>
      </w:pPr>
      <w:r>
        <w:br/>
      </w:r>
      <w:r>
        <w:rPr>
          <w:rFonts w:ascii="Times New Roman"/>
          <w:b w:val="false"/>
          <w:i w:val="false"/>
          <w:color w:val="000000"/>
          <w:sz w:val="28"/>
        </w:rPr>
        <w:t>
</w:t>
      </w:r>
    </w:p>
    <w:bookmarkStart w:name="z184" w:id="184"/>
    <w:p>
      <w:pPr>
        <w:spacing w:after="0"/>
        <w:ind w:left="0"/>
        <w:jc w:val="both"/>
      </w:pPr>
      <w:r>
        <w:rPr>
          <w:rFonts w:ascii="Times New Roman"/>
          <w:b w:val="false"/>
          <w:i w:val="false"/>
          <w:color w:val="000000"/>
          <w:sz w:val="28"/>
        </w:rPr>
        <w:t xml:space="preserve">
      </w:t>
      </w:r>
      <w:r>
        <w:rPr>
          <w:rFonts w:ascii="Times New Roman"/>
          <w:b/>
          <w:i w:val="false"/>
          <w:color w:val="000000"/>
          <w:sz w:val="28"/>
        </w:rPr>
        <w:t>18. ЗАЙМЫ</w:t>
      </w:r>
    </w:p>
    <w:bookmarkEnd w:id="184"/>
    <w:p>
      <w:pPr>
        <w:spacing w:after="0"/>
        <w:ind w:left="0"/>
        <w:jc w:val="both"/>
      </w:pPr>
      <w:r>
        <w:rPr>
          <w:rFonts w:ascii="Times New Roman"/>
          <w:b w:val="false"/>
          <w:i w:val="false"/>
          <w:color w:val="000000"/>
          <w:sz w:val="28"/>
        </w:rPr>
        <w:t>
      На 31 декабря займы, в том числе вознаграждение к уплате,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1"/>
        <w:gridCol w:w="4344"/>
        <w:gridCol w:w="4345"/>
      </w:tblGrid>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фиксированной ставкой вознаграждения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2.551.882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3.046.943</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вознаграждения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плавающей ставкой вознаграждения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1.422.484</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1.160.962</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вознаграждения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3.974.366</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4.207.905</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суммы, подлежащей погашению в течение 12 месяцев</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(607.839)</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(680.962)</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погашению после 12 месяцев</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3.366.527</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176"/>
        <w:gridCol w:w="5177"/>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выраженные в долларах США</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3.327.141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3.663.735</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выраженные в тенге</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539.555</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439.586</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выраженные в других валютах</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107.670</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104.584</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3.974.366</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4.207.905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условиям некоторых договоров займов соответствующие дочерние организации Группы обязаны соблюдать определенные ковенанты. Руководство Группы считает, что по состоянию на 31 декабря 2013 и 2012 годов дочерние организации Группы соблюдают все такие ковенанты.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Кредитная линия Государственного Банка Развития Китая</w:t>
      </w:r>
    </w:p>
    <w:p>
      <w:pPr>
        <w:spacing w:after="0"/>
        <w:ind w:left="0"/>
        <w:jc w:val="both"/>
      </w:pPr>
      <w:r>
        <w:rPr>
          <w:rFonts w:ascii="Times New Roman"/>
          <w:b w:val="false"/>
          <w:i w:val="false"/>
          <w:color w:val="000000"/>
          <w:sz w:val="28"/>
        </w:rPr>
        <w:t xml:space="preserve">
      В рамках кредитной линии Государственного Банка Развития Китая в 2013 году Группа получила займы в размере 200 миллионов долларов США (эквивалент 30.144 миллионов тенге по курсу на дату получения). Полученный транш предназначен для предоставления займов Kazakhmys Finance Plc для разработки медного месторождения Жомарт.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Выпуск облигаций</w:t>
      </w:r>
    </w:p>
    <w:p>
      <w:pPr>
        <w:spacing w:after="0"/>
        <w:ind w:left="0"/>
        <w:jc w:val="both"/>
      </w:pPr>
      <w:r>
        <w:rPr>
          <w:rFonts w:ascii="Times New Roman"/>
          <w:b w:val="false"/>
          <w:i w:val="false"/>
          <w:color w:val="000000"/>
          <w:sz w:val="28"/>
        </w:rPr>
        <w:t>
      30 апреля 2013 года НК КМГ, дочерняя организация Группы, выпустила облигации на Лондонской Фондовой Бирже на общую сумму 3 миллиарда долларов США (эквивалентно 453.720 миллионов тенге по курсу на дату выпуска) в рамках текущей программы выпуска среднесрочных глобальных нот до 10.5 миллиардов долларов США на следующих условиях:</w:t>
      </w:r>
    </w:p>
    <w:p>
      <w:pPr>
        <w:spacing w:after="0"/>
        <w:ind w:left="0"/>
        <w:jc w:val="both"/>
      </w:pPr>
      <w:r>
        <w:rPr>
          <w:rFonts w:ascii="Times New Roman"/>
          <w:b w:val="false"/>
          <w:i w:val="false"/>
          <w:color w:val="000000"/>
          <w:sz w:val="28"/>
        </w:rPr>
        <w:t>
      - 2 миллиарда долларов США со ставкой вознаграждения в размере 5,75% со сроком погашения в 2043 году и ценой размещения в 99,293% от номинала;</w:t>
      </w:r>
    </w:p>
    <w:p>
      <w:pPr>
        <w:spacing w:after="0"/>
        <w:ind w:left="0"/>
        <w:jc w:val="both"/>
      </w:pPr>
      <w:r>
        <w:rPr>
          <w:rFonts w:ascii="Times New Roman"/>
          <w:b w:val="false"/>
          <w:i w:val="false"/>
          <w:color w:val="000000"/>
          <w:sz w:val="28"/>
        </w:rPr>
        <w:t>
      - 1 миллиард долларов США со ставкой вознаграждения в размере 4,4% со сроком погашения в 2023 году и ценой размещения в 99,6% от номинала.</w:t>
      </w:r>
    </w:p>
    <w:p>
      <w:pPr>
        <w:spacing w:after="0"/>
        <w:ind w:left="0"/>
        <w:jc w:val="both"/>
      </w:pPr>
      <w:r>
        <w:rPr>
          <w:rFonts w:ascii="Times New Roman"/>
          <w:b w:val="false"/>
          <w:i w:val="false"/>
          <w:color w:val="000000"/>
          <w:sz w:val="28"/>
        </w:rPr>
        <w:t xml:space="preserve">
      По облигациям, выпущенным в 2013 году, купон выплачивается на полугодовой основе начиная с 30 октября 2013 года. </w:t>
      </w:r>
    </w:p>
    <w:p>
      <w:pPr>
        <w:spacing w:after="0"/>
        <w:ind w:left="0"/>
        <w:jc w:val="both"/>
      </w:pPr>
      <w:r>
        <w:rPr>
          <w:rFonts w:ascii="Times New Roman"/>
          <w:b w:val="false"/>
          <w:i w:val="false"/>
          <w:color w:val="000000"/>
          <w:sz w:val="28"/>
        </w:rPr>
        <w:t>
      По состоянию на 31 декабря 2013 года основной долг и начисленное вознаграждение по данным облигациям составили 461.486 миллионов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займы</w:t>
      </w:r>
    </w:p>
    <w:p>
      <w:pPr>
        <w:spacing w:after="0"/>
        <w:ind w:left="0"/>
        <w:jc w:val="both"/>
      </w:pPr>
      <w:r>
        <w:rPr>
          <w:rFonts w:ascii="Times New Roman"/>
          <w:b w:val="false"/>
          <w:i w:val="false"/>
          <w:color w:val="000000"/>
          <w:sz w:val="28"/>
        </w:rPr>
        <w:t>
      В 2010 и 2012 годах ТОО "Атырауский нефтеперерабатывающий завод", дочерняя организация КазМунайГаз – Переработка и Маркетинг (далее "АНПЗ"), заключило соглашение о предоставлении кредитной линии на сумму 1.315 миллионов долларов США с БРК. Данная кредитная линия используется для финансирования строительства комплекса по производству ароматических углеводородов. В течение 2013 года АНПЗ получил 227.544 тысячи долларов США (эквивалентно 34.597 миллионов тенге по курсу на дату получения) (2012: 217.957 тысяч долларов США, эквивалентно 32.690 миллионов тенге по курсу на дату получения).</w:t>
      </w:r>
    </w:p>
    <w:p>
      <w:pPr>
        <w:spacing w:after="0"/>
        <w:ind w:left="0"/>
        <w:jc w:val="both"/>
      </w:pPr>
      <w:r>
        <w:rPr>
          <w:rFonts w:ascii="Times New Roman"/>
          <w:b w:val="false"/>
          <w:i w:val="false"/>
          <w:color w:val="000000"/>
          <w:sz w:val="28"/>
        </w:rPr>
        <w:t>
      В 2013 году КазМунайГаз – Переработка и Маркетинг, дочерняя организация НК КМГ, заключила договор с банком Natixis, Париж, о предоставлении возобновляемой кредитной линии в размере 100 миллионов долларов США. Целевым назначением кредитной линии является финансирование закупа нефти для АО "Павлодарский Нефтеперерабатывающий Химический Завод". В 2013 году Группа получила сумму 30.690 миллионов тенге.</w:t>
      </w:r>
    </w:p>
    <w:p>
      <w:pPr>
        <w:spacing w:after="0"/>
        <w:ind w:left="0"/>
        <w:jc w:val="both"/>
      </w:pPr>
      <w:r>
        <w:rPr>
          <w:rFonts w:ascii="Times New Roman"/>
          <w:b w:val="false"/>
          <w:i w:val="false"/>
          <w:color w:val="000000"/>
          <w:sz w:val="28"/>
        </w:rPr>
        <w:t xml:space="preserve">
      26 ноября 2012 года, АО "Локомотив", дочерняя организация НК КТЖ, заключило Кредитное соглашение с Экспортно-Импортным банком США на приобретение 196 единиц локомотивов серии Evolution на сумму 424.857 тысяч долларов США, сроком на 10 лет под ставку вознаграждения CIRR (в долларах США). По состоянию на 31 декабря 2013 года часть основного долга была погашена в сумме 40.830 миллионов долларов США. </w:t>
      </w:r>
    </w:p>
    <w:p>
      <w:pPr>
        <w:spacing w:after="0"/>
        <w:ind w:left="0"/>
        <w:jc w:val="both"/>
      </w:pPr>
      <w:r>
        <w:rPr>
          <w:rFonts w:ascii="Times New Roman"/>
          <w:b w:val="false"/>
          <w:i w:val="false"/>
          <w:color w:val="000000"/>
          <w:sz w:val="28"/>
        </w:rPr>
        <w:t>
      31 мая 2012 года АО "Локомотив", дочерняя организация НК КТЖ, заключило Генеральное рамочное соглашение с АО "ДБ "HSBC Казахстан" совместно с "HSBC Bank Рlc" и "HSBC Франция" при поддержке экспортно-кредитного агентства "COFACE" на финансирование приобретения 200 грузовых и 95 пассажирских электровозов на общую сумму 880.877 тысяч евро сроком на 10 лет. В рамках подписанного дополнительного соглашения в 2013 году были освоены заемные средства на общую сумму 97.104 тысяч евро (19.623 миллионов тенге) (с учетом премии "COFACE"), где средства напрямую были перечислены в Alstom Transport SA.</w:t>
      </w:r>
    </w:p>
    <w:bookmarkStart w:name="z185" w:id="185"/>
    <w:p>
      <w:pPr>
        <w:spacing w:after="0"/>
        <w:ind w:left="0"/>
        <w:jc w:val="both"/>
      </w:pPr>
      <w:r>
        <w:rPr>
          <w:rFonts w:ascii="Times New Roman"/>
          <w:b w:val="false"/>
          <w:i w:val="false"/>
          <w:color w:val="000000"/>
          <w:sz w:val="28"/>
        </w:rPr>
        <w:t xml:space="preserve">
      </w:t>
      </w:r>
      <w:r>
        <w:rPr>
          <w:rFonts w:ascii="Times New Roman"/>
          <w:b/>
          <w:i w:val="false"/>
          <w:color w:val="000000"/>
          <w:sz w:val="28"/>
        </w:rPr>
        <w:t>19. ЗАЙМЫ ПРАВИТЕЛЬСТВА РЕСПУБЛИКИ КАЗАХСТАН</w:t>
      </w:r>
    </w:p>
    <w:bookmarkEnd w:id="185"/>
    <w:p>
      <w:pPr>
        <w:spacing w:after="0"/>
        <w:ind w:left="0"/>
        <w:jc w:val="both"/>
      </w:pPr>
      <w:r>
        <w:rPr>
          <w:rFonts w:ascii="Times New Roman"/>
          <w:b w:val="false"/>
          <w:i w:val="false"/>
          <w:color w:val="000000"/>
          <w:sz w:val="28"/>
        </w:rPr>
        <w:t>
      На 31 декабря займы Правительства Республики Казахстан включали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3983"/>
        <w:gridCol w:w="4503"/>
      </w:tblGrid>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от Национального Банка Республики Казахстан</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130.878</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612.951</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выкупленные Национальным Банком Республики Казахстан за счет средств Национального фонда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63.056</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от Правительства Республики Казахстан</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66.378</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94.634</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268.558</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770.641</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вычетом суммы, подлежащей погашению в течение 12 месяцев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(559.831)</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погашению после 12 месяцев</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210.810</w:t>
            </w:r>
          </w:p>
        </w:tc>
      </w:tr>
    </w:tbl>
    <w:p>
      <w:pPr>
        <w:spacing w:after="0"/>
        <w:ind w:left="0"/>
        <w:jc w:val="left"/>
      </w:pPr>
      <w:r>
        <w:br/>
      </w:r>
      <w:r>
        <w:rPr>
          <w:rFonts w:ascii="Times New Roman"/>
          <w:b w:val="false"/>
          <w:i w:val="false"/>
          <w:color w:val="000000"/>
          <w:sz w:val="28"/>
        </w:rPr>
        <w:t>
</w:t>
      </w:r>
    </w:p>
    <w:bookmarkStart w:name="z186" w:id="186"/>
    <w:p>
      <w:pPr>
        <w:spacing w:after="0"/>
        <w:ind w:left="0"/>
        <w:jc w:val="both"/>
      </w:pPr>
      <w:r>
        <w:rPr>
          <w:rFonts w:ascii="Times New Roman"/>
          <w:b w:val="false"/>
          <w:i w:val="false"/>
          <w:color w:val="000000"/>
          <w:sz w:val="28"/>
        </w:rPr>
        <w:t xml:space="preserve">
      </w:t>
      </w:r>
      <w:r>
        <w:rPr>
          <w:rFonts w:ascii="Times New Roman"/>
          <w:b/>
          <w:i w:val="false"/>
          <w:color w:val="000000"/>
          <w:sz w:val="28"/>
        </w:rPr>
        <w:t>2013 год</w:t>
      </w:r>
    </w:p>
    <w:bookmarkEnd w:id="186"/>
    <w:p>
      <w:pPr>
        <w:spacing w:after="0"/>
        <w:ind w:left="0"/>
        <w:jc w:val="both"/>
      </w:pPr>
      <w:r>
        <w:rPr>
          <w:rFonts w:ascii="Times New Roman"/>
          <w:b w:val="false"/>
          <w:i w:val="false"/>
          <w:color w:val="000000"/>
          <w:sz w:val="28"/>
        </w:rPr>
        <w:t>
      В январе 2013 года Фонд разместил 255.000.000 купонных облигаций, номинальной стоимостью 1.000 тенге за облигацию на общую сумму 255.000 миллионов тенге со сроком обращения облигаций 50 лет и купонным вознаграждением в размере 0,01% годовых. Все облигации были выкуплены Национальным Банком Республики Казахстан за счет средств Национального Фонда Республики Казахстан на праве доверительного управления. Данные облигации были первоначально отражены по справедливой стоимости, рассчитанной с использованием рыночных процентных ставок, применимых для Фонда на дату выпуска облигаций и впоследствии учитываются по амортизированной стоимости. Разница между номинальной стоимостью облигаций, и их справедливой стоимостью в размере 249.828 миллионов тенге была признана в консолидированном отчете об изменениях в капитале.</w:t>
      </w:r>
    </w:p>
    <w:bookmarkStart w:name="z187" w:id="187"/>
    <w:p>
      <w:pPr>
        <w:spacing w:after="0"/>
        <w:ind w:left="0"/>
        <w:jc w:val="both"/>
      </w:pPr>
      <w:r>
        <w:rPr>
          <w:rFonts w:ascii="Times New Roman"/>
          <w:b w:val="false"/>
          <w:i w:val="false"/>
          <w:color w:val="000000"/>
          <w:sz w:val="28"/>
        </w:rPr>
        <w:t xml:space="preserve">
      </w:t>
      </w:r>
      <w:r>
        <w:rPr>
          <w:rFonts w:ascii="Times New Roman"/>
          <w:b/>
          <w:i w:val="false"/>
          <w:color w:val="000000"/>
          <w:sz w:val="28"/>
        </w:rPr>
        <w:t>2012 год</w:t>
      </w:r>
    </w:p>
    <w:bookmarkEnd w:id="187"/>
    <w:p>
      <w:pPr>
        <w:spacing w:after="0"/>
        <w:ind w:left="0"/>
        <w:jc w:val="both"/>
      </w:pPr>
      <w:r>
        <w:rPr>
          <w:rFonts w:ascii="Times New Roman"/>
          <w:b w:val="false"/>
          <w:i w:val="false"/>
          <w:color w:val="000000"/>
          <w:sz w:val="28"/>
        </w:rPr>
        <w:t xml:space="preserve">
      В 2012 году были зарегистрированы изменения и дополнения в проспекты выпуск облигаций Фонда, выкупленным Национальным Банком Республики Казахстан. В соответствии с данными изменениями сроки обращения по данным облигациям были продлены до 2062 года и ставки вознаграждения были снижены до 0,01%. Изменения в проспекте привели к значительным изменениям в первоначальных условиях размещения облигаций, и, соответственно, к прекращению признания первоначального обязательства и признанию нового обязательства в соответствии с МСБУ 39. Разница между справедливой стоимостью нового обязательства и балансовой стоимостью первоначального обязательства на дату внесения изменений, в размере 304.650 миллионов тенге, была признана в консолидированном отчете об изменениях в капитале </w:t>
      </w:r>
      <w:r>
        <w:rPr>
          <w:rFonts w:ascii="Times New Roman"/>
          <w:b w:val="false"/>
          <w:i/>
          <w:color w:val="000000"/>
          <w:sz w:val="28"/>
        </w:rPr>
        <w:t>(Примечание 17.2)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2012 году Фонд разместил 73.000.000 и 70.196.000 купонных облигаций, номинальной стоимостью 1.000 тенге за облигацию на общую сумму 73.000 миллионов тенге и 70.196 миллионов тенге, соответственно. Срок обращения облигаций составляет 50 лет и 12 лет, купонное вознаграждение в размере 0,01% годовых и 4% годовых, частота выплат – два раза в год. Данные облигации были выкуплены Национальным Банком Республики Казахстан из которых – облигации на сумму 73.000 миллиона тенге были выкуплены за счет средств Национального Фонда Республики Казахстан на праве доверительного управления. Все облигации были первоначально отражены по справедливой стоимости, рассчитанной с использованием рыночных процентных ставок, применимых для Фонда на даты выпуска облигаций и впоследствии учитываются по амортизированной стоимости. Разница между номинальной стоимостью займов и их справедливой стоимостью в размере 82.646 миллионов тенге была признана в консолидированном отчете об изменениях в капитале.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2012-2014 годы" от 24 ноября 2011 года 13 августа 2012 года и 22 ноября 2012 года Фонд получил займы от Министерства финансов Республики Казахстан. Общая сумма займов составляет 15.285 миллионов тенге с номинальными процентными ставками от 0,15% до 0,5%. Займы были получены на срок от 10 до 25 лет. </w:t>
      </w:r>
    </w:p>
    <w:p>
      <w:pPr>
        <w:spacing w:after="0"/>
        <w:ind w:left="0"/>
        <w:jc w:val="both"/>
      </w:pPr>
      <w:r>
        <w:rPr>
          <w:rFonts w:ascii="Times New Roman"/>
          <w:b w:val="false"/>
          <w:i w:val="false"/>
          <w:color w:val="000000"/>
          <w:sz w:val="28"/>
        </w:rPr>
        <w:t xml:space="preserve">
      При первоначальном признании данные займы были оценены по справедливой стоимости, составляющей 8.314 миллионов тенге, с использованием соответствующей рыночной ставки вознаграждения и впоследствии учитываются по амортизированной стоимости. Разница между номинальной стоимостью займов и их справедливой стоимостью в размере 6.971 миллион тенге была признана в консолидированном отчете об изменениях в капитале. </w:t>
      </w:r>
    </w:p>
    <w:p>
      <w:pPr>
        <w:spacing w:after="0"/>
        <w:ind w:left="0"/>
        <w:jc w:val="both"/>
      </w:pPr>
      <w:r>
        <w:rPr>
          <w:rFonts w:ascii="Times New Roman"/>
          <w:b w:val="false"/>
          <w:i w:val="false"/>
          <w:color w:val="000000"/>
          <w:sz w:val="28"/>
        </w:rPr>
        <w:t>
      На 31 декабря 2013 года эффективные процентные ставки по займам составляют от 5,5% до 6,62% в год (2012: от 0,33% до 7,21% в год).</w:t>
      </w:r>
    </w:p>
    <w:bookmarkStart w:name="z188" w:id="188"/>
    <w:p>
      <w:pPr>
        <w:spacing w:after="0"/>
        <w:ind w:left="0"/>
        <w:jc w:val="both"/>
      </w:pPr>
      <w:r>
        <w:rPr>
          <w:rFonts w:ascii="Times New Roman"/>
          <w:b w:val="false"/>
          <w:i w:val="false"/>
          <w:color w:val="000000"/>
          <w:sz w:val="28"/>
        </w:rPr>
        <w:t xml:space="preserve">
      </w:t>
      </w:r>
      <w:r>
        <w:rPr>
          <w:rFonts w:ascii="Times New Roman"/>
          <w:b/>
          <w:i w:val="false"/>
          <w:color w:val="000000"/>
          <w:sz w:val="28"/>
        </w:rPr>
        <w:t>20. ПРОЧИЕ ДОЛГОСРОЧНЫЕ ОБЯЗАТЕЛЬСТВА</w:t>
      </w:r>
    </w:p>
    <w:bookmarkEnd w:id="188"/>
    <w:p>
      <w:pPr>
        <w:spacing w:after="0"/>
        <w:ind w:left="0"/>
        <w:jc w:val="both"/>
      </w:pPr>
      <w:r>
        <w:rPr>
          <w:rFonts w:ascii="Times New Roman"/>
          <w:b w:val="false"/>
          <w:i w:val="false"/>
          <w:color w:val="000000"/>
          <w:sz w:val="28"/>
        </w:rPr>
        <w:t>
      На 31 декабря 2013 года прочие долгосрочные обязательства включали в себя следующее: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Кредиторская задолженность за приобретение доли участия в Северо-Каспийском проекте</w:t>
      </w:r>
    </w:p>
    <w:p>
      <w:pPr>
        <w:spacing w:after="0"/>
        <w:ind w:left="0"/>
        <w:jc w:val="both"/>
      </w:pPr>
      <w:r>
        <w:rPr>
          <w:rFonts w:ascii="Times New Roman"/>
          <w:b w:val="false"/>
          <w:i w:val="false"/>
          <w:color w:val="000000"/>
          <w:sz w:val="28"/>
        </w:rPr>
        <w:t>
      31 октября 2008 года все участники Северо-Каспийского проекта (далее "СКП" или "Проект") подписали соглашение, согласно которому все участники проекта, за исключением КМГ Кашаган Б.В. согласились частично передать часть своих долей в проекте, на пропорциональной основе, таким образом, чтобы увеличить долю КМГ Кашаган Б.В. в СКП с 8,33% до 16,81% ретроспективно с 1 января 2008 года. Цена приобретения включает фиксированную сумму в размере 1,78 миллиардов долларов США (263 миллиарда тенге) и годовое вознаграждение в размере LIBOR плюс 3 процента, который ежегодно капитализируется в сумму основного долга. Данная задолженность обеспечена дополнительной приобретенной долей КМГ Кашаган Б.В. в размере 8,48%. По состоянию на 31 декабря 2013 года амортизированная стоимость этой задолженности составляла 322.330 миллионов тенге (2012: 339.550 миллионов тенге), сумма 107.444 миллиона тенге из которой отнесена в состав прочих текущих обязательств (2012: 113.183 миллионов тенге).</w:t>
      </w:r>
    </w:p>
    <w:bookmarkStart w:name="z189" w:id="189"/>
    <w:p>
      <w:pPr>
        <w:spacing w:after="0"/>
        <w:ind w:left="0"/>
        <w:jc w:val="both"/>
      </w:pPr>
      <w:r>
        <w:rPr>
          <w:rFonts w:ascii="Times New Roman"/>
          <w:b w:val="false"/>
          <w:i w:val="false"/>
          <w:color w:val="000000"/>
          <w:sz w:val="28"/>
        </w:rPr>
        <w:t xml:space="preserve">
      </w:t>
      </w:r>
      <w:r>
        <w:rPr>
          <w:rFonts w:ascii="Times New Roman"/>
          <w:b/>
          <w:i w:val="false"/>
          <w:color w:val="000000"/>
          <w:sz w:val="28"/>
        </w:rPr>
        <w:t>21. ОБЯЗАТЕЛЬСТВА ПО ФИНАНСОВОЙ АРЕНДЕ</w:t>
      </w:r>
    </w:p>
    <w:bookmarkEnd w:id="189"/>
    <w:p>
      <w:pPr>
        <w:spacing w:after="0"/>
        <w:ind w:left="0"/>
        <w:jc w:val="both"/>
      </w:pPr>
      <w:r>
        <w:rPr>
          <w:rFonts w:ascii="Times New Roman"/>
          <w:b w:val="false"/>
          <w:i w:val="false"/>
          <w:color w:val="000000"/>
          <w:sz w:val="28"/>
        </w:rPr>
        <w:t xml:space="preserve">
      Группа заключила договоры финансовой аренды по ряду объектов основных средств, преимущественно воздушных суден, телекоммуникационного и железнодорожного оборудования. </w:t>
      </w:r>
    </w:p>
    <w:p>
      <w:pPr>
        <w:spacing w:after="0"/>
        <w:ind w:left="0"/>
        <w:jc w:val="both"/>
      </w:pPr>
      <w:r>
        <w:rPr>
          <w:rFonts w:ascii="Times New Roman"/>
          <w:b w:val="false"/>
          <w:i w:val="false"/>
          <w:color w:val="000000"/>
          <w:sz w:val="28"/>
        </w:rPr>
        <w:t>
      В 2013 и 2012 году АО "Эйр Астана", дочерняя организация Группы, приобрела 6 (шесть) и 4 (четыре) воздушных судна, соответственно, по договору финансовой аренды с фиксированной процентной ставкой. Срок аренды по каждому воздушному судну составляет 12 (двенадцать) лет. У АО "Эйр Астана" имеется возможность покупки каждого воздушного судна по номинальной цене в конце срока аренды. Займы, выданные финансовыми институтами лизингодателю в отношении 6 (шести) новых Airbus, обеспечены гарантией Европейских Экспортно-Кредитных Агентств, а 2 (два) Boeing – 767, которые были поставлены в сентябре и октябре 2013, находятся под гарантией US Export Import Bank. Обязательства АО "Эйр Астана" по финансовой аренде обеспечены правом арендодателя на арендованные активы с балансовой стоимостью 78.322 миллиона тенге (2012: 27.397 миллионов тенге).</w:t>
      </w:r>
    </w:p>
    <w:p>
      <w:pPr>
        <w:spacing w:after="0"/>
        <w:ind w:left="0"/>
        <w:jc w:val="both"/>
      </w:pPr>
      <w:r>
        <w:rPr>
          <w:rFonts w:ascii="Times New Roman"/>
          <w:b w:val="false"/>
          <w:i w:val="false"/>
          <w:color w:val="000000"/>
          <w:sz w:val="28"/>
        </w:rPr>
        <w:t>
      На 31 декабря 2013 года расчет суммы процентов основывается на эффективных ставках процента от 3,09% до 19,7% (2012: от 3,02% до 17,28%).</w:t>
      </w:r>
    </w:p>
    <w:p>
      <w:pPr>
        <w:spacing w:after="0"/>
        <w:ind w:left="0"/>
        <w:jc w:val="both"/>
      </w:pPr>
      <w:r>
        <w:rPr>
          <w:rFonts w:ascii="Times New Roman"/>
          <w:b w:val="false"/>
          <w:i w:val="false"/>
          <w:color w:val="000000"/>
          <w:sz w:val="28"/>
        </w:rPr>
        <w:t>
      На 31 декабря будущие минимальные арендные платежи по финансовой аренде, вместе с текущей стоимостью чистых минимальных арендных платежей,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3"/>
        <w:gridCol w:w="4158"/>
        <w:gridCol w:w="4159"/>
      </w:tblGrid>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арендные платежи</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стоимость минимальных арендных платежей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года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лет включительно</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37.027</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пяти лет</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43.889</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37.955</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суммы, представляющие финансовый доход</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(18.888)</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минимальных арендных платежей</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88.680</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88.680</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суммы, подлежащей погашению в течение 12 месяцев</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погашению после 12 месяцев</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8"/>
        <w:gridCol w:w="4351"/>
        <w:gridCol w:w="3781"/>
      </w:tblGrid>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арендные платежи</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минимальных арендных платежей</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года</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лет включительно</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пяти лет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суммы, представляющие финансовые выплаты</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минимальных арендных платежей</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суммы, подлежащей погашению в течение 12 месяцев</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погашению после 12 месяцев</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w:t>
            </w:r>
          </w:p>
        </w:tc>
      </w:tr>
    </w:tbl>
    <w:p>
      <w:pPr>
        <w:spacing w:after="0"/>
        <w:ind w:left="0"/>
        <w:jc w:val="left"/>
      </w:pPr>
      <w:r>
        <w:br/>
      </w:r>
      <w:r>
        <w:rPr>
          <w:rFonts w:ascii="Times New Roman"/>
          <w:b w:val="false"/>
          <w:i w:val="false"/>
          <w:color w:val="000000"/>
          <w:sz w:val="28"/>
        </w:rPr>
        <w:t>
</w:t>
      </w:r>
    </w:p>
    <w:bookmarkStart w:name="z190" w:id="190"/>
    <w:p>
      <w:pPr>
        <w:spacing w:after="0"/>
        <w:ind w:left="0"/>
        <w:jc w:val="both"/>
      </w:pPr>
      <w:r>
        <w:rPr>
          <w:rFonts w:ascii="Times New Roman"/>
          <w:b w:val="false"/>
          <w:i w:val="false"/>
          <w:color w:val="000000"/>
          <w:sz w:val="28"/>
        </w:rPr>
        <w:t xml:space="preserve">
      </w:t>
      </w:r>
      <w:r>
        <w:rPr>
          <w:rFonts w:ascii="Times New Roman"/>
          <w:b/>
          <w:i w:val="false"/>
          <w:color w:val="000000"/>
          <w:sz w:val="28"/>
        </w:rPr>
        <w:t>22. РЕЗЕРВЫ</w:t>
      </w:r>
    </w:p>
    <w:bookmarkEnd w:id="190"/>
    <w:p>
      <w:pPr>
        <w:spacing w:after="0"/>
        <w:ind w:left="0"/>
        <w:jc w:val="both"/>
      </w:pPr>
      <w:r>
        <w:rPr>
          <w:rFonts w:ascii="Times New Roman"/>
          <w:b w:val="false"/>
          <w:i w:val="false"/>
          <w:color w:val="000000"/>
          <w:sz w:val="28"/>
        </w:rPr>
        <w:t>
      На 31 декабря резервы включали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1565"/>
        <w:gridCol w:w="1565"/>
        <w:gridCol w:w="1802"/>
        <w:gridCol w:w="1566"/>
        <w:gridCol w:w="1803"/>
        <w:gridCol w:w="1803"/>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выбытию активов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обязательству за ущерб окружающей среде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налогам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аккредитивы и банковские гарантии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31 декабря 2011 года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222.172</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валюты отчетности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учетных оценок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 сумму дисконта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 год</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84.583</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при объединении предприятий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резерва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Сторнирование неиспользованных сумм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(25.267)</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 2012 года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260.514</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валюты отчетности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учетных оценок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 сумму дисконта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 год</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64.307</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Прекращенная деятельность</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резерва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(33.107)</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Сторнирование неиспользованных сумм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 2013 года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277.957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Текущая и долгосрочная части резервов разделены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1611"/>
        <w:gridCol w:w="1611"/>
        <w:gridCol w:w="1611"/>
        <w:gridCol w:w="1355"/>
        <w:gridCol w:w="1867"/>
        <w:gridCol w:w="1867"/>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выбытию активов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обязательству за ущерб окружающей среде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налогам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аккредитивы и банковские гарантии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часть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124.202</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136.312</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 2012 года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260.514</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140.711</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137.246</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 2013 года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277.957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Резервы под обязательства на строительство социальных объектов в составе Прочих резервов</w:t>
      </w:r>
    </w:p>
    <w:p>
      <w:pPr>
        <w:spacing w:after="0"/>
        <w:ind w:left="0"/>
        <w:jc w:val="both"/>
      </w:pPr>
      <w:r>
        <w:rPr>
          <w:rFonts w:ascii="Times New Roman"/>
          <w:b w:val="false"/>
          <w:i w:val="false"/>
          <w:color w:val="000000"/>
          <w:sz w:val="28"/>
        </w:rPr>
        <w:t>
      На 31 декабря 2013 года прочие резервы включают резервы дочерних организаций по строительству социальных объектов по поручению Правительства. НК КМГ включила резерв на строительство Музея Истории Казахстана в г. Астана в размере 55.361 миллионов тенге (2012: 31.810 миллионов тенге) и резерв на реконструкцию объекта "Выставочный Центр" в г. Москва в размере 9.844 миллион тенге (2012: 6.411 миллион тенге), резерв на строительство гольф клуба в размере 13.321 миллион тенге (в 2012 году: ноль).</w:t>
      </w:r>
    </w:p>
    <w:p>
      <w:pPr>
        <w:spacing w:after="0"/>
        <w:ind w:left="0"/>
        <w:jc w:val="both"/>
      </w:pPr>
      <w:r>
        <w:rPr>
          <w:rFonts w:ascii="Times New Roman"/>
          <w:b w:val="false"/>
          <w:i w:val="false"/>
          <w:color w:val="000000"/>
          <w:sz w:val="28"/>
        </w:rPr>
        <w:t>
      Также, НК КТЖ в 2012 году приняла на себя неотменяемые обязательства по строительству многофункционального ледового дворца в г. Астана. Руководство определило стоимость данного обязательства равной стоимости соответствующего договора на строительство на сумму 25.006 миллионов тенге. Завершение строительства планируется в июне 2015 года.</w:t>
      </w:r>
    </w:p>
    <w:p>
      <w:pPr>
        <w:spacing w:after="0"/>
        <w:ind w:left="0"/>
        <w:jc w:val="both"/>
      </w:pPr>
      <w:r>
        <w:rPr>
          <w:rFonts w:ascii="Times New Roman"/>
          <w:b w:val="false"/>
          <w:i w:val="false"/>
          <w:color w:val="000000"/>
          <w:sz w:val="28"/>
        </w:rPr>
        <w:t>
      Кроме того, НК КТЖ включает резерв на сумму обязательства по оснащению здания теле-радиокомплекса на сумму 28.125 миллионов тенге, принятого в 2011 году.</w:t>
      </w:r>
    </w:p>
    <w:p>
      <w:pPr>
        <w:spacing w:after="0"/>
        <w:ind w:left="0"/>
        <w:jc w:val="both"/>
      </w:pPr>
      <w:r>
        <w:rPr>
          <w:rFonts w:ascii="Times New Roman"/>
          <w:b w:val="false"/>
          <w:i w:val="false"/>
          <w:color w:val="000000"/>
          <w:sz w:val="28"/>
        </w:rPr>
        <w:t>
      В июне 2013 было завершено строительство Дворца творчества школьников в г. Астана на сумму 22.801 миллион тенге.</w:t>
      </w:r>
    </w:p>
    <w:bookmarkStart w:name="z191" w:id="191"/>
    <w:p>
      <w:pPr>
        <w:spacing w:after="0"/>
        <w:ind w:left="0"/>
        <w:jc w:val="both"/>
      </w:pPr>
      <w:r>
        <w:rPr>
          <w:rFonts w:ascii="Times New Roman"/>
          <w:b w:val="false"/>
          <w:i w:val="false"/>
          <w:color w:val="000000"/>
          <w:sz w:val="28"/>
        </w:rPr>
        <w:t xml:space="preserve">
      </w:t>
      </w:r>
      <w:r>
        <w:rPr>
          <w:rFonts w:ascii="Times New Roman"/>
          <w:b/>
          <w:i w:val="false"/>
          <w:color w:val="000000"/>
          <w:sz w:val="28"/>
        </w:rPr>
        <w:t>23. ОБЯЗАТЕЛЬСТВА ПО ВОЗНАГРАЖДЕНИЯМ РАБОТНИКАМ</w:t>
      </w:r>
    </w:p>
    <w:bookmarkEnd w:id="191"/>
    <w:bookmarkStart w:name="z192" w:id="192"/>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государственному пенсионному обеспечению</w:t>
      </w:r>
    </w:p>
    <w:bookmarkEnd w:id="192"/>
    <w:p>
      <w:pPr>
        <w:spacing w:after="0"/>
        <w:ind w:left="0"/>
        <w:jc w:val="both"/>
      </w:pPr>
      <w:r>
        <w:rPr>
          <w:rFonts w:ascii="Times New Roman"/>
          <w:b w:val="false"/>
          <w:i w:val="false"/>
          <w:color w:val="000000"/>
          <w:sz w:val="28"/>
        </w:rPr>
        <w:t xml:space="preserve">
      Группа выплачивает социальный налог в соответствии с действующими законодательными требованиями Республики Казахстан. Расходы по социальному налогу и зарплате относятся на расходы в момент их возникновения. </w:t>
      </w:r>
    </w:p>
    <w:p>
      <w:pPr>
        <w:spacing w:after="0"/>
        <w:ind w:left="0"/>
        <w:jc w:val="both"/>
      </w:pPr>
      <w:r>
        <w:rPr>
          <w:rFonts w:ascii="Times New Roman"/>
          <w:b w:val="false"/>
          <w:i w:val="false"/>
          <w:color w:val="000000"/>
          <w:sz w:val="28"/>
        </w:rPr>
        <w:t>
      Кроме того, Группа удерживает до 10% от зарплаты работников, выплачиваемые в качестве взносов работников в накопительные пенсионные фонды. Такие расходы отражаются в том периоде, в котором они имели место.</w:t>
      </w:r>
    </w:p>
    <w:bookmarkStart w:name="z193" w:id="193"/>
    <w:p>
      <w:pPr>
        <w:spacing w:after="0"/>
        <w:ind w:left="0"/>
        <w:jc w:val="both"/>
      </w:pPr>
      <w:r>
        <w:rPr>
          <w:rFonts w:ascii="Times New Roman"/>
          <w:b w:val="false"/>
          <w:i w:val="false"/>
          <w:color w:val="000000"/>
          <w:sz w:val="28"/>
        </w:rPr>
        <w:t xml:space="preserve">
      </w:t>
      </w:r>
      <w:r>
        <w:rPr>
          <w:rFonts w:ascii="Times New Roman"/>
          <w:b/>
          <w:i w:val="false"/>
          <w:color w:val="000000"/>
          <w:sz w:val="28"/>
        </w:rPr>
        <w:t>Пенсионный план с установленными выплатами</w:t>
      </w:r>
    </w:p>
    <w:bookmarkEnd w:id="193"/>
    <w:p>
      <w:pPr>
        <w:spacing w:after="0"/>
        <w:ind w:left="0"/>
        <w:jc w:val="both"/>
      </w:pPr>
      <w:r>
        <w:rPr>
          <w:rFonts w:ascii="Times New Roman"/>
          <w:b w:val="false"/>
          <w:i w:val="false"/>
          <w:color w:val="000000"/>
          <w:sz w:val="28"/>
        </w:rPr>
        <w:t>
      Обязательства по выплатам работникам по данному плану подлежат оплате в соответствии с коллективными договорами, заключенными между некоторыми дочерними организациями Группы (АО "Национальная Компания "КазМунайГаз", АО "Национальная Компания "Казақстан Темір Жолы", АО "Казахтелеком", АО "Самрук-Энерго", АО "Национальная Атомная Компания "Казатомпром", АО "Национальная Компания "Казахстан Инжиниринг" и АО "Казпочта") и работниками этих дочерних организаций, в лице их профессиональных союзов.</w:t>
      </w:r>
    </w:p>
    <w:p>
      <w:pPr>
        <w:spacing w:after="0"/>
        <w:ind w:left="0"/>
        <w:jc w:val="both"/>
      </w:pPr>
      <w:r>
        <w:rPr>
          <w:rFonts w:ascii="Times New Roman"/>
          <w:b w:val="false"/>
          <w:i w:val="false"/>
          <w:color w:val="000000"/>
          <w:sz w:val="28"/>
        </w:rPr>
        <w:t>
      На 31 декабря общие обязательства Группы по пенсионному плану с установленными выплатами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4391"/>
        <w:gridCol w:w="4391"/>
      </w:tblGrid>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обязательств по пенсионному плану с установленными размерами выплат</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срок погашения которого наступает в течение года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срок погашения которого наступает после года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сверка текущей стоимости обязательств по пенсионному плану с установленными размерами выплат и фиксированных выплат представлена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4922"/>
        <w:gridCol w:w="4923"/>
      </w:tblGrid>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сумма обязательств на начало года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текущих услуг</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прошлых услуг</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вознаграждение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произведенные за год</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Непризнанная стоимость прошлых услуг</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Актуарный убыток, признанный за год</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Прекращенная деятельность</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на конец года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Стоимость прошлых услуг, признанная за годы, закончившиеся 31 декабря 2013 и 2012 годов, в основном, связана с изменениями пенсионного законодательства в отношении поэтапного увеличения пенсионного возраста для женщин, а также изменениями в коллективных договорах.</w:t>
      </w:r>
    </w:p>
    <w:p>
      <w:pPr>
        <w:spacing w:after="0"/>
        <w:ind w:left="0"/>
        <w:jc w:val="both"/>
      </w:pPr>
      <w:r>
        <w:rPr>
          <w:rFonts w:ascii="Times New Roman"/>
          <w:b w:val="false"/>
          <w:i w:val="false"/>
          <w:color w:val="000000"/>
          <w:sz w:val="28"/>
        </w:rPr>
        <w:t>
      Общая стоимость услуг, включающая текущую стоимость, стоимость вознаграждения, стоимость прошлых услуг, непризнанную стоимость прошлых услуг и актуарный убыток, в размере 14.983 миллиона тенге была учтена в консолидированном отчете о совокупном доходе в составе расходов по заработной плате в 2013 году (2012: 12.958 миллионов тенге).</w:t>
      </w:r>
    </w:p>
    <w:p>
      <w:pPr>
        <w:spacing w:after="0"/>
        <w:ind w:left="0"/>
        <w:jc w:val="both"/>
      </w:pPr>
      <w:r>
        <w:rPr>
          <w:rFonts w:ascii="Times New Roman"/>
          <w:b w:val="false"/>
          <w:i w:val="false"/>
          <w:color w:val="000000"/>
          <w:sz w:val="28"/>
        </w:rPr>
        <w:t>
      Расчеты обязательств Группы были подготовлены на основе публикуемых статистических данных по уровню смертности, а также фактических данных Группы по количеству, возрасту, полу и стажу работников. Прочие основные допущения на отчетную дату, рассчитанные как средневзвешенные значения для всех планов, представлены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4518"/>
        <w:gridCol w:w="4518"/>
      </w:tblGrid>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дисконта</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годовой прирост финансовой помощи в будущем</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годовой прирост минимальной заработной платы в будущем</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годовой прирост стоимости железнодорожных билетов в будущем</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Пенсионный план с установленными выплатами является нефинансируемым.</w:t>
      </w:r>
    </w:p>
    <w:bookmarkStart w:name="z194" w:id="194"/>
    <w:p>
      <w:pPr>
        <w:spacing w:after="0"/>
        <w:ind w:left="0"/>
        <w:jc w:val="both"/>
      </w:pPr>
      <w:r>
        <w:rPr>
          <w:rFonts w:ascii="Times New Roman"/>
          <w:b w:val="false"/>
          <w:i w:val="false"/>
          <w:color w:val="000000"/>
          <w:sz w:val="28"/>
        </w:rPr>
        <w:t xml:space="preserve">
      </w:t>
      </w:r>
      <w:r>
        <w:rPr>
          <w:rFonts w:ascii="Times New Roman"/>
          <w:b/>
          <w:i w:val="false"/>
          <w:color w:val="000000"/>
          <w:sz w:val="28"/>
        </w:rPr>
        <w:t>24. СРЕДСТВА КЛИЕНТОВ</w:t>
      </w:r>
    </w:p>
    <w:bookmarkEnd w:id="194"/>
    <w:p>
      <w:pPr>
        <w:spacing w:after="0"/>
        <w:ind w:left="0"/>
        <w:jc w:val="both"/>
      </w:pPr>
      <w:r>
        <w:rPr>
          <w:rFonts w:ascii="Times New Roman"/>
          <w:b w:val="false"/>
          <w:i w:val="false"/>
          <w:color w:val="000000"/>
          <w:sz w:val="28"/>
        </w:rPr>
        <w:t>
      На 31 декабря средства клиентов включали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4690"/>
        <w:gridCol w:w="469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включая</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185.254</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533.946</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82.337</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442.539</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включая</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53.848</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196.271</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24.407</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105.442</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78.290</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прочие вклады с ограничительными условиями, включая:</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средства клиентов</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241.915</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742.721</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(230.763)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(636.058)</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106.663</w:t>
            </w:r>
          </w:p>
        </w:tc>
      </w:tr>
    </w:tbl>
    <w:p>
      <w:pPr>
        <w:spacing w:after="0"/>
        <w:ind w:left="0"/>
        <w:jc w:val="left"/>
      </w:pPr>
      <w:r>
        <w:br/>
      </w:r>
      <w:r>
        <w:rPr>
          <w:rFonts w:ascii="Times New Roman"/>
          <w:b w:val="false"/>
          <w:i w:val="false"/>
          <w:color w:val="000000"/>
          <w:sz w:val="28"/>
        </w:rPr>
        <w:t>
</w:t>
      </w:r>
    </w:p>
    <w:bookmarkStart w:name="z195" w:id="195"/>
    <w:p>
      <w:pPr>
        <w:spacing w:after="0"/>
        <w:ind w:left="0"/>
        <w:jc w:val="both"/>
      </w:pPr>
      <w:r>
        <w:rPr>
          <w:rFonts w:ascii="Times New Roman"/>
          <w:b w:val="false"/>
          <w:i w:val="false"/>
          <w:color w:val="000000"/>
          <w:sz w:val="28"/>
        </w:rPr>
        <w:t xml:space="preserve">
      </w:t>
      </w:r>
      <w:r>
        <w:rPr>
          <w:rFonts w:ascii="Times New Roman"/>
          <w:b/>
          <w:i w:val="false"/>
          <w:color w:val="000000"/>
          <w:sz w:val="28"/>
        </w:rPr>
        <w:t>25. ПРОЧИЕ ТЕКУЩИЕ ОБЯЗАТЕЛЬСТВА</w:t>
      </w:r>
    </w:p>
    <w:bookmarkEnd w:id="195"/>
    <w:p>
      <w:pPr>
        <w:spacing w:after="0"/>
        <w:ind w:left="0"/>
        <w:jc w:val="both"/>
      </w:pPr>
      <w:r>
        <w:rPr>
          <w:rFonts w:ascii="Times New Roman"/>
          <w:b w:val="false"/>
          <w:i w:val="false"/>
          <w:color w:val="000000"/>
          <w:sz w:val="28"/>
        </w:rPr>
        <w:t>
      На 31 декабря прочие текущие обязательства включали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3678"/>
        <w:gridCol w:w="3678"/>
      </w:tblGrid>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к уплате</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128.470</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135.782</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и доходы будущих периодов</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123.260</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111.849</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уплате за приобретение дополнительной доли в Северо-Каспийском Проекте (Примечание 20)</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107.444</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113.183</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выплатам работникам</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81.734</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75.806</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к выплате</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63.592</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71.222</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517.515</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575.195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оценочные обязательства</w:t>
      </w:r>
    </w:p>
    <w:p>
      <w:pPr>
        <w:spacing w:after="0"/>
        <w:ind w:left="0"/>
        <w:jc w:val="both"/>
      </w:pPr>
      <w:r>
        <w:rPr>
          <w:rFonts w:ascii="Times New Roman"/>
          <w:b w:val="false"/>
          <w:i w:val="false"/>
          <w:color w:val="000000"/>
          <w:sz w:val="28"/>
        </w:rPr>
        <w:t xml:space="preserve">
      Изменения в прочих оценочных обязательствах в основном связаны с уменьшением обязательств НАК КАП перед "Beijing Sino-Kaz Uranium Resources Investment Company Limited" на сумму 46.676 миллионов тенге. Подробная информация раскрыта в </w:t>
      </w:r>
      <w:r>
        <w:rPr>
          <w:rFonts w:ascii="Times New Roman"/>
          <w:b w:val="false"/>
          <w:i/>
          <w:color w:val="000000"/>
          <w:sz w:val="28"/>
        </w:rPr>
        <w:t>Примечании 6</w:t>
      </w:r>
      <w:r>
        <w:rPr>
          <w:rFonts w:ascii="Times New Roman"/>
          <w:b w:val="false"/>
          <w:i w:val="false"/>
          <w:color w:val="000000"/>
          <w:sz w:val="28"/>
        </w:rPr>
        <w:t>.</w:t>
      </w:r>
    </w:p>
    <w:p>
      <w:pPr>
        <w:spacing w:after="0"/>
        <w:ind w:left="0"/>
        <w:jc w:val="both"/>
      </w:pPr>
      <w:r>
        <w:rPr>
          <w:rFonts w:ascii="Times New Roman"/>
          <w:b w:val="false"/>
          <w:i w:val="false"/>
          <w:color w:val="000000"/>
          <w:sz w:val="28"/>
        </w:rPr>
        <w:t>
      На 31 декабря 2013 и 2012 годов вознаграждение по прочим текущим обязательствам не начислялось.</w:t>
      </w:r>
    </w:p>
    <w:bookmarkStart w:name="z196" w:id="196"/>
    <w:p>
      <w:pPr>
        <w:spacing w:after="0"/>
        <w:ind w:left="0"/>
        <w:jc w:val="both"/>
      </w:pPr>
      <w:r>
        <w:rPr>
          <w:rFonts w:ascii="Times New Roman"/>
          <w:b w:val="false"/>
          <w:i w:val="false"/>
          <w:color w:val="000000"/>
          <w:sz w:val="28"/>
        </w:rPr>
        <w:t xml:space="preserve">
      </w:t>
      </w:r>
      <w:r>
        <w:rPr>
          <w:rFonts w:ascii="Times New Roman"/>
          <w:b/>
          <w:i w:val="false"/>
          <w:color w:val="000000"/>
          <w:sz w:val="28"/>
        </w:rPr>
        <w:t>26. ВЫРУЧКА</w:t>
      </w:r>
    </w:p>
    <w:bookmarkEnd w:id="196"/>
    <w:p>
      <w:pPr>
        <w:spacing w:after="0"/>
        <w:ind w:left="0"/>
        <w:jc w:val="both"/>
      </w:pPr>
      <w:r>
        <w:rPr>
          <w:rFonts w:ascii="Times New Roman"/>
          <w:b w:val="false"/>
          <w:i w:val="false"/>
          <w:color w:val="000000"/>
          <w:sz w:val="28"/>
        </w:rPr>
        <w:t>
      Выручка за годы, закончившиеся 31 декабря, включает: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5041"/>
        <w:gridCol w:w="5041"/>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нефтепродуктов</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2.096.932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1.968.721</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железнодорожные перевозки</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738.985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684.320</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сырой нефти</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735.441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597.598</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нефти и газа</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220.677</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урановой продукции</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253.635</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продукции переработки газа</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188.601</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услуги</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167.340</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комплекс</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Авиаперевозки</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128.046</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Процентный доход</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83.241</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железнодорожные перевозки</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64.337</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электроэнергии</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63.730</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услуги</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медикаментов</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доход</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322.683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297.953</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косвенные налоги и коммерческие скидки</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(295.988)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(241.828)</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5.048.176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Прочий доход</w:t>
      </w:r>
    </w:p>
    <w:p>
      <w:pPr>
        <w:spacing w:after="0"/>
        <w:ind w:left="0"/>
        <w:jc w:val="both"/>
      </w:pPr>
      <w:r>
        <w:rPr>
          <w:rFonts w:ascii="Times New Roman"/>
          <w:b w:val="false"/>
          <w:i w:val="false"/>
          <w:color w:val="000000"/>
          <w:sz w:val="28"/>
        </w:rPr>
        <w:t>
      Прочий доход в основном включает комиссионный доход, доход от продажи запасов и предоставления прочих дополнительных услуг третьим сторонам, которые предоставляются вместе с основными услугами.</w:t>
      </w:r>
    </w:p>
    <w:bookmarkStart w:name="z197" w:id="197"/>
    <w:p>
      <w:pPr>
        <w:spacing w:after="0"/>
        <w:ind w:left="0"/>
        <w:jc w:val="both"/>
      </w:pPr>
      <w:r>
        <w:rPr>
          <w:rFonts w:ascii="Times New Roman"/>
          <w:b w:val="false"/>
          <w:i w:val="false"/>
          <w:color w:val="000000"/>
          <w:sz w:val="28"/>
        </w:rPr>
        <w:t xml:space="preserve">
      </w:t>
      </w:r>
      <w:r>
        <w:rPr>
          <w:rFonts w:ascii="Times New Roman"/>
          <w:b/>
          <w:i w:val="false"/>
          <w:color w:val="000000"/>
          <w:sz w:val="28"/>
        </w:rPr>
        <w:t>27. ГОСУДАРСТВЕННЫЕ СУБСИДИИ</w:t>
      </w:r>
    </w:p>
    <w:bookmarkEnd w:id="19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1188 от 11 ноября 2004 года "Об утверждении Правил субсидирования убытков перевозчика, связанных с осуществлением пассажирских перевозок", с 1 января 2005 года АО "Национальная Компания "Казақстан Темір Жолы" ("НК КТЖ") начало получать субсидии в качестве покрытия убытков перевозчиков по социально значимым сообщениям. По данным субсидиям отсутствуют какие-либо невыполненные условия или условные обязательства. Сумма субсидии за год, закончившийся 31 декабря 2013 года, составила 23.881 миллион тенге (2012: 22.148 миллионов тенге).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1039 от 7 октября 2004 года "Об утверждении Правил субсидирования стоимости универсальных услуг телекоммуникаций для компенсации убытков операторам связи, оказывающим универсальные услуги телекоммуникаций населению" начиная с 4-го квартала 2004 года, АО "Казахтелеком" получало правительственные субсидии, предназначенные для компенсации убытков, понесенных операторами при оказании услуг связи в социально-значимых районах. Все условия и условные обязательства в отношении указанных субсидий выполнены. Общая сумма субсидий, полученных за год, закончившийся 31 декабря 2013 года, составила 5.029 миллионов тенге (2012: 5.309 миллионов тенге).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915 от 17 августа 2002 года, Правительство предоставляет субсидии компаниям, осуществляющим услуги по пассажирским авиаперевозкам по нерентабельным маршрутам из Астаны в другие города Казахстана. Субсидия основана на превышении затрат на рейс над полученным доходом. Сумма субсидии за год, закончившийся 31 декабря 2013 года, составила 46 миллионов тенге (2012: 353 миллиона тенге).</w:t>
      </w:r>
    </w:p>
    <w:p>
      <w:pPr>
        <w:spacing w:after="0"/>
        <w:ind w:left="0"/>
        <w:jc w:val="both"/>
      </w:pPr>
      <w:r>
        <w:rPr>
          <w:rFonts w:ascii="Times New Roman"/>
          <w:b w:val="false"/>
          <w:i w:val="false"/>
          <w:color w:val="000000"/>
          <w:sz w:val="28"/>
        </w:rPr>
        <w:t>
      Прочие государственные субсидии за год, закончившийся 31 декабря 2013 года, составили 40 миллионов тенге (2012: 47 миллионов тенге).</w:t>
      </w:r>
    </w:p>
    <w:bookmarkStart w:name="z198" w:id="198"/>
    <w:p>
      <w:pPr>
        <w:spacing w:after="0"/>
        <w:ind w:left="0"/>
        <w:jc w:val="both"/>
      </w:pPr>
      <w:r>
        <w:rPr>
          <w:rFonts w:ascii="Times New Roman"/>
          <w:b w:val="false"/>
          <w:i w:val="false"/>
          <w:color w:val="000000"/>
          <w:sz w:val="28"/>
        </w:rPr>
        <w:t xml:space="preserve">
      </w:t>
      </w:r>
      <w:r>
        <w:rPr>
          <w:rFonts w:ascii="Times New Roman"/>
          <w:b/>
          <w:i w:val="false"/>
          <w:color w:val="000000"/>
          <w:sz w:val="28"/>
        </w:rPr>
        <w:t>28. СЕБЕСТОИМОСТЬ РЕАЛИЗОВАННОЙ ПРОДУКЦИИ И ОКАЗАННЫХ УСЛУГ</w:t>
      </w:r>
    </w:p>
    <w:bookmarkEnd w:id="198"/>
    <w:p>
      <w:pPr>
        <w:spacing w:after="0"/>
        <w:ind w:left="0"/>
        <w:jc w:val="both"/>
      </w:pPr>
      <w:r>
        <w:rPr>
          <w:rFonts w:ascii="Times New Roman"/>
          <w:b w:val="false"/>
          <w:i w:val="false"/>
          <w:color w:val="000000"/>
          <w:sz w:val="28"/>
        </w:rPr>
        <w:t>
      Себестоимость реализованной продукции и оказанных услуг за годы, закончившиеся 31 декабря, включает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5304"/>
        <w:gridCol w:w="5304"/>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запасы</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2.144.838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2.045.029</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заработной плате</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574.378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истощение и амортизация</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317.025</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284.795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производственные услуги</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117.222</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34.822</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146.848</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3.647.010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3.390.245</w:t>
            </w:r>
          </w:p>
        </w:tc>
      </w:tr>
    </w:tbl>
    <w:p>
      <w:pPr>
        <w:spacing w:after="0"/>
        <w:ind w:left="0"/>
        <w:jc w:val="left"/>
      </w:pPr>
      <w:r>
        <w:br/>
      </w:r>
      <w:r>
        <w:rPr>
          <w:rFonts w:ascii="Times New Roman"/>
          <w:b w:val="false"/>
          <w:i w:val="false"/>
          <w:color w:val="000000"/>
          <w:sz w:val="28"/>
        </w:rPr>
        <w:t>
</w:t>
      </w:r>
    </w:p>
    <w:bookmarkStart w:name="z199" w:id="199"/>
    <w:p>
      <w:pPr>
        <w:spacing w:after="0"/>
        <w:ind w:left="0"/>
        <w:jc w:val="both"/>
      </w:pPr>
      <w:r>
        <w:rPr>
          <w:rFonts w:ascii="Times New Roman"/>
          <w:b w:val="false"/>
          <w:i w:val="false"/>
          <w:color w:val="000000"/>
          <w:sz w:val="28"/>
        </w:rPr>
        <w:t xml:space="preserve">
      </w:t>
      </w:r>
      <w:r>
        <w:rPr>
          <w:rFonts w:ascii="Times New Roman"/>
          <w:b/>
          <w:i w:val="false"/>
          <w:color w:val="000000"/>
          <w:sz w:val="28"/>
        </w:rPr>
        <w:t>29. ОБЩИЕ И АДМИНИСТРАТИВНЫЕ РАСХОДЫ</w:t>
      </w:r>
    </w:p>
    <w:bookmarkEnd w:id="199"/>
    <w:p>
      <w:pPr>
        <w:spacing w:after="0"/>
        <w:ind w:left="0"/>
        <w:jc w:val="both"/>
      </w:pPr>
      <w:r>
        <w:rPr>
          <w:rFonts w:ascii="Times New Roman"/>
          <w:b w:val="false"/>
          <w:i w:val="false"/>
          <w:color w:val="000000"/>
          <w:sz w:val="28"/>
        </w:rPr>
        <w:t>
      Общие и административные расходы за годы, закончившиеся 31 декабря, включают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5158"/>
        <w:gridCol w:w="5159"/>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заработной плате</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кроме подоходного налога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42.846</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Спонсорская помощь и благотворительность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амортизация</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23.304</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и пени</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сомнительной задолженности</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343.669</w:t>
            </w:r>
          </w:p>
        </w:tc>
      </w:tr>
    </w:tbl>
    <w:p>
      <w:pPr>
        <w:spacing w:after="0"/>
        <w:ind w:left="0"/>
        <w:jc w:val="left"/>
      </w:pPr>
      <w:r>
        <w:br/>
      </w:r>
      <w:r>
        <w:rPr>
          <w:rFonts w:ascii="Times New Roman"/>
          <w:b w:val="false"/>
          <w:i w:val="false"/>
          <w:color w:val="000000"/>
          <w:sz w:val="28"/>
        </w:rPr>
        <w:t>
</w:t>
      </w:r>
    </w:p>
    <w:bookmarkStart w:name="z200" w:id="200"/>
    <w:p>
      <w:pPr>
        <w:spacing w:after="0"/>
        <w:ind w:left="0"/>
        <w:jc w:val="both"/>
      </w:pPr>
      <w:r>
        <w:rPr>
          <w:rFonts w:ascii="Times New Roman"/>
          <w:b w:val="false"/>
          <w:i w:val="false"/>
          <w:color w:val="000000"/>
          <w:sz w:val="28"/>
        </w:rPr>
        <w:t xml:space="preserve">
      </w:t>
      </w:r>
      <w:r>
        <w:rPr>
          <w:rFonts w:ascii="Times New Roman"/>
          <w:b/>
          <w:i w:val="false"/>
          <w:color w:val="000000"/>
          <w:sz w:val="28"/>
        </w:rPr>
        <w:t>30. РАСХОДЫ ПО ТРАНСПОРТИРОВКЕ И РЕАЛИЗАЦИИ</w:t>
      </w:r>
    </w:p>
    <w:bookmarkEnd w:id="200"/>
    <w:p>
      <w:pPr>
        <w:spacing w:after="0"/>
        <w:ind w:left="0"/>
        <w:jc w:val="both"/>
      </w:pPr>
      <w:r>
        <w:rPr>
          <w:rFonts w:ascii="Times New Roman"/>
          <w:b w:val="false"/>
          <w:i w:val="false"/>
          <w:color w:val="000000"/>
          <w:sz w:val="28"/>
        </w:rPr>
        <w:t>
      Расходы по транспортировке и реализации за годы, закончившиеся 31 декабря, включают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5158"/>
        <w:gridCol w:w="5159"/>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161.461</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113.655</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пошлина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43.690</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заработной плате</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амортизация</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 агентам и реклама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347.457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377.334</w:t>
            </w:r>
          </w:p>
        </w:tc>
      </w:tr>
    </w:tbl>
    <w:p>
      <w:pPr>
        <w:spacing w:after="0"/>
        <w:ind w:left="0"/>
        <w:jc w:val="left"/>
      </w:pPr>
      <w:r>
        <w:br/>
      </w:r>
      <w:r>
        <w:rPr>
          <w:rFonts w:ascii="Times New Roman"/>
          <w:b w:val="false"/>
          <w:i w:val="false"/>
          <w:color w:val="000000"/>
          <w:sz w:val="28"/>
        </w:rPr>
        <w:t>
</w:t>
      </w:r>
    </w:p>
    <w:bookmarkStart w:name="z201" w:id="201"/>
    <w:p>
      <w:pPr>
        <w:spacing w:after="0"/>
        <w:ind w:left="0"/>
        <w:jc w:val="both"/>
      </w:pPr>
      <w:r>
        <w:rPr>
          <w:rFonts w:ascii="Times New Roman"/>
          <w:b w:val="false"/>
          <w:i w:val="false"/>
          <w:color w:val="000000"/>
          <w:sz w:val="28"/>
        </w:rPr>
        <w:t xml:space="preserve">
      </w:t>
      </w:r>
      <w:r>
        <w:rPr>
          <w:rFonts w:ascii="Times New Roman"/>
          <w:b/>
          <w:i w:val="false"/>
          <w:color w:val="000000"/>
          <w:sz w:val="28"/>
        </w:rPr>
        <w:t>31. УБЫТОК ОТ ОБЕСЦЕНЕНИЯ</w:t>
      </w:r>
    </w:p>
    <w:bookmarkEnd w:id="201"/>
    <w:p>
      <w:pPr>
        <w:spacing w:after="0"/>
        <w:ind w:left="0"/>
        <w:jc w:val="both"/>
      </w:pPr>
      <w:r>
        <w:rPr>
          <w:rFonts w:ascii="Times New Roman"/>
          <w:b w:val="false"/>
          <w:i w:val="false"/>
          <w:color w:val="000000"/>
          <w:sz w:val="28"/>
        </w:rPr>
        <w:t>
      Убыток от обесценения за годы, закончившиеся 31 декабря, включает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2"/>
        <w:gridCol w:w="3727"/>
        <w:gridCol w:w="3901"/>
      </w:tblGrid>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 (сторнирование обесценения) займов клиентам</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Обесценение основных средств и нематериальных активов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86.018</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Обесценение / (сторнирование обесценения) инвестиций в совместные предприятия и ассоциированные компании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Обесценение финансовых активов, имеющиеся в наличии для продажи </w:t>
            </w:r>
            <w:r>
              <w:rPr>
                <w:rFonts w:ascii="Times New Roman"/>
                <w:b w:val="false"/>
                <w:i/>
                <w:color w:val="000000"/>
                <w:sz w:val="20"/>
              </w:rPr>
              <w:t>(Примечание 12)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146.848</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Обесценение гудвилла </w:t>
            </w:r>
            <w:r>
              <w:rPr>
                <w:rFonts w:ascii="Times New Roman"/>
                <w:b w:val="false"/>
                <w:i/>
                <w:color w:val="000000"/>
                <w:sz w:val="20"/>
              </w:rPr>
              <w:t>(Примечание 8)</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219.448</w:t>
            </w:r>
          </w:p>
        </w:tc>
      </w:tr>
    </w:tbl>
    <w:p>
      <w:pPr>
        <w:spacing w:after="0"/>
        <w:ind w:left="0"/>
        <w:jc w:val="left"/>
      </w:pPr>
      <w:r>
        <w:br/>
      </w:r>
      <w:r>
        <w:rPr>
          <w:rFonts w:ascii="Times New Roman"/>
          <w:b w:val="false"/>
          <w:i w:val="false"/>
          <w:color w:val="000000"/>
          <w:sz w:val="28"/>
        </w:rPr>
        <w:t>
</w:t>
      </w:r>
    </w:p>
    <w:bookmarkStart w:name="z202" w:id="202"/>
    <w:p>
      <w:pPr>
        <w:spacing w:after="0"/>
        <w:ind w:left="0"/>
        <w:jc w:val="both"/>
      </w:pPr>
      <w:r>
        <w:rPr>
          <w:rFonts w:ascii="Times New Roman"/>
          <w:b w:val="false"/>
          <w:i w:val="false"/>
          <w:color w:val="000000"/>
          <w:sz w:val="28"/>
        </w:rPr>
        <w:t xml:space="preserve">
      </w:t>
      </w:r>
      <w:r>
        <w:rPr>
          <w:rFonts w:ascii="Times New Roman"/>
          <w:b/>
          <w:i w:val="false"/>
          <w:color w:val="000000"/>
          <w:sz w:val="28"/>
        </w:rPr>
        <w:t>32. ФИНАНСОВЫЕ ЗАТРАТЫ</w:t>
      </w:r>
    </w:p>
    <w:bookmarkEnd w:id="202"/>
    <w:p>
      <w:pPr>
        <w:spacing w:after="0"/>
        <w:ind w:left="0"/>
        <w:jc w:val="both"/>
      </w:pPr>
      <w:r>
        <w:rPr>
          <w:rFonts w:ascii="Times New Roman"/>
          <w:b w:val="false"/>
          <w:i w:val="false"/>
          <w:color w:val="000000"/>
          <w:sz w:val="28"/>
        </w:rPr>
        <w:t>
      Финансовые затраты за годы, закончившиеся 31 декабря, включают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0"/>
        <w:gridCol w:w="4625"/>
        <w:gridCol w:w="4625"/>
      </w:tblGrid>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по займам и выпущенным долговым ценным бумагам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167.533</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 сумму дисконта по резервам и прочей задолженности</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убыток по производным инструментам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процентам по финансовой аренде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208.751</w:t>
            </w:r>
          </w:p>
        </w:tc>
      </w:tr>
    </w:tbl>
    <w:p>
      <w:pPr>
        <w:spacing w:after="0"/>
        <w:ind w:left="0"/>
        <w:jc w:val="left"/>
      </w:pPr>
      <w:r>
        <w:br/>
      </w:r>
      <w:r>
        <w:rPr>
          <w:rFonts w:ascii="Times New Roman"/>
          <w:b w:val="false"/>
          <w:i w:val="false"/>
          <w:color w:val="000000"/>
          <w:sz w:val="28"/>
        </w:rPr>
        <w:t>
</w:t>
      </w:r>
    </w:p>
    <w:bookmarkStart w:name="z203" w:id="203"/>
    <w:p>
      <w:pPr>
        <w:spacing w:after="0"/>
        <w:ind w:left="0"/>
        <w:jc w:val="both"/>
      </w:pPr>
      <w:r>
        <w:rPr>
          <w:rFonts w:ascii="Times New Roman"/>
          <w:b w:val="false"/>
          <w:i w:val="false"/>
          <w:color w:val="000000"/>
          <w:sz w:val="28"/>
        </w:rPr>
        <w:t xml:space="preserve">
      </w:t>
      </w:r>
      <w:r>
        <w:rPr>
          <w:rFonts w:ascii="Times New Roman"/>
          <w:b/>
          <w:i w:val="false"/>
          <w:color w:val="000000"/>
          <w:sz w:val="28"/>
        </w:rPr>
        <w:t>33. ФИНАНСОВЫЙ ДОХОД</w:t>
      </w:r>
    </w:p>
    <w:bookmarkEnd w:id="203"/>
    <w:p>
      <w:pPr>
        <w:spacing w:after="0"/>
        <w:ind w:left="0"/>
        <w:jc w:val="both"/>
      </w:pPr>
      <w:r>
        <w:rPr>
          <w:rFonts w:ascii="Times New Roman"/>
          <w:b w:val="false"/>
          <w:i w:val="false"/>
          <w:color w:val="000000"/>
          <w:sz w:val="28"/>
        </w:rPr>
        <w:t>
      Финансовый доход за годы, закончившиеся 31 декабря, включает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6"/>
        <w:gridCol w:w="4026"/>
        <w:gridCol w:w="4238"/>
      </w:tblGrid>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средствам в кредитных учреждениях и денежным средствам и их эквивалентам</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займам и финансовым активам</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полученным дивидендам</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w:t>
            </w:r>
          </w:p>
        </w:tc>
      </w:tr>
    </w:tbl>
    <w:p>
      <w:pPr>
        <w:spacing w:after="0"/>
        <w:ind w:left="0"/>
        <w:jc w:val="left"/>
      </w:pPr>
      <w:r>
        <w:br/>
      </w:r>
      <w:r>
        <w:rPr>
          <w:rFonts w:ascii="Times New Roman"/>
          <w:b w:val="false"/>
          <w:i w:val="false"/>
          <w:color w:val="000000"/>
          <w:sz w:val="28"/>
        </w:rPr>
        <w:t>
</w:t>
      </w:r>
    </w:p>
    <w:bookmarkStart w:name="z204" w:id="204"/>
    <w:p>
      <w:pPr>
        <w:spacing w:after="0"/>
        <w:ind w:left="0"/>
        <w:jc w:val="both"/>
      </w:pPr>
      <w:r>
        <w:rPr>
          <w:rFonts w:ascii="Times New Roman"/>
          <w:b w:val="false"/>
          <w:i w:val="false"/>
          <w:color w:val="000000"/>
          <w:sz w:val="28"/>
        </w:rPr>
        <w:t xml:space="preserve">
      </w:t>
      </w:r>
      <w:r>
        <w:rPr>
          <w:rFonts w:ascii="Times New Roman"/>
          <w:b/>
          <w:i w:val="false"/>
          <w:color w:val="000000"/>
          <w:sz w:val="28"/>
        </w:rPr>
        <w:t>34. ДОЛЯ В ПРИБЫТИИ СОВМЕСТНЫХ ПРЕДПРИЯТИЙ И АССОЦИИРОВАННЫХ КОМПАНИЙ, НЕТТО</w:t>
      </w:r>
    </w:p>
    <w:bookmarkEnd w:id="204"/>
    <w:p>
      <w:pPr>
        <w:spacing w:after="0"/>
        <w:ind w:left="0"/>
        <w:jc w:val="both"/>
      </w:pPr>
      <w:r>
        <w:rPr>
          <w:rFonts w:ascii="Times New Roman"/>
          <w:b w:val="false"/>
          <w:i w:val="false"/>
          <w:color w:val="000000"/>
          <w:sz w:val="28"/>
        </w:rPr>
        <w:t>
      Доля в прибыли совместных предприятий и ассоциированных компаний за годы, закончившиеся 31 декабря, включает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7"/>
        <w:gridCol w:w="3031"/>
        <w:gridCol w:w="3032"/>
      </w:tblGrid>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"Тенгизшевройл"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295.908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267.829</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 Инвестментс Б.В.</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64.636</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КазГерМунай"</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38.358</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Инк.</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"КазРосГаз"</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"Экибастузская ГРЭС-1" ("ЭГРЭС-1")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"Казахстанско-Китайский Трубопровод"</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"Казахойл-Актобе"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"КАТКО"</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"Экибастузская ГРЭС-2" ("ЭГРЕС-2")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"Каратау"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"Казцинк"</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Sekerbank T.A.S.</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540.513</w:t>
            </w:r>
          </w:p>
        </w:tc>
      </w:tr>
    </w:tbl>
    <w:p>
      <w:pPr>
        <w:spacing w:after="0"/>
        <w:ind w:left="0"/>
        <w:jc w:val="left"/>
      </w:pPr>
      <w:r>
        <w:br/>
      </w:r>
      <w:r>
        <w:rPr>
          <w:rFonts w:ascii="Times New Roman"/>
          <w:b w:val="false"/>
          <w:i w:val="false"/>
          <w:color w:val="000000"/>
          <w:sz w:val="28"/>
        </w:rPr>
        <w:t>
</w:t>
      </w:r>
    </w:p>
    <w:bookmarkStart w:name="z205" w:id="205"/>
    <w:p>
      <w:pPr>
        <w:spacing w:after="0"/>
        <w:ind w:left="0"/>
        <w:jc w:val="both"/>
      </w:pPr>
      <w:r>
        <w:rPr>
          <w:rFonts w:ascii="Times New Roman"/>
          <w:b w:val="false"/>
          <w:i w:val="false"/>
          <w:color w:val="000000"/>
          <w:sz w:val="28"/>
        </w:rPr>
        <w:t xml:space="preserve">
      </w:t>
      </w:r>
      <w:r>
        <w:rPr>
          <w:rFonts w:ascii="Times New Roman"/>
          <w:b/>
          <w:i w:val="false"/>
          <w:color w:val="000000"/>
          <w:sz w:val="28"/>
        </w:rPr>
        <w:t>35. РАСХОДЫ ПО ПОДОХОДНОМУ НАЛОГУ</w:t>
      </w:r>
    </w:p>
    <w:bookmarkEnd w:id="205"/>
    <w:p>
      <w:pPr>
        <w:spacing w:after="0"/>
        <w:ind w:left="0"/>
        <w:jc w:val="both"/>
      </w:pPr>
      <w:r>
        <w:rPr>
          <w:rFonts w:ascii="Times New Roman"/>
          <w:b w:val="false"/>
          <w:i w:val="false"/>
          <w:color w:val="000000"/>
          <w:sz w:val="28"/>
        </w:rPr>
        <w:t>
      За годы, закончившиеся 31 декабря, расходы по подоходному налогу включают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4652"/>
        <w:gridCol w:w="4652"/>
      </w:tblGrid>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текущему подоходному налогу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(КПН)</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145.016</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149.027</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 выплаты по дивидендам и вознаграждениям</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62.579</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Расход/(экономия) по отсроченному подоходному налогу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(КПН)</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 выплаты по дивидендам и вознаграждениям</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и 2012 года перенос налоговых убытков в Республике Казахстан истекает в налоговых целях через 10 (десять) лет с даты их возникновения.</w:t>
      </w:r>
    </w:p>
    <w:p>
      <w:pPr>
        <w:spacing w:after="0"/>
        <w:ind w:left="0"/>
        <w:jc w:val="both"/>
      </w:pPr>
      <w:r>
        <w:rPr>
          <w:rFonts w:ascii="Times New Roman"/>
          <w:b w:val="false"/>
          <w:i w:val="false"/>
          <w:color w:val="000000"/>
          <w:sz w:val="28"/>
        </w:rPr>
        <w:t>
      Сверка расходов по подоходному налогу, рассчитанных от бухгалтерской прибыли до учета подоходного налога по нормативной ставке подоходного налога (20% в 2013 и 2012 годах) к расходам по подоходному налогу, представлена следующим образом за годы, закончившиеся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407"/>
        <w:gridCol w:w="3899"/>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до учета подоходного налога от продолжающей деятельности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889.973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801.624</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(Убыток)/прибыль до учета подоходного налога от прекращенной деятельности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589.737</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 по бухгалтерской прибыли</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278.272</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облигациям на восстановление, признанные БТА Банком</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(74.278)</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выбытия прекращенной деятельности, не облагаемый налогом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группы выбытия</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эффект статей, не относимых на вычеты или не подлежащих обложению в целях налогообложения</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90.147</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Влияние различных ставок корпоративного подоходного налога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в совместных предприятиях и ассоциированных компаниях, не облагаемая налогом</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(67.137)</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непризнанных активах по отсроченному налогу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корпоративному подоходному налогу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272.415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251.785</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экономии/(расходов) по подоходному налогу, относящихся к прекращенной деятельности</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 от продолжающейся деятельности</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Сальдо отсроченного налога на 31 декабря, рассчитанного посредством применения установленных законом ставок налога, действующих на отчетную дату, к временным разницам между налоговой основой для расчета активов и обязательств и суммами, отраженными в консолидированной финансовой отчетности, включают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518"/>
        <w:gridCol w:w="1166"/>
        <w:gridCol w:w="1343"/>
        <w:gridCol w:w="1518"/>
        <w:gridCol w:w="1518"/>
        <w:gridCol w:w="1166"/>
        <w:gridCol w:w="1343"/>
        <w:gridCol w:w="1519"/>
      </w:tblGrid>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сверхприбыль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у источника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отсроченному налогу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Перенесенные налоговые убытки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обязательства в отношении работников</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активов</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обязательству за загрязнение окружающей среды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начисления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непризнанные активы по отсроченному налогу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активы по отсроченному налогу, зачтенные с обязательствами по отсроченному налогу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отсроченному налогу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отсроченному налогу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334.979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338.013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совместных предприятий и ассоциированных компаний</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активы по отсроченному налогу, зачтенные с обязательствами по отсроченному налогу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отсроченному налогу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обязательства по отсроченному налогу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(335.835)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годы, закончившиеся 31 декабря, изменения в чистых обязательствах по отсроченному налогу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503"/>
        <w:gridCol w:w="1366"/>
        <w:gridCol w:w="1298"/>
        <w:gridCol w:w="1503"/>
        <w:gridCol w:w="1504"/>
        <w:gridCol w:w="1366"/>
        <w:gridCol w:w="1299"/>
        <w:gridCol w:w="1505"/>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сверхприбыль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1 января</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валюты отчетности</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Отражено в прочем совокупном доходе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дочерних организаций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Прекращенная деятельность (Примечание 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Отражено в прибылях и убытках</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31 декабря</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335.835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31 декабря 2013 года непризнанные активы по отсроченному налогу в размере 201.619 миллионов тенге, в основном, относились к перенесенным налоговым убыткам некоторых дочерних организаций Фонда (2012 год: 569.666 миллион тенге), которые могут быть зачтены против будущей налогооблагаемой прибыли в течение 10 (десяти) последовательных лет. Уменьшение в непризнанных активах по отсроченному налогу в размере 443.011 миллионов тенге связано с выбытием и переводом в состав активов, классифицированных как предназначенных для продажи, некоторых дочерних организаций Группы </w:t>
      </w:r>
      <w:r>
        <w:rPr>
          <w:rFonts w:ascii="Times New Roman"/>
          <w:b w:val="false"/>
          <w:i/>
          <w:color w:val="000000"/>
          <w:sz w:val="28"/>
        </w:rPr>
        <w:t>(Примечание 6)</w:t>
      </w:r>
      <w:r>
        <w:rPr>
          <w:rFonts w:ascii="Times New Roman"/>
          <w:b w:val="false"/>
          <w:i w:val="false"/>
          <w:color w:val="000000"/>
          <w:sz w:val="28"/>
        </w:rPr>
        <w:t xml:space="preserve">. В отношении этих убытков не были признаны активы по отсроченному налогу, поскольку они не могут быть зачтены против налогооблагаемой прибыли от прочих операционных сегментов Группы, и они возникли от деятельности, которая является убыточной в течение некоторого времени. Группа провела анализ и пришла к выводу, что вероятность возмещения активов по отсроченному налогу текущим налоговым убыткам не является вероятной. Если бы Группа могла признать все непризнанные активы по отсроченному налогу, чистая прибыль в 2013 году увеличилась бы на 201.619 миллионов тенге. </w:t>
      </w:r>
    </w:p>
    <w:bookmarkStart w:name="z206" w:id="206"/>
    <w:p>
      <w:pPr>
        <w:spacing w:after="0"/>
        <w:ind w:left="0"/>
        <w:jc w:val="both"/>
      </w:pPr>
      <w:r>
        <w:rPr>
          <w:rFonts w:ascii="Times New Roman"/>
          <w:b w:val="false"/>
          <w:i w:val="false"/>
          <w:color w:val="000000"/>
          <w:sz w:val="28"/>
        </w:rPr>
        <w:t xml:space="preserve">
      </w:t>
      </w:r>
      <w:r>
        <w:rPr>
          <w:rFonts w:ascii="Times New Roman"/>
          <w:b/>
          <w:i w:val="false"/>
          <w:color w:val="000000"/>
          <w:sz w:val="28"/>
        </w:rPr>
        <w:t>36. КОНСОЛИДАЦИЯ</w:t>
      </w:r>
    </w:p>
    <w:bookmarkEnd w:id="206"/>
    <w:p>
      <w:pPr>
        <w:spacing w:after="0"/>
        <w:ind w:left="0"/>
        <w:jc w:val="both"/>
      </w:pPr>
      <w:r>
        <w:rPr>
          <w:rFonts w:ascii="Times New Roman"/>
          <w:b w:val="false"/>
          <w:i w:val="false"/>
          <w:color w:val="000000"/>
          <w:sz w:val="28"/>
        </w:rPr>
        <w:t>
      Следующие дочерние организации были включены в данную консолидированную финансовую отчетность: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5"/>
        <w:gridCol w:w="2242"/>
        <w:gridCol w:w="2243"/>
      </w:tblGrid>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"КазМунайГаз" ("НК КМГ") 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"Национальная Компания "Казақстан Темір Жолы" ("НК КТЖ") и дочерние организации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"Национальная Атомная Компания "КазАтомПром"("НАК КАП") и дочерние организации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 ("КТК") 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"Самрук–Энерго" ("Самрук-Энерго") 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"Казахстанская компания по управлению электрическими сетями" ("KEGOC") и дочерние организации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"Эйр Астана" ("Эйр Астана")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 ("БТА Банк")и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"Альянс Банк" ("Альянс Банк") 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"Казпочта" 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"Национальная Компания "Казахстан Инжиниринг" ("Казахстан Инжиниринг") и дочерние организации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недвижимости Самрук-Казына"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Актобе"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"Самрук-Казына Контракт"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Горнорудная Компания "Тау-Кен Самрук" 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"КазНИИ энергетики имени академика Ш.Ч. Чокина"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"Объединенная химическая компания" и дочерние организации ("ОХК")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"Самрук-Қазына Инвест"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"КОРЭМ"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Атырау"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"Аэропорт Павлодар"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"Карагандагипрошахт и 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"Темiрбанк"*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SLP</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IM</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Management</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 Финанс"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Геологическая Компания "Казгеология"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"СК-Фармация"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"Экспортно-кредитная страховая корпорация КазЭкспоГарант" (ГСК по страхованию экспортных кредитов и инвестиций)</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"Досжан Темир Жолы"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"Инвестиционный Фонд Казахстана"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Развития Казахстана" ("БРК") 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развития предпринимательства "Даму" ("Даму")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"Kazyna Capital Management" 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"Восточно-Казахстанская региональная энергетическая компания"**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По состоянию на 31 декабря 2013 года Группа признала выбытие институтов развития и финансовых организаций как прекращенную деятельность.</w:t>
      </w:r>
    </w:p>
    <w:p>
      <w:pPr>
        <w:spacing w:after="0"/>
        <w:ind w:left="0"/>
        <w:jc w:val="both"/>
      </w:pPr>
      <w:r>
        <w:rPr>
          <w:rFonts w:ascii="Times New Roman"/>
          <w:b w:val="false"/>
          <w:i w:val="false"/>
          <w:color w:val="000000"/>
          <w:sz w:val="28"/>
        </w:rPr>
        <w:t>
      **      С 14 марта 2013 года АО "Восточно-Казахстанская региональная энергетическая компания" входит в состав АО "Самрук-Энерго", как дочерняя организация.</w:t>
      </w:r>
    </w:p>
    <w:bookmarkStart w:name="z207" w:id="207"/>
    <w:p>
      <w:pPr>
        <w:spacing w:after="0"/>
        <w:ind w:left="0"/>
        <w:jc w:val="both"/>
      </w:pPr>
      <w:r>
        <w:rPr>
          <w:rFonts w:ascii="Times New Roman"/>
          <w:b w:val="false"/>
          <w:i w:val="false"/>
          <w:color w:val="000000"/>
          <w:sz w:val="28"/>
        </w:rPr>
        <w:t xml:space="preserve">
      </w:t>
      </w:r>
      <w:r>
        <w:rPr>
          <w:rFonts w:ascii="Times New Roman"/>
          <w:b/>
          <w:i w:val="false"/>
          <w:color w:val="000000"/>
          <w:sz w:val="28"/>
        </w:rPr>
        <w:t>37. СУЩЕСТВЕННЫЕ НЕДЕНЕЖНЫЕ СДЕЛКИ</w:t>
      </w:r>
    </w:p>
    <w:bookmarkEnd w:id="207"/>
    <w:p>
      <w:pPr>
        <w:spacing w:after="0"/>
        <w:ind w:left="0"/>
        <w:jc w:val="both"/>
      </w:pPr>
      <w:r>
        <w:rPr>
          <w:rFonts w:ascii="Times New Roman"/>
          <w:b w:val="false"/>
          <w:i w:val="false"/>
          <w:color w:val="000000"/>
          <w:sz w:val="28"/>
        </w:rPr>
        <w:t xml:space="preserve">
      В 2013 году Группа получила от Акционера вклады в уставный капитал в форме газопроводов высокого, среднего и низкого давления и сооружений на них, находящихся на территории Западно-Казахстанской, Жамбылской и Актюбинской областей в сумме 9.808 миллионов тенге и принадлежащие государству акции АО "Национальная Компания "Актауский Международный Торговый Морской Порт" в размере 26.234 миллионов тенге </w:t>
      </w:r>
      <w:r>
        <w:rPr>
          <w:rFonts w:ascii="Times New Roman"/>
          <w:b w:val="false"/>
          <w:i/>
          <w:color w:val="000000"/>
          <w:sz w:val="28"/>
        </w:rPr>
        <w:t>(Примечание 5, 17.1)</w:t>
      </w:r>
    </w:p>
    <w:p>
      <w:pPr>
        <w:spacing w:after="0"/>
        <w:ind w:left="0"/>
        <w:jc w:val="both"/>
      </w:pPr>
      <w:r>
        <w:rPr>
          <w:rFonts w:ascii="Times New Roman"/>
          <w:b w:val="false"/>
          <w:i w:val="false"/>
          <w:color w:val="000000"/>
          <w:sz w:val="28"/>
        </w:rPr>
        <w:t xml:space="preserve">
      В 2012 году Группа получила от Акционера некоторые акции, в том числе долю участия в Карачаганакский Проектный Консорциум, и прочее имущество в качестве вклада в уставный капитал и по договорам мены </w:t>
      </w:r>
      <w:r>
        <w:rPr>
          <w:rFonts w:ascii="Times New Roman"/>
          <w:b w:val="false"/>
          <w:i/>
          <w:color w:val="000000"/>
          <w:sz w:val="28"/>
        </w:rPr>
        <w:t>(Примечание 5, 17.1)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 состоянию на 31 декабря 2013 года, кредиторская задолженность за приобретенные основные средства увеличилась на 25.610 миллионов тенге (2011: 95.343 миллиона тенге). </w:t>
      </w:r>
    </w:p>
    <w:p>
      <w:pPr>
        <w:spacing w:after="0"/>
        <w:ind w:left="0"/>
        <w:jc w:val="both"/>
      </w:pPr>
      <w:r>
        <w:rPr>
          <w:rFonts w:ascii="Times New Roman"/>
          <w:b w:val="false"/>
          <w:i w:val="false"/>
          <w:color w:val="000000"/>
          <w:sz w:val="28"/>
        </w:rPr>
        <w:t xml:space="preserve">
      В 2013 году Группа получила основные средства по договорам финансовой аренды стоимостью 52.724 миллиона тенге (2012: 35.290 миллионов тенге). </w:t>
      </w:r>
    </w:p>
    <w:p>
      <w:pPr>
        <w:spacing w:after="0"/>
        <w:ind w:left="0"/>
        <w:jc w:val="both"/>
      </w:pPr>
      <w:r>
        <w:rPr>
          <w:rFonts w:ascii="Times New Roman"/>
          <w:b w:val="false"/>
          <w:i w:val="false"/>
          <w:color w:val="000000"/>
          <w:sz w:val="28"/>
        </w:rPr>
        <w:t xml:space="preserve">
      В январе 2013 года Фонд разместил купонные облигации по ставкам ниже рыночных, которые были выкуплены Национальным Банком Республики Казахстан. Дисконт при первоначальном признании данных обязательств в сумме 249.828 миллионов тенге был отражен в качестве единовременного дохода в консолидированном отчете об изменениях в капитале </w:t>
      </w:r>
      <w:r>
        <w:rPr>
          <w:rFonts w:ascii="Times New Roman"/>
          <w:b w:val="false"/>
          <w:i/>
          <w:color w:val="000000"/>
          <w:sz w:val="28"/>
        </w:rPr>
        <w:t>(Примечание 17.2)</w:t>
      </w:r>
      <w:r>
        <w:rPr>
          <w:rFonts w:ascii="Times New Roman"/>
          <w:b w:val="false"/>
          <w:i w:val="false"/>
          <w:color w:val="000000"/>
          <w:sz w:val="28"/>
        </w:rPr>
        <w:t>.</w:t>
      </w:r>
    </w:p>
    <w:p>
      <w:pPr>
        <w:spacing w:after="0"/>
        <w:ind w:left="0"/>
        <w:jc w:val="both"/>
      </w:pPr>
      <w:r>
        <w:rPr>
          <w:rFonts w:ascii="Times New Roman"/>
          <w:b w:val="false"/>
          <w:i w:val="false"/>
          <w:color w:val="000000"/>
          <w:sz w:val="28"/>
        </w:rPr>
        <w:t>
      В 2013 году Группа увеличила резерв, связанный с расходами в результате строительства социальных объектов в г. Астана, реконструкции Выставочного Центра в г. Москва по поручениям Акционера, и Щучинско–Боровской курортной зоны, утвержденного Правительством и признала в качестве распределения Акционеру. Группа также сторнировала распределения Акционеру, которые связаны с обязательствами Группы по передаче Северо-Каспийской экологической базы реагирования на розливы нефти (СКЭБР) в ведение Министерства по чрезвычайным ситуациям Республики Казахстан (Примечание 17.5), на общую сумму 26.768 миллионов тенге (2012: 50.135 миллионов тенге).</w:t>
      </w:r>
    </w:p>
    <w:p>
      <w:pPr>
        <w:spacing w:after="0"/>
        <w:ind w:left="0"/>
        <w:jc w:val="both"/>
      </w:pPr>
      <w:r>
        <w:rPr>
          <w:rFonts w:ascii="Times New Roman"/>
          <w:b w:val="false"/>
          <w:i w:val="false"/>
          <w:color w:val="000000"/>
          <w:sz w:val="28"/>
        </w:rPr>
        <w:t>
      В 2013 году Группа приобрела основные средства путем получения займов в сумме 17.854 миллиона тенге (2012: ноль)</w:t>
      </w:r>
    </w:p>
    <w:p>
      <w:pPr>
        <w:spacing w:after="0"/>
        <w:ind w:left="0"/>
        <w:jc w:val="both"/>
      </w:pPr>
      <w:r>
        <w:rPr>
          <w:rFonts w:ascii="Times New Roman"/>
          <w:b w:val="false"/>
          <w:i w:val="false"/>
          <w:color w:val="000000"/>
          <w:sz w:val="28"/>
        </w:rPr>
        <w:t xml:space="preserve">
      В 2013 году Группа капитализировала в балансовую стоимость основных средств суммы по увеличению резерва по обязательствам по выбытию активов и обязательству за ущерб окружающей среде на сумму 8.740 миллионов тенге (2012: 16.727 миллионов тенге). </w:t>
      </w:r>
    </w:p>
    <w:p>
      <w:pPr>
        <w:spacing w:after="0"/>
        <w:ind w:left="0"/>
        <w:jc w:val="both"/>
      </w:pPr>
      <w:r>
        <w:rPr>
          <w:rFonts w:ascii="Times New Roman"/>
          <w:b w:val="false"/>
          <w:i w:val="false"/>
          <w:color w:val="000000"/>
          <w:sz w:val="28"/>
        </w:rPr>
        <w:t xml:space="preserve">
      В 2013 году Группа капитализировала затраты по займам в размере 19.038 миллион тенге (2012: 4.162 миллиона тенге). </w:t>
      </w:r>
    </w:p>
    <w:p>
      <w:pPr>
        <w:spacing w:after="0"/>
        <w:ind w:left="0"/>
        <w:jc w:val="both"/>
      </w:pPr>
      <w:r>
        <w:rPr>
          <w:rFonts w:ascii="Times New Roman"/>
          <w:b w:val="false"/>
          <w:i w:val="false"/>
          <w:color w:val="000000"/>
          <w:sz w:val="28"/>
        </w:rPr>
        <w:t>
      В 2012 году Фонд разместил купонные облигации по ставкам ниже рыночных, которые были выкуплены Национальным Банком Республики Казахстан и получил займы от Правительства по ставкам ниже рыночных. Дисконт облигаций при первоначальном признании в сумме 89.617 миллионов тенге был признан в качестве единовременного дохода в консолидированном отчете об изменениях в капитале.</w:t>
      </w:r>
    </w:p>
    <w:p>
      <w:pPr>
        <w:spacing w:after="0"/>
        <w:ind w:left="0"/>
        <w:jc w:val="both"/>
      </w:pPr>
      <w:r>
        <w:rPr>
          <w:rFonts w:ascii="Times New Roman"/>
          <w:b w:val="false"/>
          <w:i w:val="false"/>
          <w:color w:val="000000"/>
          <w:sz w:val="28"/>
        </w:rPr>
        <w:t xml:space="preserve">
      В 2012 году были зарегистрированы изменения относительно условий размещенных Фондом облигаций и выкупленных Национальным Банком Республики Казахстан. В соответствии с данными изменениями сроки обращения по данным облигациям были продлены до 2062 года и ставки вознаграждения были снижены до 0,01%. Изменения в проспекте привели к значительным изменениям в первоначальных условиях размещения облигаций, и, соответственно, к прекращению признания первоначального обязательства и признанию нового обязательства в соответствии с МСБУ 39. Разница между справедливой стоимостью нового обязательства и балансовой стоимостью первоначального обязательства на дату внесения изменений, в размере 304.650 миллионов тенге была признана в консолидированном отчете об изменениях в капитале. </w:t>
      </w:r>
    </w:p>
    <w:bookmarkStart w:name="z208" w:id="208"/>
    <w:p>
      <w:pPr>
        <w:spacing w:after="0"/>
        <w:ind w:left="0"/>
        <w:jc w:val="both"/>
      </w:pPr>
      <w:r>
        <w:rPr>
          <w:rFonts w:ascii="Times New Roman"/>
          <w:b w:val="false"/>
          <w:i w:val="false"/>
          <w:color w:val="000000"/>
          <w:sz w:val="28"/>
        </w:rPr>
        <w:t xml:space="preserve">
      </w:t>
      </w:r>
      <w:r>
        <w:rPr>
          <w:rFonts w:ascii="Times New Roman"/>
          <w:b/>
          <w:i w:val="false"/>
          <w:color w:val="000000"/>
          <w:sz w:val="28"/>
        </w:rPr>
        <w:t>38. РАСКРЫТИЕ ИНФОРМАЦИИ О СВЯЗАННЫХ СТОРОНАХ</w:t>
      </w:r>
    </w:p>
    <w:bookmarkEnd w:id="208"/>
    <w:p>
      <w:pPr>
        <w:spacing w:after="0"/>
        <w:ind w:left="0"/>
        <w:jc w:val="both"/>
      </w:pPr>
      <w:r>
        <w:rPr>
          <w:rFonts w:ascii="Times New Roman"/>
          <w:b w:val="false"/>
          <w:i w:val="false"/>
          <w:color w:val="000000"/>
          <w:sz w:val="28"/>
        </w:rPr>
        <w:t xml:space="preserve">
      В соответствии с МСБУ 24 </w:t>
      </w:r>
      <w:r>
        <w:rPr>
          <w:rFonts w:ascii="Times New Roman"/>
          <w:b w:val="false"/>
          <w:i/>
          <w:color w:val="000000"/>
          <w:sz w:val="28"/>
        </w:rPr>
        <w:t>"Раскрытия информации о связанных сторонах"</w:t>
      </w:r>
      <w:r>
        <w:rPr>
          <w:rFonts w:ascii="Times New Roman"/>
          <w:b w:val="false"/>
          <w:i w:val="false"/>
          <w:color w:val="000000"/>
          <w:sz w:val="28"/>
        </w:rPr>
        <w:t xml:space="preserve"> стороны считаются связанными, если одна сторона имеет возможность контролировать другую сторону или осуществлять значительное влияние на другую сторону при принятии ею финансовых или операционных решений. При оценке возможного наличия отношений с каждой связанной стороной внимание уделяется сути взаимоотношений, а не только их юридическому оформлению.</w:t>
      </w:r>
    </w:p>
    <w:p>
      <w:pPr>
        <w:spacing w:after="0"/>
        <w:ind w:left="0"/>
        <w:jc w:val="both"/>
      </w:pPr>
      <w:r>
        <w:rPr>
          <w:rFonts w:ascii="Times New Roman"/>
          <w:b w:val="false"/>
          <w:i w:val="false"/>
          <w:color w:val="000000"/>
          <w:sz w:val="28"/>
        </w:rPr>
        <w:t>
      Связанные стороны включают в себя ключевой управляющий персонал Группы, организации, в которых ключевому управляющему персоналу Группы прямо или косвенно принадлежит существенная доля участия, а также прочие предприятия, контролируемые Правительством. Сделки со связанными сторонами осуществлялись на условиях, согласованных между сторонами, которые не обязательно соответствуют рыночным ставкам, за исключением некоторых регулируемых услуг, которые предоставлены на основании тарифов, предлагаемых для связанных и третьих сторон.</w:t>
      </w:r>
    </w:p>
    <w:p>
      <w:pPr>
        <w:spacing w:after="0"/>
        <w:ind w:left="0"/>
        <w:jc w:val="both"/>
      </w:pPr>
      <w:r>
        <w:rPr>
          <w:rFonts w:ascii="Times New Roman"/>
          <w:b w:val="false"/>
          <w:i w:val="false"/>
          <w:color w:val="000000"/>
          <w:sz w:val="28"/>
        </w:rPr>
        <w:t>
      Следующая таблица показывает общую сумму сделок, которые были совершены со связанными сторонами по состоянию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1452"/>
        <w:gridCol w:w="1907"/>
        <w:gridCol w:w="2208"/>
        <w:gridCol w:w="2662"/>
        <w:gridCol w:w="1908"/>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предприятия, в которых Группа является участником</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предприятия, контролируемые государством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связанные стороны</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связанных сторон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связанным сторонам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 услуг</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и услуг</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 вклады (обязательства)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и средства в кредитных учреждениях (активы)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517.482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(Примечание 19)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1.112.865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779.774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полученное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года ряд займов Группы в сумме 71.290 миллионов тенге был гарантирован Правительством Республики Казахстан (на 31 декабря 2012 года: 69.907 миллионов тенге).</w:t>
      </w:r>
    </w:p>
    <w:p>
      <w:pPr>
        <w:spacing w:after="0"/>
        <w:ind w:left="0"/>
        <w:jc w:val="both"/>
      </w:pPr>
      <w:r>
        <w:rPr>
          <w:rFonts w:ascii="Times New Roman"/>
          <w:b w:val="false"/>
          <w:i w:val="false"/>
          <w:color w:val="000000"/>
          <w:sz w:val="28"/>
        </w:rPr>
        <w:t>
      Общая сумма вознаграждений, выплаченных ключевому управленческому персоналу, включенная в расходы по заработной плате в прилагаемом консолидированном отчете о совокупном доходе, составила 12.836 миллионов тенге за год, закончившийся 31 декабря 2013 года (2012: 11.979 миллионов тенге). Вознаграждение, выплаченное ключевому управленческому персоналу, преимущественно состоит из расходов по заработной плате, установленной контрактами, и премиями, основанными на операционных результатах.</w:t>
      </w:r>
    </w:p>
    <w:p>
      <w:pPr>
        <w:spacing w:after="0"/>
        <w:ind w:left="0"/>
        <w:jc w:val="both"/>
      </w:pPr>
      <w:r>
        <w:rPr>
          <w:rFonts w:ascii="Times New Roman"/>
          <w:b w:val="false"/>
          <w:i w:val="false"/>
          <w:color w:val="000000"/>
          <w:sz w:val="28"/>
        </w:rPr>
        <w:t xml:space="preserve">
      Как было ранее отмечено в </w:t>
      </w:r>
      <w:r>
        <w:rPr>
          <w:rFonts w:ascii="Times New Roman"/>
          <w:b w:val="false"/>
          <w:i/>
          <w:color w:val="000000"/>
          <w:sz w:val="28"/>
        </w:rPr>
        <w:t>Примечании 27</w:t>
      </w:r>
      <w:r>
        <w:rPr>
          <w:rFonts w:ascii="Times New Roman"/>
          <w:b w:val="false"/>
          <w:i w:val="false"/>
          <w:color w:val="000000"/>
          <w:sz w:val="28"/>
        </w:rPr>
        <w:t>, Правительство предоставляет некоторые субсидии дочерним организациям Группы.</w:t>
      </w:r>
    </w:p>
    <w:bookmarkStart w:name="z209" w:id="209"/>
    <w:p>
      <w:pPr>
        <w:spacing w:after="0"/>
        <w:ind w:left="0"/>
        <w:jc w:val="both"/>
      </w:pPr>
      <w:r>
        <w:rPr>
          <w:rFonts w:ascii="Times New Roman"/>
          <w:b w:val="false"/>
          <w:i w:val="false"/>
          <w:color w:val="000000"/>
          <w:sz w:val="28"/>
        </w:rPr>
        <w:t xml:space="preserve">
      </w:t>
      </w:r>
      <w:r>
        <w:rPr>
          <w:rFonts w:ascii="Times New Roman"/>
          <w:b/>
          <w:i w:val="false"/>
          <w:color w:val="000000"/>
          <w:sz w:val="28"/>
        </w:rPr>
        <w:t>39. ФИНАНСОВЫЕ ИНСТРУМЕНТЫ, ЦЕЛИ И ПОЛИТИКА УПРАВЛЕНИЯ ФИНАНСОВЫМИ РИСКАМИ</w:t>
      </w:r>
    </w:p>
    <w:bookmarkEnd w:id="209"/>
    <w:p>
      <w:pPr>
        <w:spacing w:after="0"/>
        <w:ind w:left="0"/>
        <w:jc w:val="both"/>
      </w:pPr>
      <w:r>
        <w:rPr>
          <w:rFonts w:ascii="Times New Roman"/>
          <w:b w:val="false"/>
          <w:i w:val="false"/>
          <w:color w:val="000000"/>
          <w:sz w:val="28"/>
        </w:rPr>
        <w:t>
      Основные финансовые инструменты Группы включают займы, займы от Правительства РК, обязательства по финансовой аренде, средства клиентов, производные инструменты, денежные средства и их эквиваленты, займы клиентам, средства в кредитных учреждениях, прочие финансовые активы, а также дебиторскую и кредиторскую задолженность. Основные риски, возникающие по финансовым инструментам Группы – это риск изменения процентных ставок, валютный риск и кредитный риск. Группа также отслеживает риск, связанный с ликвидностью, который возникает по всем финансовым инструментам.</w:t>
      </w:r>
    </w:p>
    <w:bookmarkStart w:name="z210" w:id="210"/>
    <w:p>
      <w:pPr>
        <w:spacing w:after="0"/>
        <w:ind w:left="0"/>
        <w:jc w:val="both"/>
      </w:pPr>
      <w:r>
        <w:rPr>
          <w:rFonts w:ascii="Times New Roman"/>
          <w:b w:val="false"/>
          <w:i w:val="false"/>
          <w:color w:val="000000"/>
          <w:sz w:val="28"/>
        </w:rPr>
        <w:t xml:space="preserve">
      </w:t>
      </w:r>
      <w:r>
        <w:rPr>
          <w:rFonts w:ascii="Times New Roman"/>
          <w:b/>
          <w:i w:val="false"/>
          <w:color w:val="000000"/>
          <w:sz w:val="28"/>
        </w:rPr>
        <w:t>Риск изменения процентных ставок</w:t>
      </w:r>
    </w:p>
    <w:bookmarkEnd w:id="210"/>
    <w:p>
      <w:pPr>
        <w:spacing w:after="0"/>
        <w:ind w:left="0"/>
        <w:jc w:val="both"/>
      </w:pPr>
      <w:r>
        <w:rPr>
          <w:rFonts w:ascii="Times New Roman"/>
          <w:b w:val="false"/>
          <w:i w:val="false"/>
          <w:color w:val="000000"/>
          <w:sz w:val="28"/>
        </w:rPr>
        <w:t>
      Риск изменения процентных ставок представляет собой риск колебания стоимости финансового инструмента в результате изменения ставок вознаграждения на рынке. Группа ограничивает риск изменения процентных ставок посредством осуществления контроля изменений ставок вознаграждения по валютам, в которых выражены ее собственные и заемные средства, а также ее инвестиции.</w:t>
      </w:r>
    </w:p>
    <w:p>
      <w:pPr>
        <w:spacing w:after="0"/>
        <w:ind w:left="0"/>
        <w:jc w:val="both"/>
      </w:pPr>
      <w:r>
        <w:rPr>
          <w:rFonts w:ascii="Times New Roman"/>
          <w:b w:val="false"/>
          <w:i w:val="false"/>
          <w:color w:val="000000"/>
          <w:sz w:val="28"/>
        </w:rPr>
        <w:t xml:space="preserve">
      Подверженность Группы риску изменения процентных ставок в основном относится к долгосрочным и краткосрочным займам Группы с плавающими процентными ставками </w:t>
      </w:r>
      <w:r>
        <w:rPr>
          <w:rFonts w:ascii="Times New Roman"/>
          <w:b w:val="false"/>
          <w:i/>
          <w:color w:val="000000"/>
          <w:sz w:val="28"/>
        </w:rPr>
        <w:t>(Примечание 18)</w:t>
      </w:r>
      <w:r>
        <w:rPr>
          <w:rFonts w:ascii="Times New Roman"/>
          <w:b w:val="false"/>
          <w:i w:val="false"/>
          <w:color w:val="000000"/>
          <w:sz w:val="28"/>
        </w:rPr>
        <w:t>.</w:t>
      </w:r>
    </w:p>
    <w:p>
      <w:pPr>
        <w:spacing w:after="0"/>
        <w:ind w:left="0"/>
        <w:jc w:val="both"/>
      </w:pPr>
      <w:r>
        <w:rPr>
          <w:rFonts w:ascii="Times New Roman"/>
          <w:b w:val="false"/>
          <w:i w:val="false"/>
          <w:color w:val="000000"/>
          <w:sz w:val="28"/>
        </w:rPr>
        <w:t>
      В следующей таблице представлена чувствительность прибыли Группы до учета подоходного налога (вследствие наличия займов с плавающими ставками вознаграждения) и капитала (вследствие изменения в справедливой стоимости инвестиций, имеющихся в наличии для продажи), к возможным изменениям в плавающих процентных ставках LIBOR при том условии, что все остальные параметры приняты величинами постоянными.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2071"/>
        <w:gridCol w:w="4243"/>
        <w:gridCol w:w="4244"/>
      </w:tblGrid>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(уменьшение) в базисных пунктах*</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прибыли и убытки</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влияние на капитал</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(1.034)/1.034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(285)/333</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(79)/105</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(406)/426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(1.351)/1.318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базисный пункт = 0,01%.</w:t>
      </w:r>
    </w:p>
    <w:bookmarkStart w:name="z211" w:id="211"/>
    <w:p>
      <w:pPr>
        <w:spacing w:after="0"/>
        <w:ind w:left="0"/>
        <w:jc w:val="both"/>
      </w:pPr>
      <w:r>
        <w:rPr>
          <w:rFonts w:ascii="Times New Roman"/>
          <w:b w:val="false"/>
          <w:i w:val="false"/>
          <w:color w:val="000000"/>
          <w:sz w:val="28"/>
        </w:rPr>
        <w:t xml:space="preserve">
      </w:t>
      </w:r>
      <w:r>
        <w:rPr>
          <w:rFonts w:ascii="Times New Roman"/>
          <w:b/>
          <w:i w:val="false"/>
          <w:color w:val="000000"/>
          <w:sz w:val="28"/>
        </w:rPr>
        <w:t>Валютный риск</w:t>
      </w:r>
    </w:p>
    <w:bookmarkEnd w:id="211"/>
    <w:p>
      <w:pPr>
        <w:spacing w:after="0"/>
        <w:ind w:left="0"/>
        <w:jc w:val="both"/>
      </w:pPr>
      <w:r>
        <w:rPr>
          <w:rFonts w:ascii="Times New Roman"/>
          <w:b w:val="false"/>
          <w:i w:val="false"/>
          <w:color w:val="000000"/>
          <w:sz w:val="28"/>
        </w:rPr>
        <w:t>
      В результате значительных сумм займов, обязательств по финансовой аренде и торговой кредиторской задолженности, вкладов в банках, денежных средств и их эквивалентов и дебиторской задолженности, выраженных в долларах США, на консолидированное финансовое положение Группы может оказать значительное влияние изменения в обменных курсах доллара США к тенге.</w:t>
      </w:r>
    </w:p>
    <w:p>
      <w:pPr>
        <w:spacing w:after="0"/>
        <w:ind w:left="0"/>
        <w:jc w:val="both"/>
      </w:pPr>
      <w:r>
        <w:rPr>
          <w:rFonts w:ascii="Times New Roman"/>
          <w:b w:val="false"/>
          <w:i w:val="false"/>
          <w:color w:val="000000"/>
          <w:sz w:val="28"/>
        </w:rPr>
        <w:t>
      В следующей таблице представлена чувствительность прибыли Группы до учета подоходного налога к возможным изменениям в обменном курсе доллара США и евро при том условии, что все остальные параметры приняты величинами постоянными.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5015"/>
        <w:gridCol w:w="5683"/>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(уменьшение) в обменных курсах</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прибыли и убытки</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(317.350)/(156.200)</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(13.426)/(6.713)</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(33.629)/33.629</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10,77%/(10,77%)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(1.854)/1.854</w:t>
            </w:r>
          </w:p>
        </w:tc>
      </w:tr>
    </w:tbl>
    <w:p>
      <w:pPr>
        <w:spacing w:after="0"/>
        <w:ind w:left="0"/>
        <w:jc w:val="left"/>
      </w:pPr>
      <w:r>
        <w:br/>
      </w:r>
      <w:r>
        <w:rPr>
          <w:rFonts w:ascii="Times New Roman"/>
          <w:b w:val="false"/>
          <w:i w:val="false"/>
          <w:color w:val="000000"/>
          <w:sz w:val="28"/>
        </w:rPr>
        <w:t>
</w:t>
      </w:r>
    </w:p>
    <w:bookmarkStart w:name="z212" w:id="212"/>
    <w:p>
      <w:pPr>
        <w:spacing w:after="0"/>
        <w:ind w:left="0"/>
        <w:jc w:val="both"/>
      </w:pPr>
      <w:r>
        <w:rPr>
          <w:rFonts w:ascii="Times New Roman"/>
          <w:b w:val="false"/>
          <w:i w:val="false"/>
          <w:color w:val="000000"/>
          <w:sz w:val="28"/>
        </w:rPr>
        <w:t xml:space="preserve">
      </w:t>
      </w:r>
      <w:r>
        <w:rPr>
          <w:rFonts w:ascii="Times New Roman"/>
          <w:b/>
          <w:i w:val="false"/>
          <w:color w:val="000000"/>
          <w:sz w:val="28"/>
        </w:rPr>
        <w:t>Кредитный риск</w:t>
      </w:r>
    </w:p>
    <w:bookmarkEnd w:id="212"/>
    <w:p>
      <w:pPr>
        <w:spacing w:after="0"/>
        <w:ind w:left="0"/>
        <w:jc w:val="both"/>
      </w:pPr>
      <w:r>
        <w:rPr>
          <w:rFonts w:ascii="Times New Roman"/>
          <w:b w:val="false"/>
          <w:i w:val="false"/>
          <w:color w:val="000000"/>
          <w:sz w:val="28"/>
        </w:rPr>
        <w:t xml:space="preserve">
      Кредитный риск, возникающий в результате невыполнения контрагентами условий договоров с финансовыми инструментами Группы, обычно ограничивается суммами, при наличии таковых, на которые величина обязательств контрагентов превышает обязательства Группы перед этими контрагентами. Политика Группы предусматривает совершение операций с финансовыми инструментами с рядом кредитоспособных контрагентов. Максимальная величина подверженности кредитному риску равна балансовой стоимости каждого финансового актива. Группа считает, что максимальная величина ее риска отражается суммой займов клиентам </w:t>
      </w:r>
      <w:r>
        <w:rPr>
          <w:rFonts w:ascii="Times New Roman"/>
          <w:b w:val="false"/>
          <w:i/>
          <w:color w:val="000000"/>
          <w:sz w:val="28"/>
        </w:rPr>
        <w:t>(Примечание 10)</w:t>
      </w:r>
      <w:r>
        <w:rPr>
          <w:rFonts w:ascii="Times New Roman"/>
          <w:b w:val="false"/>
          <w:i w:val="false"/>
          <w:color w:val="000000"/>
          <w:sz w:val="28"/>
        </w:rPr>
        <w:t xml:space="preserve">, суммой средств в кредитных учреждениях (Примечание 11), торговой дебиторской задолженности и прочих текущих активов </w:t>
      </w:r>
      <w:r>
        <w:rPr>
          <w:rFonts w:ascii="Times New Roman"/>
          <w:b w:val="false"/>
          <w:i/>
          <w:color w:val="000000"/>
          <w:sz w:val="28"/>
        </w:rPr>
        <w:t>(Примечание 15)</w:t>
      </w:r>
      <w:r>
        <w:rPr>
          <w:rFonts w:ascii="Times New Roman"/>
          <w:b w:val="false"/>
          <w:i w:val="false"/>
          <w:color w:val="000000"/>
          <w:sz w:val="28"/>
        </w:rPr>
        <w:t xml:space="preserve">, прочих финансовых активов </w:t>
      </w:r>
      <w:r>
        <w:rPr>
          <w:rFonts w:ascii="Times New Roman"/>
          <w:b w:val="false"/>
          <w:i/>
          <w:color w:val="000000"/>
          <w:sz w:val="28"/>
        </w:rPr>
        <w:t>(Примечание 12)</w:t>
      </w:r>
      <w:r>
        <w:rPr>
          <w:rFonts w:ascii="Times New Roman"/>
          <w:b w:val="false"/>
          <w:i w:val="false"/>
          <w:color w:val="000000"/>
          <w:sz w:val="28"/>
        </w:rPr>
        <w:t xml:space="preserve"> и денежных средств и их эквивалентов, за вычетом резервов на обесценение, отраженных на отчетную дату.</w:t>
      </w:r>
    </w:p>
    <w:p>
      <w:pPr>
        <w:spacing w:after="0"/>
        <w:ind w:left="0"/>
        <w:jc w:val="both"/>
      </w:pPr>
      <w:r>
        <w:rPr>
          <w:rFonts w:ascii="Times New Roman"/>
          <w:b w:val="false"/>
          <w:i w:val="false"/>
          <w:color w:val="000000"/>
          <w:sz w:val="28"/>
        </w:rPr>
        <w:t>
      Концентрация кредитного риска может возникать при наличии нескольких сумм задолженности от одного заемщика или от группы заемщиков со сходными условиями деятельности, в отношении которых есть основания ожидать, что изменения экономических условий или иных обстоятельств могут одинаково повлиять на их способность выполнять свои обязательства.</w:t>
      </w:r>
    </w:p>
    <w:p>
      <w:pPr>
        <w:spacing w:after="0"/>
        <w:ind w:left="0"/>
        <w:jc w:val="both"/>
      </w:pPr>
      <w:r>
        <w:rPr>
          <w:rFonts w:ascii="Times New Roman"/>
          <w:b w:val="false"/>
          <w:i w:val="false"/>
          <w:color w:val="000000"/>
          <w:sz w:val="28"/>
        </w:rPr>
        <w:t>
      В Группе действует политика, предусматривающая постоянный контроль за тем, чтобы сделки заключались с контрагентами, имеющими адекватную кредитную историю, и не превышали установленных лимитов кредитования. Кредитный риск снижается благодаря тому факту, что Группа работает с большинством своих контрагентов на основе предоплаты.</w:t>
      </w:r>
    </w:p>
    <w:bookmarkStart w:name="z213" w:id="213"/>
    <w:p>
      <w:pPr>
        <w:spacing w:after="0"/>
        <w:ind w:left="0"/>
        <w:jc w:val="both"/>
      </w:pPr>
      <w:r>
        <w:rPr>
          <w:rFonts w:ascii="Times New Roman"/>
          <w:b w:val="false"/>
          <w:i w:val="false"/>
          <w:color w:val="000000"/>
          <w:sz w:val="28"/>
        </w:rPr>
        <w:t xml:space="preserve">
      </w:t>
      </w:r>
      <w:r>
        <w:rPr>
          <w:rFonts w:ascii="Times New Roman"/>
          <w:b/>
          <w:i w:val="false"/>
          <w:color w:val="000000"/>
          <w:sz w:val="28"/>
        </w:rPr>
        <w:t>Риск ликвидности</w:t>
      </w:r>
    </w:p>
    <w:bookmarkEnd w:id="213"/>
    <w:p>
      <w:pPr>
        <w:spacing w:after="0"/>
        <w:ind w:left="0"/>
        <w:jc w:val="both"/>
      </w:pPr>
      <w:r>
        <w:rPr>
          <w:rFonts w:ascii="Times New Roman"/>
          <w:b w:val="false"/>
          <w:i w:val="false"/>
          <w:color w:val="000000"/>
          <w:sz w:val="28"/>
        </w:rPr>
        <w:t>
      Риск ликвидности связан с возможностью того, что Группа столкнется с трудностями при привлечении средств для выполнения своих финансовых обязательств. Риск ликвидности может возникнуть в результате невозможности оперативно реализовать финансовый актив по стоимости, приближающейся к его справедливой стоимости.</w:t>
      </w:r>
    </w:p>
    <w:p>
      <w:pPr>
        <w:spacing w:after="0"/>
        <w:ind w:left="0"/>
        <w:jc w:val="both"/>
      </w:pPr>
      <w:r>
        <w:rPr>
          <w:rFonts w:ascii="Times New Roman"/>
          <w:b w:val="false"/>
          <w:i w:val="false"/>
          <w:color w:val="000000"/>
          <w:sz w:val="28"/>
        </w:rPr>
        <w:t>
      Требования к ликвидности регулярно контролируются и руководство следит за наличием средств в объеме, достаточном для выполнения обязательств по мере их возникновения.</w:t>
      </w:r>
    </w:p>
    <w:p>
      <w:pPr>
        <w:spacing w:after="0"/>
        <w:ind w:left="0"/>
        <w:jc w:val="both"/>
      </w:pPr>
      <w:r>
        <w:rPr>
          <w:rFonts w:ascii="Times New Roman"/>
          <w:b w:val="false"/>
          <w:i w:val="false"/>
          <w:color w:val="000000"/>
          <w:sz w:val="28"/>
        </w:rPr>
        <w:t>
      В следующей таблице представлена информация по состоянию на 31 декабря о договорных недисконтированных платежах по финансовым обязательствам Группы в разрезе сроков погашения этих обязательств.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1800"/>
        <w:gridCol w:w="1494"/>
        <w:gridCol w:w="1801"/>
        <w:gridCol w:w="1801"/>
        <w:gridCol w:w="1801"/>
        <w:gridCol w:w="1801"/>
      </w:tblGrid>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месяца, но не более 3 месяцев</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месяцев, но не более 1 года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года, но не более 5 лет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лет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2013 года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 РК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1.373.642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1.467.625</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405.202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2.192.807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2.807.861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5.775.118</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финансовой аренде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107.027</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311.521</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и прочая кредиторская задолженность</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699.829</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216.665</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588.148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2.578.260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4.318.444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8.577.872</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2012 года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 РК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1.140.801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1.733.649</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755.108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1.798.934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3.102.669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6.001.469</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финансовой аренде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260.089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и прочая кредиторская задолженность</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728.091</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54.683</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391.537</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1.153.151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443.901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1.528.170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2.293.731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4.357.406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9.776.359</w:t>
            </w:r>
          </w:p>
        </w:tc>
      </w:tr>
    </w:tbl>
    <w:p>
      <w:pPr>
        <w:spacing w:after="0"/>
        <w:ind w:left="0"/>
        <w:jc w:val="left"/>
      </w:pPr>
      <w:r>
        <w:br/>
      </w:r>
      <w:r>
        <w:rPr>
          <w:rFonts w:ascii="Times New Roman"/>
          <w:b w:val="false"/>
          <w:i w:val="false"/>
          <w:color w:val="000000"/>
          <w:sz w:val="28"/>
        </w:rPr>
        <w:t>
</w:t>
      </w:r>
    </w:p>
    <w:bookmarkStart w:name="z214" w:id="214"/>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капиталом</w:t>
      </w:r>
    </w:p>
    <w:bookmarkEnd w:id="214"/>
    <w:p>
      <w:pPr>
        <w:spacing w:after="0"/>
        <w:ind w:left="0"/>
        <w:jc w:val="both"/>
      </w:pPr>
      <w:r>
        <w:rPr>
          <w:rFonts w:ascii="Times New Roman"/>
          <w:b w:val="false"/>
          <w:i w:val="false"/>
          <w:color w:val="000000"/>
          <w:sz w:val="28"/>
        </w:rPr>
        <w:t>
      Группа управляет своим капиталом главным образом через управление капиталом своих дочерних организаций и реализуя свои контрольные функции. Главная цель управления капиталом состоит в том, чтобы обеспечить, что дочерние организации Группы будут в состоянии продолжать придерживаться принципа непрерывности деятельности наряду с максимизацией прибыльности для Акционера посредством оптимизации отношения задолженности и капитала.</w:t>
      </w:r>
    </w:p>
    <w:p>
      <w:pPr>
        <w:spacing w:after="0"/>
        <w:ind w:left="0"/>
        <w:jc w:val="both"/>
      </w:pPr>
      <w:r>
        <w:rPr>
          <w:rFonts w:ascii="Times New Roman"/>
          <w:b w:val="false"/>
          <w:i w:val="false"/>
          <w:color w:val="000000"/>
          <w:sz w:val="28"/>
        </w:rPr>
        <w:t>
      Группа управляет капиталом своих дочерних организаций, устанавливая определенные показатели деятельности, разработанные с учетом потребностей бизнеса и специфики деятельности каждой дочерней организации. Основные показатели деятельности, используемые Группой для управления капиталом своих дочерних организаций – это следующие коэффициенты: Долг к Доходу до Учета Процентов, Налогообложения, Износа и Амортизации ("D/EBITDA"); и долг к Капиталу ("D/E"). Долг равняется обязательствам по займам, долговым бумагам, гарантиям и финансовой аренде соответствующих дочерних организаций, уменьшенных на стоимость денежных средств и их эквивалентов. Капитал равняется всему капиталу дочерней организации, относящемуся к доле Акционера материнской компании.</w:t>
      </w:r>
    </w:p>
    <w:p>
      <w:pPr>
        <w:spacing w:after="0"/>
        <w:ind w:left="0"/>
        <w:jc w:val="both"/>
      </w:pPr>
      <w:r>
        <w:rPr>
          <w:rFonts w:ascii="Times New Roman"/>
          <w:b w:val="false"/>
          <w:i w:val="false"/>
          <w:color w:val="000000"/>
          <w:sz w:val="28"/>
        </w:rPr>
        <w:t>
      Разрешенные максимальные показатели одобрены для каждой дочерней организации, на основании потребностей и специфических особенностей ее бизнеса и изменяются в пределах следующих диапазонов (консолидированные основные показатели деятельности для Группы были представлены справочно, так как Группа не контролирует основные показатели деятельности на консолидированном уровне):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5"/>
        <w:gridCol w:w="2992"/>
        <w:gridCol w:w="2993"/>
      </w:tblGrid>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деятельности</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D/EBITDA</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4"/>
        <w:gridCol w:w="3638"/>
        <w:gridCol w:w="3638"/>
      </w:tblGrid>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миллиардах тенге</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 Республики Казахстан</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за приобретение доли участия в СКП</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финансовой аренде</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сумма гарантируемого основного долга по обязательствам компаний, не входящих в Группу Фонда</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8"/>
        <w:gridCol w:w="3481"/>
        <w:gridCol w:w="3481"/>
      </w:tblGrid>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миллиардах тенге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до учета подоходного налога от продолжающейся деятельности</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займам и выпущенным долговым ценным бумагам</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финансовой аренде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истощение и амортизация</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Убыток от обесценения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Группа использует следующую иерархию для определения справедливой стоимости финансовых инструментов и раскрытия информации о ней в разрезе моделей оценки:</w:t>
      </w:r>
    </w:p>
    <w:p>
      <w:pPr>
        <w:spacing w:after="0"/>
        <w:ind w:left="0"/>
        <w:jc w:val="both"/>
      </w:pPr>
      <w:r>
        <w:rPr>
          <w:rFonts w:ascii="Times New Roman"/>
          <w:b w:val="false"/>
          <w:i w:val="false"/>
          <w:color w:val="000000"/>
          <w:sz w:val="28"/>
        </w:rPr>
        <w:t>
      Уровень 1: цены на активных рынках по идентичным активам или обязательствам (без каких-либо корректировок).</w:t>
      </w:r>
    </w:p>
    <w:p>
      <w:pPr>
        <w:spacing w:after="0"/>
        <w:ind w:left="0"/>
        <w:jc w:val="both"/>
      </w:pPr>
      <w:r>
        <w:rPr>
          <w:rFonts w:ascii="Times New Roman"/>
          <w:b w:val="false"/>
          <w:i w:val="false"/>
          <w:color w:val="000000"/>
          <w:sz w:val="28"/>
        </w:rPr>
        <w:t>
      Уровень 2: другие методы, все исходные данные для которых, оказывающие существенное влияние на отражаемую справедливую стоимость, наблюдаются на рынке, либо непосредственно, либо опосредованно.</w:t>
      </w:r>
    </w:p>
    <w:p>
      <w:pPr>
        <w:spacing w:after="0"/>
        <w:ind w:left="0"/>
        <w:jc w:val="both"/>
      </w:pPr>
      <w:r>
        <w:rPr>
          <w:rFonts w:ascii="Times New Roman"/>
          <w:b w:val="false"/>
          <w:i w:val="false"/>
          <w:color w:val="000000"/>
          <w:sz w:val="28"/>
        </w:rPr>
        <w:t>
      Уровень 3: методы, в которых используются исходные данные, оказывающие существенное влияние на отражаемую справедливую стоимость, которые не основываются на наблюдаемой рыночной информации.</w:t>
      </w:r>
    </w:p>
    <w:p>
      <w:pPr>
        <w:spacing w:after="0"/>
        <w:ind w:left="0"/>
        <w:jc w:val="both"/>
      </w:pPr>
      <w:r>
        <w:rPr>
          <w:rFonts w:ascii="Times New Roman"/>
          <w:b w:val="false"/>
          <w:i w:val="false"/>
          <w:color w:val="000000"/>
          <w:sz w:val="28"/>
        </w:rPr>
        <w:t xml:space="preserve">
      Балансовая стоимость финансовых инструментов Группы по состоянию на 31 декабря 2013 и 2012 годов является обоснованным приближением их справедливой стоимости за исключением финансовых инструментов, представленных ниже: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2539"/>
        <w:gridCol w:w="2540"/>
        <w:gridCol w:w="1532"/>
        <w:gridCol w:w="3346"/>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Категории финансовых инструментов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65.001</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учитываемые по справедливой стоимости через прибыли и убытки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активы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обязательства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2563"/>
        <w:gridCol w:w="2564"/>
        <w:gridCol w:w="2214"/>
        <w:gridCol w:w="2917"/>
      </w:tblGrid>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Категории финансовых инструментов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417.486</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учитываемые по справедливой стоимости через прибыли и убытки</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37.256</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ценные бумаги</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активы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50.278</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обязательства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Сверка начального и конечного балансов по Уровню 3 на основе иерархии справедливой стоимости по состоянию на 31 декабря 2013 года представлена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2226"/>
        <w:gridCol w:w="2563"/>
        <w:gridCol w:w="605"/>
        <w:gridCol w:w="1387"/>
        <w:gridCol w:w="2564"/>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учитываемые по справедливой стоимости через прибыли/убытки</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ценные бумаги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активы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 2012 года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прибыль/(убытки), признанная в прибылях и убытках</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прибыль/(убытки), признанная в прочем сосокупном доходе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уровня 1 и уровня 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Реклассификации в прочие активы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2012 года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прибыль/(убытки), признанная в прибылях и убытках</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прибыль/(убытки), признанная в прочем сосокупном доходе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уровня 1 и уровня 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Реклассификации в прочие активы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Переводы в активы классифицированные, как предназначенные для продажи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2013 года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499"/>
        <w:gridCol w:w="2499"/>
        <w:gridCol w:w="2499"/>
        <w:gridCol w:w="2074"/>
        <w:gridCol w:w="2074"/>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0" w:type="auto"/>
            <w:vMerge/>
            <w:tcBorders>
              <w:top w:val="nil"/>
              <w:left w:val="single" w:color="cfcfcf" w:sz="5"/>
              <w:bottom w:val="single" w:color="cfcfcf" w:sz="5"/>
              <w:right w:val="single" w:color="cfcfcf" w:sz="5"/>
            </w:tcBorders>
          </w:tcP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справедливой стоимости с использованием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Котировок на активном рынке (Уровень 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Существенных наблюдаемых исходных данных (Уровень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Существенных ненаблюдаемых исходных данных (Уровень 3)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1.541.964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933.766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549.624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3.974.366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4.019.557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2.945.574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 Республики Казахстан</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268.558</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Справедливая стоимость вышеуказанных финансовых инструментов была рассчитана посредством дисконтирования ожидаемых будущих потоков денежных средств по преобладающим процентным ставкам. </w:t>
      </w:r>
    </w:p>
    <w:bookmarkStart w:name="z215" w:id="215"/>
    <w:p>
      <w:pPr>
        <w:spacing w:after="0"/>
        <w:ind w:left="0"/>
        <w:jc w:val="both"/>
      </w:pPr>
      <w:r>
        <w:rPr>
          <w:rFonts w:ascii="Times New Roman"/>
          <w:b w:val="false"/>
          <w:i w:val="false"/>
          <w:color w:val="000000"/>
          <w:sz w:val="28"/>
        </w:rPr>
        <w:t xml:space="preserve">
      </w:t>
      </w:r>
      <w:r>
        <w:rPr>
          <w:rFonts w:ascii="Times New Roman"/>
          <w:b/>
          <w:i w:val="false"/>
          <w:color w:val="000000"/>
          <w:sz w:val="28"/>
        </w:rPr>
        <w:t>40. ФИНАНСОВЫЕ И УСЛОВНЫЕ ОБЯЗАТЕЛЬСТВА</w:t>
      </w:r>
    </w:p>
    <w:bookmarkEnd w:id="215"/>
    <w:bookmarkStart w:name="z216" w:id="216"/>
    <w:p>
      <w:pPr>
        <w:spacing w:after="0"/>
        <w:ind w:left="0"/>
        <w:jc w:val="both"/>
      </w:pPr>
      <w:r>
        <w:rPr>
          <w:rFonts w:ascii="Times New Roman"/>
          <w:b w:val="false"/>
          <w:i w:val="false"/>
          <w:color w:val="000000"/>
          <w:sz w:val="28"/>
        </w:rPr>
        <w:t xml:space="preserve">
      </w:t>
      </w:r>
      <w:r>
        <w:rPr>
          <w:rFonts w:ascii="Times New Roman"/>
          <w:b/>
          <w:i w:val="false"/>
          <w:color w:val="000000"/>
          <w:sz w:val="28"/>
        </w:rPr>
        <w:t>Судебные разбирательства</w:t>
      </w:r>
    </w:p>
    <w:bookmarkEnd w:id="216"/>
    <w:p>
      <w:pPr>
        <w:spacing w:after="0"/>
        <w:ind w:left="0"/>
        <w:jc w:val="both"/>
      </w:pPr>
      <w:r>
        <w:rPr>
          <w:rFonts w:ascii="Times New Roman"/>
          <w:b w:val="false"/>
          <w:i w:val="false"/>
          <w:color w:val="000000"/>
          <w:sz w:val="28"/>
        </w:rPr>
        <w:t xml:space="preserve">
      </w:t>
      </w:r>
      <w:r>
        <w:rPr>
          <w:rFonts w:ascii="Times New Roman"/>
          <w:b w:val="false"/>
          <w:i/>
          <w:color w:val="000000"/>
          <w:sz w:val="28"/>
        </w:rPr>
        <w:t>БТА Банк</w:t>
      </w:r>
    </w:p>
    <w:p>
      <w:pPr>
        <w:spacing w:after="0"/>
        <w:ind w:left="0"/>
        <w:jc w:val="both"/>
      </w:pPr>
      <w:r>
        <w:rPr>
          <w:rFonts w:ascii="Times New Roman"/>
          <w:b w:val="false"/>
          <w:i w:val="false"/>
          <w:color w:val="000000"/>
          <w:sz w:val="28"/>
        </w:rPr>
        <w:t xml:space="preserve">
      В 2009 году БТА Банк подвергся рейдерским действиям, в результате которых с БТА Банка на основании решения суда взыскана сумма в размере 30.418.143 фунтов стерлингов, а также в счет исполнения данного решения обращено взыскание на акции ЗАО "БТА Банк" (Кыргызстан), принадлежащие БТА Банку, что привело к потере контроля над ЗАО "БТА Банк" (Кыргызстан). </w:t>
      </w:r>
    </w:p>
    <w:p>
      <w:pPr>
        <w:spacing w:after="0"/>
        <w:ind w:left="0"/>
        <w:jc w:val="both"/>
      </w:pPr>
      <w:r>
        <w:rPr>
          <w:rFonts w:ascii="Times New Roman"/>
          <w:b w:val="false"/>
          <w:i w:val="false"/>
          <w:color w:val="000000"/>
          <w:sz w:val="28"/>
        </w:rPr>
        <w:t xml:space="preserve">
      В целях возврата контроля и права собственности над данными акциями БТА Банк подал исковое заявление о признании торгов недействительными, что должно было привести к перерегистрации 71% доли участия в ЗАО "БТА Банк" (Кыргызстан) в пользу БТА Банка. 6 декабря 2012 года решение Бишкекского межрайонного суда о признании торгов недействительными вступило в законную силу. Указанное решение на дату одобрения к выпуску данной консолидированной финансовой отчетности не было исполнено (акции не зарегистрированы за БТА Банком) вследствие длительности судебного разбирательства по отмене имеющихся арестов.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Иски на территории Турции</w:t>
      </w:r>
    </w:p>
    <w:p>
      <w:pPr>
        <w:spacing w:after="0"/>
        <w:ind w:left="0"/>
        <w:jc w:val="both"/>
      </w:pPr>
      <w:r>
        <w:rPr>
          <w:rFonts w:ascii="Times New Roman"/>
          <w:b w:val="false"/>
          <w:i w:val="false"/>
          <w:color w:val="000000"/>
          <w:sz w:val="28"/>
        </w:rPr>
        <w:t xml:space="preserve">
      В соответствии с решением Коммерческого суда Стамбула от 7 февраля 2012 года по требованию Turkiye Vakiflar Bankasi T.A.O. на 101.726.214 акций Sekerbank T.A.S, принадлежащих АО "Дочерняя организация АО "БТА Банк" "БТА секьюритис" (далее "БТА Секьюритис"), наложен предварительный арест с запретом на передачу данных акций третьим лицам. Вопрос о снятии ареста акций, принадлежащих БТА Секьюритис, рассматривался в рамках судебных заседаний 13 мая 2013 года, 11 сентября 2013 года и 5 февраля 2014 года. Рассмотрение дела назначено на 2 июня 2014 года в 39 Коммерческом суде городе Стамбул. </w:t>
      </w:r>
    </w:p>
    <w:p>
      <w:pPr>
        <w:spacing w:after="0"/>
        <w:ind w:left="0"/>
        <w:jc w:val="both"/>
      </w:pPr>
      <w:r>
        <w:rPr>
          <w:rFonts w:ascii="Times New Roman"/>
          <w:b w:val="false"/>
          <w:i w:val="false"/>
          <w:color w:val="000000"/>
          <w:sz w:val="28"/>
        </w:rPr>
        <w:t>
      На дату одобрения к выпуску консолидированной финансовой отчетности Фонда неблагоприятный исход судебного дела не прогнозируется.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Rompetrol Rafinare S.A. (дочерняя организация НК КМГ)</w:t>
      </w:r>
    </w:p>
    <w:p>
      <w:pPr>
        <w:spacing w:after="0"/>
        <w:ind w:left="0"/>
        <w:jc w:val="both"/>
      </w:pPr>
      <w:r>
        <w:rPr>
          <w:rFonts w:ascii="Times New Roman"/>
          <w:b w:val="false"/>
          <w:i w:val="false"/>
          <w:color w:val="000000"/>
          <w:sz w:val="28"/>
        </w:rPr>
        <w:t>
      На 31 декабря 2009 года у НК КМГ, дочерней организации Группы, имелось непогашенное сальдо в размере 3.353 миллионов тенге конвертируемого долгового инструмента, выпущенного крупной дочерней организацией Ромпетрол – Rompetrol Rafinare S.A. в пользу Румынии. Номинальная стоимость обязательств составляет 570,3 миллионов евро. Срок обращения инструмента составлял 7 (семь) лет и истек 30 сентября 2010 года. Справедливая стоимость компонента обязательства на момент первоначального признания была определена как дисконтированные будущие денежные договорные платежи по инструменту. В соответствии с долей владения акциями на 31 декабря 2009 года, Группа потеряла бы контроль над Rompetrol Rafinare S.A., если бы весь долговой инструмент 30 сентября 2010 года был оплачен выпуском новых акций в пользу Румынии, без последующих действий со стороны Ромпетрол и/или Rompetrol Rafinare S.A.</w:t>
      </w:r>
    </w:p>
    <w:p>
      <w:pPr>
        <w:spacing w:after="0"/>
        <w:ind w:left="0"/>
        <w:jc w:val="both"/>
      </w:pPr>
      <w:r>
        <w:rPr>
          <w:rFonts w:ascii="Times New Roman"/>
          <w:b w:val="false"/>
          <w:i w:val="false"/>
          <w:color w:val="000000"/>
          <w:sz w:val="28"/>
        </w:rPr>
        <w:t>
      В течение первого полугодия 2010 года, в целях увеличения своей доли в Rompetrol Rafinare S.A. НК КМГ осуществила открытое предложение по приобретению долей у всех акционеров. В августе 2010 года Rompetrol Rafinare S.A. увеличила свой уставный капитал путем выпуска новых акций на сумму 329,4 миллионов румынских леев (эквивалентно 78 миллионов евро на дату подписки на акции). Ромпетрол подписалось на выпуск новых акций и полностью оплатила данный выпуск, таким образом, увеличив свою долю в Rompetrol Rafinare S.A. В течение августа 2010 года, Rompetrol Rafinare S.A., используя средства, полученные от выпуска акций, погасило 54 миллиона евро (эквивалентно 10.464 миллионам тенге) от общей суммы задолженности в 570,3 миллионов евро по конвертируемому долговому инструменту в пользу Румынии. В сентябре 2010 года Rompetrol Rafinare S.A. выплатило последний купон в размере 17 миллионов евро (эквивалентно 3.315 миллионов тенге), что привело к нулевому сальдо задолженности долгового компонента по конвертируемому долговому инструменту.</w:t>
      </w:r>
    </w:p>
    <w:p>
      <w:pPr>
        <w:spacing w:after="0"/>
        <w:ind w:left="0"/>
        <w:jc w:val="both"/>
      </w:pPr>
      <w:r>
        <w:rPr>
          <w:rFonts w:ascii="Times New Roman"/>
          <w:b w:val="false"/>
          <w:i w:val="false"/>
          <w:color w:val="000000"/>
          <w:sz w:val="28"/>
        </w:rPr>
        <w:t>
      30 сентября 2010 года внеочередное общее собрание акционеров Rompetrol Rafinare S.A утвердило решение о конвертации неоплаченной части конвертируемого долгового инструмента в акции, а также соответствующие увеличение уставного капитала и точное количество акций, причитающихся Румынии по конвертируемому долгу, рассчитанных на основании, обменного курса, действующего на дату конвертации, а также эмиссионный доход, рассчитанный как разница между обменными курсами действительными на 30 сентября 2010 года и на дату выпуска конвертируемого долгового инструмента – 30 сентября 2003 года. В результате, неконтрольная доля участия Румынии составила 44,6959%.</w:t>
      </w:r>
    </w:p>
    <w:p>
      <w:pPr>
        <w:spacing w:after="0"/>
        <w:ind w:left="0"/>
        <w:jc w:val="both"/>
      </w:pPr>
      <w:r>
        <w:rPr>
          <w:rFonts w:ascii="Times New Roman"/>
          <w:b w:val="false"/>
          <w:i w:val="false"/>
          <w:color w:val="000000"/>
          <w:sz w:val="28"/>
        </w:rPr>
        <w:t>
      В результате данных операций нераспределенная прибыль уменьшилась на 113.467 миллионов тенге, а неконтрольная доля участия увеличилась на 103.003 миллиона тенге в 2010 году.</w:t>
      </w:r>
    </w:p>
    <w:p>
      <w:pPr>
        <w:spacing w:after="0"/>
        <w:ind w:left="0"/>
        <w:jc w:val="both"/>
      </w:pPr>
      <w:r>
        <w:rPr>
          <w:rFonts w:ascii="Times New Roman"/>
          <w:b w:val="false"/>
          <w:i w:val="false"/>
          <w:color w:val="000000"/>
          <w:sz w:val="28"/>
        </w:rPr>
        <w:t xml:space="preserve">
      В 2010 году Румынское Правительство, в лице Министерства финансов Румынии инициировало судебный иск против решения Rompetrol Rafinare S.A. об увеличении уставного капитала и решения о погашении конвертируемого долгового инструмента частично деньгами, частично выпуском акций. </w:t>
      </w:r>
    </w:p>
    <w:p>
      <w:pPr>
        <w:spacing w:after="0"/>
        <w:ind w:left="0"/>
        <w:jc w:val="both"/>
      </w:pPr>
      <w:r>
        <w:rPr>
          <w:rFonts w:ascii="Times New Roman"/>
          <w:b w:val="false"/>
          <w:i w:val="false"/>
          <w:color w:val="000000"/>
          <w:sz w:val="28"/>
        </w:rPr>
        <w:t xml:space="preserve">
      Трибунал г. Констанца отклонил просьбу Румынского Правительства: (а) ввиду некоторых из причин аннулирования, учитывая, что Румынское Правительство не имеет возможности предстать перед судом, утверждая, что не имеет возможности акционера, когда такие акты были приняты, и (б) ввиду некоторых из причин аннулирования, учитывая, что они были не обоснованы. </w:t>
      </w:r>
    </w:p>
    <w:p>
      <w:pPr>
        <w:spacing w:after="0"/>
        <w:ind w:left="0"/>
        <w:jc w:val="both"/>
      </w:pPr>
      <w:r>
        <w:rPr>
          <w:rFonts w:ascii="Times New Roman"/>
          <w:b w:val="false"/>
          <w:i w:val="false"/>
          <w:color w:val="000000"/>
          <w:sz w:val="28"/>
        </w:rPr>
        <w:t>
      Более того, 17 ноября 2010 года Министерство финансов Румынии издало указ на сумму 2.205.592.436 румынских леев (для целей представления 516,3 миллионов евро, в тенге по курсу на 31 декабря 2010 года – 100.797 миллионов тенге), как результат несогласия властей Румынии с решением НК КМГ о частичном погашении инструмента выпуском акций. Rompetrol Rafinare S.A. подало жалобу с прошением об отмене данного указа. В июне 2012 года слушание дела было приостановлено и может быть возобновлено в течении одного года до 6 июня 2013 года.</w:t>
      </w:r>
    </w:p>
    <w:p>
      <w:pPr>
        <w:spacing w:after="0"/>
        <w:ind w:left="0"/>
        <w:jc w:val="both"/>
      </w:pPr>
      <w:r>
        <w:rPr>
          <w:rFonts w:ascii="Times New Roman"/>
          <w:b w:val="false"/>
          <w:i w:val="false"/>
          <w:color w:val="000000"/>
          <w:sz w:val="28"/>
        </w:rPr>
        <w:t xml:space="preserve">
      Также, 10 сентября 2010 года власти Румынии, в лице Министерства финансов и АГСП издали указ о предупредительном наложении ареста на все доли участия Rompetrol Rafinare S.A. в зависимых организациях, а также о наложении ареста на движимое и недвижимое имущество Rompetrol Rafinare S.A., за исключением товарно-материальных запасов. Данный указ находится в действии, и НК КМГ пытается оспорить правомерность данного указа. На дату одобрения к выпуску данной консолидированной финансовой отчетности арест имущества не был осуществлен, так как румынские власти не инициировали принудительных процедур по взысканию. </w:t>
      </w:r>
    </w:p>
    <w:p>
      <w:pPr>
        <w:spacing w:after="0"/>
        <w:ind w:left="0"/>
        <w:jc w:val="both"/>
      </w:pPr>
      <w:r>
        <w:rPr>
          <w:rFonts w:ascii="Times New Roman"/>
          <w:b w:val="false"/>
          <w:i w:val="false"/>
          <w:color w:val="000000"/>
          <w:sz w:val="28"/>
        </w:rPr>
        <w:t xml:space="preserve">
      Руководство НК КМГ считает, что исполнение указа о наложении ареста властями Румынии не является осуществимым. </w:t>
      </w:r>
    </w:p>
    <w:p>
      <w:pPr>
        <w:spacing w:after="0"/>
        <w:ind w:left="0"/>
        <w:jc w:val="both"/>
      </w:pPr>
      <w:r>
        <w:rPr>
          <w:rFonts w:ascii="Times New Roman"/>
          <w:b w:val="false"/>
          <w:i w:val="false"/>
          <w:color w:val="000000"/>
          <w:sz w:val="28"/>
        </w:rPr>
        <w:t>
      15 февраля 2013 года Rompetrol Rafinare S.A. и Агентство государственной собственности и приватизации (далее "АГСП"), представляющее интересы румынского государства, подписали меморандум о взаимопонимании (далее "Меморандум"), в котором стороны договорились о прекращении разбирательств по вопросу конвертируемых долговых инструментов.</w:t>
      </w:r>
    </w:p>
    <w:p>
      <w:pPr>
        <w:spacing w:after="0"/>
        <w:ind w:left="0"/>
        <w:jc w:val="both"/>
      </w:pPr>
      <w:r>
        <w:rPr>
          <w:rFonts w:ascii="Times New Roman"/>
          <w:b w:val="false"/>
          <w:i w:val="false"/>
          <w:color w:val="000000"/>
          <w:sz w:val="28"/>
        </w:rPr>
        <w:t>
      22 января 2014 года, меморандум был утвержден решением Правительства № 35/2014, в результате Министерство финансов Румынии было назначено провести все процедуры, необходимые для отзыва исков и прекращения всех разбирательств. Меморандум включает следующие основные пункты:</w:t>
      </w:r>
    </w:p>
    <w:p>
      <w:pPr>
        <w:spacing w:after="0"/>
        <w:ind w:left="0"/>
        <w:jc w:val="both"/>
      </w:pPr>
      <w:r>
        <w:rPr>
          <w:rFonts w:ascii="Times New Roman"/>
          <w:b w:val="false"/>
          <w:i w:val="false"/>
          <w:color w:val="000000"/>
          <w:sz w:val="28"/>
        </w:rPr>
        <w:t>
      - АГСП реализует, а Rompetrol Rafinare S.A. приобретет акции Rompetrol Rafinare S.A. в размере 26,6959%, принадлежащие АГСП, за денежное вознаграждение в размере 200 миллионов долларов США;</w:t>
      </w:r>
    </w:p>
    <w:p>
      <w:pPr>
        <w:spacing w:after="0"/>
        <w:ind w:left="0"/>
        <w:jc w:val="both"/>
      </w:pPr>
      <w:r>
        <w:rPr>
          <w:rFonts w:ascii="Times New Roman"/>
          <w:b w:val="false"/>
          <w:i w:val="false"/>
          <w:color w:val="000000"/>
          <w:sz w:val="28"/>
        </w:rPr>
        <w:t>
      - Ромпетрол рассмотрит возможности инвестирования до 1 миллиарда долларов США в энергетические проекты, связанные с его основной деятельностью в течении 7 (семи) лет;</w:t>
      </w:r>
    </w:p>
    <w:p>
      <w:pPr>
        <w:spacing w:after="0"/>
        <w:ind w:left="0"/>
        <w:jc w:val="both"/>
      </w:pPr>
      <w:r>
        <w:rPr>
          <w:rFonts w:ascii="Times New Roman"/>
          <w:b w:val="false"/>
          <w:i w:val="false"/>
          <w:color w:val="000000"/>
          <w:sz w:val="28"/>
        </w:rPr>
        <w:t>
      - Министерство финансов Румынии обязуется отозвать все иски в отношении решения общего собрания акционеров Rompetrol Rafinare S.A., касающихся конвертируемых долговых инструментов и отменит указ о предупредительном наложении ареста на все доли участия Rompetrol Rafinare S.A.</w:t>
      </w:r>
    </w:p>
    <w:p>
      <w:pPr>
        <w:spacing w:after="0"/>
        <w:ind w:left="0"/>
        <w:jc w:val="both"/>
      </w:pPr>
      <w:r>
        <w:rPr>
          <w:rFonts w:ascii="Times New Roman"/>
          <w:b w:val="false"/>
          <w:i w:val="false"/>
          <w:color w:val="000000"/>
          <w:sz w:val="28"/>
        </w:rPr>
        <w:t>
      В результате заседания, состоявшегося 24 марта 2014 года, судебное разбирательство было прекращено после того, как Министерство финансов Румынии отозвало все вышеперечисленные иски.</w:t>
      </w:r>
    </w:p>
    <w:bookmarkStart w:name="z217" w:id="217"/>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обязательства</w:t>
      </w:r>
    </w:p>
    <w:bookmarkEnd w:id="217"/>
    <w:p>
      <w:pPr>
        <w:spacing w:after="0"/>
        <w:ind w:left="0"/>
        <w:jc w:val="both"/>
      </w:pPr>
      <w:r>
        <w:rPr>
          <w:rFonts w:ascii="Times New Roman"/>
          <w:b w:val="false"/>
          <w:i w:val="false"/>
          <w:color w:val="000000"/>
          <w:sz w:val="28"/>
        </w:rPr>
        <w:t xml:space="preserve">
      Законодательство по защите окружающей среды в Казахстане находится в процессе развития и поэтому подвержено постоянным изменениям. Штрафы за нарушение законодательства Республики Казахстан в области охраны окружающей среды могут быть весьма суровы. Потенциальные обязательства, которые могут возникнуть в результате более строгой интерпретации существующих положений, гражданских исков или изменений в законодательстве не могут быть достоверно оценены. Помимо тех сумм, по которым были сформированы резервы </w:t>
      </w:r>
      <w:r>
        <w:rPr>
          <w:rFonts w:ascii="Times New Roman"/>
          <w:b w:val="false"/>
          <w:i/>
          <w:color w:val="000000"/>
          <w:sz w:val="28"/>
        </w:rPr>
        <w:t>(Примечание 22)</w:t>
      </w:r>
      <w:r>
        <w:rPr>
          <w:rFonts w:ascii="Times New Roman"/>
          <w:b w:val="false"/>
          <w:i w:val="false"/>
          <w:color w:val="000000"/>
          <w:sz w:val="28"/>
        </w:rPr>
        <w:t>, руководство считает, что не существует вероятных либо возможных экологических обязательств, которые могут оказать существенное отрицательное влияние на консолидированный бухгалтерский баланс Группы, консолидированный отчет о совокупном доходе и консолидированный отчет о движении денежных средств.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Экологическая проверка АО "Озенмунайгаз" 2011-2012 (РД КМГ)</w:t>
      </w:r>
    </w:p>
    <w:p>
      <w:pPr>
        <w:spacing w:after="0"/>
        <w:ind w:left="0"/>
        <w:jc w:val="both"/>
      </w:pPr>
      <w:r>
        <w:rPr>
          <w:rFonts w:ascii="Times New Roman"/>
          <w:b w:val="false"/>
          <w:i w:val="false"/>
          <w:color w:val="000000"/>
          <w:sz w:val="28"/>
        </w:rPr>
        <w:t xml:space="preserve">
      25 января 2013 года в АО "Озенмунайгаз" (далее "ОМГ") поступило уведомление от Департамента экологии Мангистауской области об уплате штрафа в государственный бюджет в размере 59.345 миллионов тенге за экологический ущерб. Общая сумма ущерба была установлена по результатам проверки за период с августа 2011 года по ноябрь 2012 года. ОМГ не согласилось с вышеуказанным уведомлением и 26 февраля 2013 года обратилось в Специализированный межрайонный экономический суд Мангистауской области с заявлением о признании акта незаконным и расчетов недостоверными. 7 марта 2013 года Департамент экологии Мангистауской области также подал исковое заявление о принудительном взыскании ущерба в тот же суд. </w:t>
      </w:r>
    </w:p>
    <w:p>
      <w:pPr>
        <w:spacing w:after="0"/>
        <w:ind w:left="0"/>
        <w:jc w:val="both"/>
      </w:pPr>
      <w:r>
        <w:rPr>
          <w:rFonts w:ascii="Times New Roman"/>
          <w:b w:val="false"/>
          <w:i w:val="false"/>
          <w:color w:val="000000"/>
          <w:sz w:val="28"/>
        </w:rPr>
        <w:t xml:space="preserve">
      22 мая 2013 года суд удовлетворил кассационную жалобу ОМГ в полном объеме и отклонил иск Департамента экологии Мангистауской области о принудительной выплате штрафа. 6 июня 2013 года Департамент экологии Мангистауской области подал аппеляцию в Аппеляционную судебную коллегию по гражданским и административным делам Мангистауского областного суда. 9 июля 2013 года данная апелляция была отклонена Апелляционной судебной коллегией. 23 декабря 2013 года Департамент экологии Мангистауской области подал жалобу в кассационную судебную коллегию Мангистауского областного суда. 12 февраля 2014 года данная жалоба была отклонена кассационной судебной коллегией Мангистауского областного суда. РД КМГ ожидает, что Департамент экологии Мангистауской области подаст последующую аппеляцию в Верховный суд Республики Казахстан. </w:t>
      </w:r>
    </w:p>
    <w:p>
      <w:pPr>
        <w:spacing w:after="0"/>
        <w:ind w:left="0"/>
        <w:jc w:val="both"/>
      </w:pPr>
      <w:r>
        <w:rPr>
          <w:rFonts w:ascii="Times New Roman"/>
          <w:b w:val="false"/>
          <w:i w:val="false"/>
          <w:color w:val="000000"/>
          <w:sz w:val="28"/>
        </w:rPr>
        <w:t xml:space="preserve">
      Руководство НК КМГ считает, что ОМГ имеет сильные доводы по этому вопросу, так как проверка была проведена с нарушениями законодательства Республики Казахстан в отношении процедуры инспекционного процесса, и Департамент экологии по Мангистауской области не имеет надежных доказательств, подтверждающих ущерб окружающей среде, в соответствии с требованиями гражданского процессуального и экологического кодекса Республики Казахстан. </w:t>
      </w:r>
    </w:p>
    <w:p>
      <w:pPr>
        <w:spacing w:after="0"/>
        <w:ind w:left="0"/>
        <w:jc w:val="both"/>
      </w:pPr>
      <w:r>
        <w:rPr>
          <w:rFonts w:ascii="Times New Roman"/>
          <w:b w:val="false"/>
          <w:i w:val="false"/>
          <w:color w:val="000000"/>
          <w:sz w:val="28"/>
        </w:rPr>
        <w:t>
      НК КМГ считает, что ОМГ будет продолжать успешно обжаловать результаты проверки и требование об уплате ущерба, нанесенного окружающей среде, и вследствие чего начисление резервов по данному вопросу не производилось по состоянию на 31 декабря 2013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Экологическая проверка АО "Озенмунайгаз" 2012-2013 (РД КМГ)</w:t>
      </w:r>
    </w:p>
    <w:p>
      <w:pPr>
        <w:spacing w:after="0"/>
        <w:ind w:left="0"/>
        <w:jc w:val="both"/>
      </w:pPr>
      <w:r>
        <w:rPr>
          <w:rFonts w:ascii="Times New Roman"/>
          <w:b w:val="false"/>
          <w:i w:val="false"/>
          <w:color w:val="000000"/>
          <w:sz w:val="28"/>
        </w:rPr>
        <w:t xml:space="preserve">
      24 января 2014 года ОМГ получило уведомление от Департамента экологии Мангистауской области об уплате штрафа в размере 213 миллиардов тенге за экологический ущерб. Итоговая сумма была определена по результатам проверки, которая охватывала период с 2012 по 2013 годы. </w:t>
      </w:r>
    </w:p>
    <w:p>
      <w:pPr>
        <w:spacing w:after="0"/>
        <w:ind w:left="0"/>
        <w:jc w:val="both"/>
      </w:pPr>
      <w:r>
        <w:rPr>
          <w:rFonts w:ascii="Times New Roman"/>
          <w:b w:val="false"/>
          <w:i w:val="false"/>
          <w:color w:val="000000"/>
          <w:sz w:val="28"/>
        </w:rPr>
        <w:t>
      7 февраля 2014 года ОМГ подала жалобу в судебном порядке на отмену данного штрафа, и определением Специализированного административного суда г. Актау от 21 февраля 2014 года жалоба была удовлетворена в полном объеме в пользу ОМГ. Данное определение суда в апелляционном и кассационном порядке обжалованию не подлежит, но может быть опротестовано прокурором.</w:t>
      </w:r>
    </w:p>
    <w:p>
      <w:pPr>
        <w:spacing w:after="0"/>
        <w:ind w:left="0"/>
        <w:jc w:val="both"/>
      </w:pPr>
      <w:r>
        <w:rPr>
          <w:rFonts w:ascii="Times New Roman"/>
          <w:b w:val="false"/>
          <w:i w:val="false"/>
          <w:color w:val="000000"/>
          <w:sz w:val="28"/>
        </w:rPr>
        <w:t>
      Кроме того, 14 февраля 2014 года Департаментом экологии по Мангистауской области предъявлена претензия ОМГ по возмещению ущерба окружающей среде на сумму 327.900 миллионов тенге. Ранее предъявленная и признанная незаконной судебными органами сумма ущерба в размере 59.345 миллионов тенге была связана с теми же нарушениями.</w:t>
      </w:r>
    </w:p>
    <w:p>
      <w:pPr>
        <w:spacing w:after="0"/>
        <w:ind w:left="0"/>
        <w:jc w:val="both"/>
      </w:pPr>
      <w:r>
        <w:rPr>
          <w:rFonts w:ascii="Times New Roman"/>
          <w:b w:val="false"/>
          <w:i w:val="false"/>
          <w:color w:val="000000"/>
          <w:sz w:val="28"/>
        </w:rPr>
        <w:t xml:space="preserve">
      ОМГ были предприняты соответствующие действия по обжалованию данной претензии. Решением Специализированного межрайонного экономического суда Мангистауской области от 6 марта 2014 года вышеуказанный акт был признан незаконным. </w:t>
      </w:r>
    </w:p>
    <w:p>
      <w:pPr>
        <w:spacing w:after="0"/>
        <w:ind w:left="0"/>
        <w:jc w:val="both"/>
      </w:pPr>
      <w:r>
        <w:rPr>
          <w:rFonts w:ascii="Times New Roman"/>
          <w:b w:val="false"/>
          <w:i w:val="false"/>
          <w:color w:val="000000"/>
          <w:sz w:val="28"/>
        </w:rPr>
        <w:t>
      Учитывая положительные результаты обжалования до настоящего дня, руководство НК КМГ считает, что сможет успешно отстаивать свою позицию и в других судебных инстанциях. Соответственно, Группа не производила начисление резервов по данным вопросам в консолидированной финансовой отчетности по состоянию на 31 декабря 2013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Экологическая проверка АО "Эмбамунайгаз" (РД КМГ)</w:t>
      </w:r>
    </w:p>
    <w:p>
      <w:pPr>
        <w:spacing w:after="0"/>
        <w:ind w:left="0"/>
        <w:jc w:val="both"/>
      </w:pPr>
      <w:r>
        <w:rPr>
          <w:rFonts w:ascii="Times New Roman"/>
          <w:b w:val="false"/>
          <w:i w:val="false"/>
          <w:color w:val="000000"/>
          <w:sz w:val="28"/>
        </w:rPr>
        <w:t xml:space="preserve">
      В июле 2013 года Департамент экологии Атырауской области провел проверку, для определения того соответствует ли производственная деятельность АО "Эмбамунайгаз" (далее "ЭМГ") экологическим требованиям, в том числе требованиям по утилизации попутного газа. Департамент экологии Атырауской области установил, что утилизация газа на трех месторождениях ЭМГ не соответствует утвержденным планам технологической разработки. </w:t>
      </w:r>
    </w:p>
    <w:p>
      <w:pPr>
        <w:spacing w:after="0"/>
        <w:ind w:left="0"/>
        <w:jc w:val="both"/>
      </w:pPr>
      <w:r>
        <w:rPr>
          <w:rFonts w:ascii="Times New Roman"/>
          <w:b w:val="false"/>
          <w:i w:val="false"/>
          <w:color w:val="000000"/>
          <w:sz w:val="28"/>
        </w:rPr>
        <w:t>
      24 сентября 2013 года Специализированный межрайонный экономический суд Атырауской области решил приостановить промышленную разработку данных трех месторождений до устранения нарушений экологических требований и получения положительного заключения государственной экологической экспертизы. 21 октября 2013 года ЭМГ обратилось в Атырауский областной суд с апелляционной жалобой об отмене данного решения. 21 ноября 2013 года ЭМГ получило положительное заключение государственной экологической проверки от Комитета экологического регулирования и контроля Министерства окружающей среды и водных ресурсов Республики Казахстан и 10 декабря 2013 года от Департамента экологии Атырауской области. В результате, судебное разбирательство по этому делу прекращено.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"Эмбамунайгаз", сжигание газа в факелах (РД КМГ)</w:t>
      </w:r>
    </w:p>
    <w:p>
      <w:pPr>
        <w:spacing w:after="0"/>
        <w:ind w:left="0"/>
        <w:jc w:val="both"/>
      </w:pPr>
      <w:r>
        <w:rPr>
          <w:rFonts w:ascii="Times New Roman"/>
          <w:b w:val="false"/>
          <w:i w:val="false"/>
          <w:color w:val="000000"/>
          <w:sz w:val="28"/>
        </w:rPr>
        <w:t xml:space="preserve">
      23 января 2014 года ЭМГ получило уведомление от Департамента экологии Атырауской области об уплате штрафа в размере 37.150 миллионов тенге за экологический ущерб, вызванный нарушениями экологического законодательства, в том числе сжигание попутного газа в факелах. Итоговая сумма была определена по результатам проверки, которая охватывала период c 2008 по 2013 годы. </w:t>
      </w:r>
    </w:p>
    <w:p>
      <w:pPr>
        <w:spacing w:after="0"/>
        <w:ind w:left="0"/>
        <w:jc w:val="both"/>
      </w:pPr>
      <w:r>
        <w:rPr>
          <w:rFonts w:ascii="Times New Roman"/>
          <w:b w:val="false"/>
          <w:i w:val="false"/>
          <w:color w:val="000000"/>
          <w:sz w:val="28"/>
        </w:rPr>
        <w:t>
      ЭМГ и НК КМГ не согласны с вышеуказанным предписанием и на сегодняшний день предпринимает соответствующие мероприятия по обжалованию данного уведомления со стороны Департамента экологии Атырауской области. Руководство НК КМГ считает, что успешно обжалует требование об уплате ущерба, нанесенного окружающей среде, вследствие чего, начисление резервов по данному вопросу не производилось по состоянию на 31 декабря 2013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Экологическая проверка Кашаган (КМГ Кашаган Б.В.)</w:t>
      </w:r>
    </w:p>
    <w:p>
      <w:pPr>
        <w:spacing w:after="0"/>
        <w:ind w:left="0"/>
        <w:jc w:val="both"/>
      </w:pPr>
      <w:r>
        <w:rPr>
          <w:rFonts w:ascii="Times New Roman"/>
          <w:b w:val="false"/>
          <w:i w:val="false"/>
          <w:color w:val="000000"/>
          <w:sz w:val="28"/>
        </w:rPr>
        <w:t>
      В отношении компании NCOC, Оператора Северо-Каспийского проекта, и его агента – компании Аджип ККО, в период с 12 сентября 2013 года по 7 февраля 2014 года Департаментом экологии Атырауской области была проведена проверка по вопросу соблюдения экологического законодательства. По итогам проверки были выпущены акты и протоколы о нарушении экологического законодательства, а также предписания о возмещении экологической оценки ущерба от загрязнения атмосферы выбросами загрязняющих веществ на общую сумму 134.300 миллионов тенге (доля Группы составляет 22.700 миллионов тенге).</w:t>
      </w:r>
    </w:p>
    <w:p>
      <w:pPr>
        <w:spacing w:after="0"/>
        <w:ind w:left="0"/>
        <w:jc w:val="both"/>
      </w:pPr>
      <w:r>
        <w:rPr>
          <w:rFonts w:ascii="Times New Roman"/>
          <w:b w:val="false"/>
          <w:i w:val="false"/>
          <w:color w:val="000000"/>
          <w:sz w:val="28"/>
        </w:rPr>
        <w:t>
      Руководство Оператора Северо-Каспийского проекта и Аджип ККО не согласны с выводами проверяющего органа, изложенными в актах, и намерены оспорить предъявленные суммы в полном объеме во всех надлежащих инстанциях, поскольку считают, что сжигание газа и эмиссии в окружающую среду были произведены в рамках и на условиях имеющихся разрешений государственных органов. Руководство НК КМГ поддерживает позицию Оператора Северо-Каспийского проекта и Аджип ККО и оценивает риск по данному вопросу как возможный, вследствие этого, начисление резервов по данному вопросу не производилось по состоянию на 31 декабря 2013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Экологическая проверка ТОО "Атырауский нефтеперерабатывающий завод"</w:t>
      </w:r>
    </w:p>
    <w:p>
      <w:pPr>
        <w:spacing w:after="0"/>
        <w:ind w:left="0"/>
        <w:jc w:val="both"/>
      </w:pPr>
      <w:r>
        <w:rPr>
          <w:rFonts w:ascii="Times New Roman"/>
          <w:b w:val="false"/>
          <w:i w:val="false"/>
          <w:color w:val="000000"/>
          <w:sz w:val="28"/>
        </w:rPr>
        <w:t>
      5 марта 2014 года Департамент экологии Атырауской области выпустил предписания в отношении ТОО "Атырауский нефтеперерабатывающий завод" (далее "АНПЗ") о возмещении ущерба окружающей среде на сумму 23.700 миллионов тенге. Департаментом экологии по Атырауской области и областной прокуратурой была проведена совместная проверка АНПЗ, в ходе которой был выявлен факт сжигания 693.753 кубометров сырого газа без разрешения регулирующих органов. В результате проверки, АНПЗ обязали выплатить штраф за экологический ущерб, причиненный в результате несанкционированного сжигания газа.</w:t>
      </w:r>
    </w:p>
    <w:p>
      <w:pPr>
        <w:spacing w:after="0"/>
        <w:ind w:left="0"/>
        <w:jc w:val="both"/>
      </w:pPr>
      <w:r>
        <w:rPr>
          <w:rFonts w:ascii="Times New Roman"/>
          <w:b w:val="false"/>
          <w:i w:val="false"/>
          <w:color w:val="000000"/>
          <w:sz w:val="28"/>
        </w:rPr>
        <w:t>
      Руководство НК КМГ считает, что требование Департамента экологии было наложено в результате использования в расчете несоответствующих данных. НК КМГ находится в процессе привлечения местных и иностранных экспертов для проведения независимой экспертизы. Руководство НК КМГ считает, что успешно обжалует предписание и оценивает риск, связанный с этим вопросом как возможный, вследствие чего начисление резервов по данному вопросу не производилось по состоянию на 31 декабря 2013 года.</w:t>
      </w:r>
    </w:p>
    <w:bookmarkStart w:name="z218" w:id="218"/>
    <w:p>
      <w:pPr>
        <w:spacing w:after="0"/>
        <w:ind w:left="0"/>
        <w:jc w:val="both"/>
      </w:pPr>
      <w:r>
        <w:rPr>
          <w:rFonts w:ascii="Times New Roman"/>
          <w:b w:val="false"/>
          <w:i w:val="false"/>
          <w:color w:val="000000"/>
          <w:sz w:val="28"/>
        </w:rPr>
        <w:t xml:space="preserve">
      </w:t>
      </w:r>
      <w:r>
        <w:rPr>
          <w:rFonts w:ascii="Times New Roman"/>
          <w:b/>
          <w:i w:val="false"/>
          <w:color w:val="000000"/>
          <w:sz w:val="28"/>
        </w:rPr>
        <w:t>Риск изменения цен на товары</w:t>
      </w:r>
    </w:p>
    <w:bookmarkEnd w:id="218"/>
    <w:p>
      <w:pPr>
        <w:spacing w:after="0"/>
        <w:ind w:left="0"/>
        <w:jc w:val="both"/>
      </w:pPr>
      <w:r>
        <w:rPr>
          <w:rFonts w:ascii="Times New Roman"/>
          <w:b w:val="false"/>
          <w:i w:val="false"/>
          <w:color w:val="000000"/>
          <w:sz w:val="28"/>
        </w:rPr>
        <w:t>
      Значительная часть доходов Группы генерируется от продажи товаров, в основном, сырой нефти и нефтепродуктов. Исторически, цены на данные продукты были непостоянными и значительно менялись в ответ на изменения в предложении и спросе, рыночную неопределенность, деятельность мировой и региональной экономики и цикличности в индустриях.</w:t>
      </w:r>
    </w:p>
    <w:p>
      <w:pPr>
        <w:spacing w:after="0"/>
        <w:ind w:left="0"/>
        <w:jc w:val="both"/>
      </w:pPr>
      <w:r>
        <w:rPr>
          <w:rFonts w:ascii="Times New Roman"/>
          <w:b w:val="false"/>
          <w:i w:val="false"/>
          <w:color w:val="000000"/>
          <w:sz w:val="28"/>
        </w:rPr>
        <w:t>
      Цены также подвержены влиянию действий правительства, включая наложение тарифов и импортных пошлин, биржевой спекуляции, увеличении в возможности или избыточного снабжения продуктов Группы на основные рынки. Эти внешние факторы и изменения на рынках осложняют оценку будущих цен.</w:t>
      </w:r>
    </w:p>
    <w:p>
      <w:pPr>
        <w:spacing w:after="0"/>
        <w:ind w:left="0"/>
        <w:jc w:val="both"/>
      </w:pPr>
      <w:r>
        <w:rPr>
          <w:rFonts w:ascii="Times New Roman"/>
          <w:b w:val="false"/>
          <w:i w:val="false"/>
          <w:color w:val="000000"/>
          <w:sz w:val="28"/>
        </w:rPr>
        <w:t>
      Существенное или затянувшееся снижение в ценах на товары может отрицательно повлиять на деятельность Группы, финансовые результаты и денежные потоки от операций. Группа не хеджирует значительно свою подверженность риску изменения цен на товары.</w:t>
      </w:r>
    </w:p>
    <w:bookmarkStart w:name="z219" w:id="219"/>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Налогообложение</w:t>
      </w:r>
    </w:p>
    <w:bookmarkEnd w:id="219"/>
    <w:p>
      <w:pPr>
        <w:spacing w:after="0"/>
        <w:ind w:left="0"/>
        <w:jc w:val="both"/>
      </w:pPr>
      <w:r>
        <w:rPr>
          <w:rFonts w:ascii="Times New Roman"/>
          <w:b w:val="false"/>
          <w:i w:val="false"/>
          <w:color w:val="000000"/>
          <w:sz w:val="28"/>
        </w:rPr>
        <w:t>
      Казахстанское налоговое законодательство и нормативно-правовые акты являются предметом постоянных изменений и различных толкований. Нередки случаи расхождения во мнениях между местными, региональными и республиканскими налоговыми органами. Применяемая в настоящее время система штрафов и пени за выявленные правонарушения на основании действующих в Казахстане законов, весьма сурова. Штрафные санкции включают в себя штрафы, как правило, в размере 50% от суммы дополнительно начисленных налогов, и пеню, начисленную по ставке рефинансирования, установленной Национальным Банком Республики Казахстан, умноженной на 2,5. В результате, сумма штрафных санкций и пени может в несколько раз превышать суммы подлежащих доначислению налогов. Финансовые периоды остаются открытыми для проверки налоговыми органами в течение 5 (пяти) календарных лет, предшествующих году, в котором проводится проверка. При определенных обстоятельствах налоговые проверки могут охватывать более длительные периоды. Ввиду вышеизложенного, окончательная сумма налогов, штрафных санкций и пени, если таковые имеются, может превысить сумму, отнесенную на расходы по настоящее время и начисленную на 31 декабря 2013 года.</w:t>
      </w:r>
    </w:p>
    <w:p>
      <w:pPr>
        <w:spacing w:after="0"/>
        <w:ind w:left="0"/>
        <w:jc w:val="both"/>
      </w:pPr>
      <w:r>
        <w:rPr>
          <w:rFonts w:ascii="Times New Roman"/>
          <w:b w:val="false"/>
          <w:i w:val="false"/>
          <w:color w:val="000000"/>
          <w:sz w:val="28"/>
        </w:rPr>
        <w:t xml:space="preserve">
      Руководство считает, что по состоянию на 31 декабря 2013 года его толкование применимого законодательства является соответствующим и существует вероятность того, что позиция Группы по налогам будет подтверждена, кроме случаев, когда резервы начислены в настоящей консолидированной финансовой отчетности </w:t>
      </w:r>
      <w:r>
        <w:rPr>
          <w:rFonts w:ascii="Times New Roman"/>
          <w:b w:val="false"/>
          <w:i/>
          <w:color w:val="000000"/>
          <w:sz w:val="28"/>
        </w:rPr>
        <w:t>(Примечание 22)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Провизии в отношении активов, размещенных в АО "БТА Банк"</w:t>
      </w:r>
    </w:p>
    <w:p>
      <w:pPr>
        <w:spacing w:after="0"/>
        <w:ind w:left="0"/>
        <w:jc w:val="both"/>
      </w:pPr>
      <w:r>
        <w:rPr>
          <w:rFonts w:ascii="Times New Roman"/>
          <w:b w:val="false"/>
          <w:i w:val="false"/>
          <w:color w:val="000000"/>
          <w:sz w:val="28"/>
        </w:rPr>
        <w:t>
      В сентябре 2010 года Налоговый Комитет по г. Астана осуществил комплексную налоговую проверку деятельности Фонда за 2009 год. В ходе налоговой проверки налоговые органы подняли вопрос о правомочности вычитания провизий для целей расчета корпоративного подоходного налога за 2009 год. Фонд с результатами налоговой проверки не согласился, на дату выпуска консолидированной финансовой отчетности обжалование направлено в Налоговый комитет Министерства Финансов Республики Казахстан.</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2275 от 30 декабря 2009 года были утверждены Правила "отнесения активов и условных обязательств к категории сомнительных и безнадежных национальным управляющим холдингом, а также юридическими лицами,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имеющих право на вычет суммы расходов по созданию провизий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лиц либо третьим лицам по обязательствам взаимосвязанных лиц (кроме активов и условных обязательств кредитных товариществ) (далее "Правила"). </w:t>
      </w:r>
    </w:p>
    <w:p>
      <w:pPr>
        <w:spacing w:after="0"/>
        <w:ind w:left="0"/>
        <w:jc w:val="both"/>
      </w:pPr>
      <w:r>
        <w:rPr>
          <w:rFonts w:ascii="Times New Roman"/>
          <w:b w:val="false"/>
          <w:i w:val="false"/>
          <w:color w:val="000000"/>
          <w:sz w:val="28"/>
        </w:rPr>
        <w:t>
      В соответствии с Правилами, Фонд признал и отнес на вычеты для целей расчета корпоративного подоходного налога провизии в отношении активов, размещенных в АО "БТА Банк", на сумму 177.352 миллиона тенге (далее "Провизии").</w:t>
      </w:r>
    </w:p>
    <w:p>
      <w:pPr>
        <w:spacing w:after="0"/>
        <w:ind w:left="0"/>
        <w:jc w:val="both"/>
      </w:pPr>
      <w:r>
        <w:rPr>
          <w:rFonts w:ascii="Times New Roman"/>
          <w:b w:val="false"/>
          <w:i w:val="false"/>
          <w:color w:val="000000"/>
          <w:sz w:val="28"/>
        </w:rPr>
        <w:t>
      Руководство Фонда считает, что по состоянию на 31 декабря 2013 года его толкование применимого законодательства (включая Правила) является соответствующим и позиция Фонда в отношении отнесения на вычеты данных провизий будет подтверждена. Соответственно, в данной консолидированной финансовой отчетности Группа не признала какие-либо резервы, связанные с возможными доначислениями со стороны налоговых органов.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Провизии АО "БТА Банк" в отношении налоговых обязательств</w:t>
      </w:r>
    </w:p>
    <w:p>
      <w:pPr>
        <w:spacing w:after="0"/>
        <w:ind w:left="0"/>
        <w:jc w:val="both"/>
      </w:pPr>
      <w:r>
        <w:rPr>
          <w:rFonts w:ascii="Times New Roman"/>
          <w:b w:val="false"/>
          <w:i w:val="false"/>
          <w:color w:val="000000"/>
          <w:sz w:val="28"/>
        </w:rPr>
        <w:t>
      По состоянию на 31 декабря 2013 года у Банка имеется значительный объем проблемных займов, по которым полностью или частично созданы провизии под обесценение. Согласно действующему Налоговому Кодексу РК, уменьшение размера требования к должнику может повлечь следующие потенциальные налоговые последствия для Банка:</w:t>
      </w:r>
    </w:p>
    <w:p>
      <w:pPr>
        <w:spacing w:after="0"/>
        <w:ind w:left="0"/>
        <w:jc w:val="both"/>
      </w:pPr>
      <w:r>
        <w:rPr>
          <w:rFonts w:ascii="Times New Roman"/>
          <w:b w:val="false"/>
          <w:i w:val="false"/>
          <w:color w:val="000000"/>
          <w:sz w:val="28"/>
        </w:rPr>
        <w:t>
      - доход для целей корпоративного подоходного налога от снижения размеров созданных провизий (резервов), ранее отнесенных Банком на вычеты, за исключением случаев, предусмотренных Налоговым Кодексом РК;</w:t>
      </w:r>
    </w:p>
    <w:p>
      <w:pPr>
        <w:spacing w:after="0"/>
        <w:ind w:left="0"/>
        <w:jc w:val="both"/>
      </w:pPr>
      <w:r>
        <w:rPr>
          <w:rFonts w:ascii="Times New Roman"/>
          <w:b w:val="false"/>
          <w:i w:val="false"/>
          <w:color w:val="000000"/>
          <w:sz w:val="28"/>
        </w:rPr>
        <w:t>
      - обязательство по корпоративному или индивидуальному подоходному налогу у источника выплаты по ставке 20% по заемщикам-нерезидентам РК;</w:t>
      </w:r>
    </w:p>
    <w:p>
      <w:pPr>
        <w:spacing w:after="0"/>
        <w:ind w:left="0"/>
        <w:jc w:val="both"/>
      </w:pPr>
      <w:r>
        <w:rPr>
          <w:rFonts w:ascii="Times New Roman"/>
          <w:b w:val="false"/>
          <w:i w:val="false"/>
          <w:color w:val="000000"/>
          <w:sz w:val="28"/>
        </w:rPr>
        <w:t>
      Банк не может надежно определить сумму потенциальных налоговых обязательств, которые могут возникнуть в результате прощения долга по указанным проблемным займам. Вследствие этого Банком не были созданы провизии по данным потенциальным налоговым обязательствам.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 по трансфертному ценообразованию</w:t>
      </w:r>
    </w:p>
    <w:p>
      <w:pPr>
        <w:spacing w:after="0"/>
        <w:ind w:left="0"/>
        <w:jc w:val="both"/>
      </w:pPr>
      <w:r>
        <w:rPr>
          <w:rFonts w:ascii="Times New Roman"/>
          <w:b w:val="false"/>
          <w:i w:val="false"/>
          <w:color w:val="000000"/>
          <w:sz w:val="28"/>
        </w:rPr>
        <w:t>
      Контроль по трансфертному ценообразованию в Казахстане имеет очень широкий спектр и применяется ко многим операциям, которые напрямую или косвенно связаны с международными сделками, независимо от того, являются ли стороны сделок связанными или нет. Закон о трансфертном ценообразовании требует, чтобы все налоги, применимые к операциям, были рассчитаны на основании рыночных цен, определенных по принципу вытянутой руки.</w:t>
      </w:r>
    </w:p>
    <w:p>
      <w:pPr>
        <w:spacing w:after="0"/>
        <w:ind w:left="0"/>
        <w:jc w:val="both"/>
      </w:pPr>
      <w:r>
        <w:rPr>
          <w:rFonts w:ascii="Times New Roman"/>
          <w:b w:val="false"/>
          <w:i w:val="false"/>
          <w:color w:val="000000"/>
          <w:sz w:val="28"/>
        </w:rPr>
        <w:t xml:space="preserve">
      Новый закон о трансфертном ценообразовании в Казахстане вступил в силу с 1 января 2009 года. Новый закон не является четко выраженным и некоторые из его положений имеют малый опыт применения. Более того, закон не предоставляет детальных инструкций, которые находятся на стадии разработки. В результате, применение закона о трансфертном ценообразовании к различным видам операций не является четко выраженным. </w:t>
      </w:r>
    </w:p>
    <w:p>
      <w:pPr>
        <w:spacing w:after="0"/>
        <w:ind w:left="0"/>
        <w:jc w:val="both"/>
      </w:pPr>
      <w:r>
        <w:rPr>
          <w:rFonts w:ascii="Times New Roman"/>
          <w:b w:val="false"/>
          <w:i w:val="false"/>
          <w:color w:val="000000"/>
          <w:sz w:val="28"/>
        </w:rPr>
        <w:t>
      Из-за неопределенностей, связанных с Казахстанским законом о трансфертном ценообразовании, существует риск того, что позиция налоговых органов может отличаться от позиции Группы, что может привести к начислению дополнительных сумм налогов, штрафов и пени по состоянию на 31 декабря 2013 года.</w:t>
      </w:r>
    </w:p>
    <w:p>
      <w:pPr>
        <w:spacing w:after="0"/>
        <w:ind w:left="0"/>
        <w:jc w:val="both"/>
      </w:pPr>
      <w:r>
        <w:rPr>
          <w:rFonts w:ascii="Times New Roman"/>
          <w:b w:val="false"/>
          <w:i w:val="false"/>
          <w:color w:val="000000"/>
          <w:sz w:val="28"/>
        </w:rPr>
        <w:t>
      Руководство считает, что по состоянию на 31 декабря 2013 года его толкование применимого законодательства по трансфертному ценообразованию является соответствующим и существует вероятность того, что позиция Группы по трансфертному ценообразованию будет подтверждена.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Налоговые обязательства предприятий в Грузии (КТО)</w:t>
      </w:r>
    </w:p>
    <w:p>
      <w:pPr>
        <w:spacing w:after="0"/>
        <w:ind w:left="0"/>
        <w:jc w:val="both"/>
      </w:pPr>
      <w:r>
        <w:rPr>
          <w:rFonts w:ascii="Times New Roman"/>
          <w:b w:val="false"/>
          <w:i w:val="false"/>
          <w:color w:val="000000"/>
          <w:sz w:val="28"/>
        </w:rPr>
        <w:t>
      В соответствии с Налоговым кодексом Грузии (далее "НКГ"), налоговые органы Грузии имеют право принять решение об использовании рыночных цен для целей налогообложения в случае, если сделка осуществляется между связанными сторонами. Хотя НКГ содержит определенное руководство по определению рыночных цен товаров и услуг, сам механизм определения недостаточно разработан и в Грузии отсутствует отдельное законодательство по трансфертному ценообразованию. Наличие подобной неясности создает неопределенности в части позиции, которую могут занять налоговые органы при рассмотрении налогообложения сделок между связанными сторонами.</w:t>
      </w:r>
    </w:p>
    <w:p>
      <w:pPr>
        <w:spacing w:after="0"/>
        <w:ind w:left="0"/>
        <w:jc w:val="both"/>
      </w:pPr>
      <w:r>
        <w:rPr>
          <w:rFonts w:ascii="Times New Roman"/>
          <w:b w:val="false"/>
          <w:i w:val="false"/>
          <w:color w:val="000000"/>
          <w:sz w:val="28"/>
        </w:rPr>
        <w:t xml:space="preserve">
      Грузинские дочерние организации НК КМГ имеют существенный объем сделок с иностранными дочерними организациями НК КМГ, а также между собой. Эти сделки попадают под определение сделок между связанными сторонами и могут быть оспорены налоговыми органами Грузии. </w:t>
      </w:r>
    </w:p>
    <w:p>
      <w:pPr>
        <w:spacing w:after="0"/>
        <w:ind w:left="0"/>
        <w:jc w:val="both"/>
      </w:pPr>
      <w:r>
        <w:rPr>
          <w:rFonts w:ascii="Times New Roman"/>
          <w:b w:val="false"/>
          <w:i w:val="false"/>
          <w:color w:val="000000"/>
          <w:sz w:val="28"/>
        </w:rPr>
        <w:t>
      Руководство НК КМГ считает, что у него имеются существенные аргументы для обоснования того, что ценообразование в сделках между организациями НК КМГ осуществляется на рыночных условиях. Однако, вследствие отсутствия законодательной базы по определению рыночных цен, налоговые органы Грузии могут занять в этом вопросе позицию, которая отличается от позиции, занятой НК КМГ.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Налоговая проверка НК КТЖ</w:t>
      </w:r>
    </w:p>
    <w:p>
      <w:pPr>
        <w:spacing w:after="0"/>
        <w:ind w:left="0"/>
        <w:jc w:val="both"/>
      </w:pPr>
      <w:r>
        <w:rPr>
          <w:rFonts w:ascii="Times New Roman"/>
          <w:b w:val="false"/>
          <w:i w:val="false"/>
          <w:color w:val="000000"/>
          <w:sz w:val="28"/>
        </w:rPr>
        <w:t>
      В течение 2012 и 2011 годов в НК КТЖ проводилась комплексная налоговая проверка за период с 2007 года по 2010 год. По результатам данной проверки налоговые органы определили налоги к доначислению, включая штрафы и пени на сумму 13.289 миллионов тенге. НК КТЖ считает данные доначисления неправомерными и намерена оспаривать их в суде. НК КТЖ признала резерв по налогам в размере 757 миллионов тенге, которое представляет собой наилучшую оценку руководства в отношении сумм, необходимых для будущих выплат.</w:t>
      </w:r>
    </w:p>
    <w:bookmarkStart w:name="z220" w:id="220"/>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лицензиям и контрактам на недропользование</w:t>
      </w:r>
    </w:p>
    <w:bookmarkEnd w:id="220"/>
    <w:p>
      <w:pPr>
        <w:spacing w:after="0"/>
        <w:ind w:left="0"/>
        <w:jc w:val="both"/>
      </w:pPr>
      <w:r>
        <w:rPr>
          <w:rFonts w:ascii="Times New Roman"/>
          <w:b w:val="false"/>
          <w:i w:val="false"/>
          <w:color w:val="000000"/>
          <w:sz w:val="28"/>
        </w:rPr>
        <w:t>
      По состоянию на 31 декабря 2013 года Группа, включая совместные предприятия, имела следующие обязательства в отношении исполнения программ минимальных работ в соответствии с условиями лицензий, соглашений о разделе продукции и контрактов на недропользование, заключенных с Правительством (в миллионах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7"/>
        <w:gridCol w:w="3731"/>
        <w:gridCol w:w="3732"/>
      </w:tblGrid>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52.428</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42.902</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45.033</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43.032</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2018-2024</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254.010</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418.506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437.405</w:t>
            </w:r>
          </w:p>
        </w:tc>
      </w:tr>
    </w:tbl>
    <w:p>
      <w:pPr>
        <w:spacing w:after="0"/>
        <w:ind w:left="0"/>
        <w:jc w:val="left"/>
      </w:pPr>
      <w:r>
        <w:br/>
      </w:r>
      <w:r>
        <w:rPr>
          <w:rFonts w:ascii="Times New Roman"/>
          <w:b w:val="false"/>
          <w:i w:val="false"/>
          <w:color w:val="000000"/>
          <w:sz w:val="28"/>
        </w:rPr>
        <w:t>
</w:t>
      </w:r>
    </w:p>
    <w:bookmarkStart w:name="z221" w:id="221"/>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поставкам на внутренний рынок</w:t>
      </w:r>
    </w:p>
    <w:bookmarkEnd w:id="221"/>
    <w:p>
      <w:pPr>
        <w:spacing w:after="0"/>
        <w:ind w:left="0"/>
        <w:jc w:val="both"/>
      </w:pPr>
      <w:r>
        <w:rPr>
          <w:rFonts w:ascii="Times New Roman"/>
          <w:b w:val="false"/>
          <w:i w:val="false"/>
          <w:color w:val="000000"/>
          <w:sz w:val="28"/>
        </w:rPr>
        <w:t>
      Правительство Республики Казахстан требует от компаний, занимающихся производством сырой нефти и продажей нефтепродуктов, на ежегодной основе поставлять часть продукции для удовлетворения энергетической потребности внутреннего рынка, в основном для поддержания баланса поставок нефтепродуктов на внутреннем рынке и для поддержки производителей сельскохозяйственной продукции в ходе весенней посевной и осенней уборочной кампаний. Цены на нефть на местном рынке значительно ниже экспортных цен и даже ниже обычных цен на внутреннем рынке, установленных в сделках между независимыми сторонами. В случае если Правительство обяжет поставить дополнительный объем сырой нефти, превышающий объем, поставляемый НК КМГ в настоящее время, такие поставки будут иметь приоритет перед поставками по рыночным ценам, и будут генерировать значительно меньше доходов от продажи сырой нефти на экспорт, что в свою очередь может отрицательно повлиять на деятельность, перспективы, финансовое положение и результаты деятельности НК КМГ.</w:t>
      </w:r>
    </w:p>
    <w:p>
      <w:pPr>
        <w:spacing w:after="0"/>
        <w:ind w:left="0"/>
        <w:jc w:val="both"/>
      </w:pPr>
      <w:r>
        <w:rPr>
          <w:rFonts w:ascii="Times New Roman"/>
          <w:b w:val="false"/>
          <w:i w:val="false"/>
          <w:color w:val="000000"/>
          <w:sz w:val="28"/>
        </w:rPr>
        <w:t xml:space="preserve">
      В 2013 году в соответствии со своими обязательствами Группа поставила 2.898.025 тонн сырой нефти (2012: 2.936.540 тонн) на внутренний рынок. </w:t>
      </w:r>
    </w:p>
    <w:bookmarkStart w:name="z222" w:id="222"/>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инвестиционного характера</w:t>
      </w:r>
    </w:p>
    <w:bookmarkEnd w:id="222"/>
    <w:bookmarkStart w:name="z223" w:id="223"/>
    <w:p>
      <w:pPr>
        <w:spacing w:after="0"/>
        <w:ind w:left="0"/>
        <w:jc w:val="both"/>
      </w:pPr>
      <w:r>
        <w:rPr>
          <w:rFonts w:ascii="Times New Roman"/>
          <w:b w:val="false"/>
          <w:i w:val="false"/>
          <w:color w:val="000000"/>
          <w:sz w:val="28"/>
        </w:rPr>
        <w:t xml:space="preserve">
      </w:t>
      </w:r>
      <w:r>
        <w:rPr>
          <w:rFonts w:ascii="Times New Roman"/>
          <w:b w:val="false"/>
          <w:i/>
          <w:color w:val="000000"/>
          <w:sz w:val="28"/>
        </w:rPr>
        <w:t>НК КТЖ</w:t>
      </w:r>
    </w:p>
    <w:bookmarkEnd w:id="223"/>
    <w:p>
      <w:pPr>
        <w:spacing w:after="0"/>
        <w:ind w:left="0"/>
        <w:jc w:val="both"/>
      </w:pPr>
      <w:r>
        <w:rPr>
          <w:rFonts w:ascii="Times New Roman"/>
          <w:b w:val="false"/>
          <w:i w:val="false"/>
          <w:color w:val="000000"/>
          <w:sz w:val="28"/>
        </w:rPr>
        <w:t>
      По состоянию на 31 декабря 2013 года у НК КТЖ имелись инвестиционные обязательства по строительству железнодорожных линий "Жезказган – Бейнеу" и "Аркалык – Шубарколь", строительству многофункционального Ледового дворца в г. Астана, первичной магистральной транспортной сети связи, приобретению грузовых и пассажирских электровозов, грузовых и пассажирских вагонов, магистральных тепловозов на общую сумму 567.979 миллионов тенге (2012: 748.373 миллиона тенге). Данная сумма включает обязательства на приобретение пассажирских электровозов у совместного предприятия ТОО "Электровоз қерастыру зауыты" на сумму 215.934 миллиона тенге (2012: 255.040 миллионов тенге) с поставкой до 31 декабря 2020 года, локомотивов у совместного предприятия АО "Локомотив қурастыру зауыты" на сумму 82.174 миллиона тенге, а также обязательства на приобретение пассажирских вагонов у совместного предприятия ТОО "Телпар-Тальго" на сумму 21.139 миллионов тенге (2012: 41.034 миллиона тенге) с поставкой до 31 декабря 2014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НК КМГ</w:t>
      </w:r>
    </w:p>
    <w:p>
      <w:pPr>
        <w:spacing w:after="0"/>
        <w:ind w:left="0"/>
        <w:jc w:val="both"/>
      </w:pPr>
      <w:r>
        <w:rPr>
          <w:rFonts w:ascii="Times New Roman"/>
          <w:b w:val="false"/>
          <w:i w:val="false"/>
          <w:color w:val="000000"/>
          <w:sz w:val="28"/>
        </w:rPr>
        <w:t>
      По состоянию на 31 декабря 2013 года у НК КМГ имелись договорные обязательства по приобретению и строительству основных средств на общую сумму 641 миллиард тенге (2012: 540 миллиардов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KEGOC</w:t>
      </w:r>
    </w:p>
    <w:p>
      <w:pPr>
        <w:spacing w:after="0"/>
        <w:ind w:left="0"/>
        <w:jc w:val="both"/>
      </w:pPr>
      <w:r>
        <w:rPr>
          <w:rFonts w:ascii="Times New Roman"/>
          <w:b w:val="false"/>
          <w:i w:val="false"/>
          <w:color w:val="000000"/>
          <w:sz w:val="28"/>
        </w:rPr>
        <w:t>
      На 31 декабря 2013 года KEGOC имело инвестиционные обязательства по проектам, связанным со строительством подстанций и линий электропередач и модернизацией электрической сети в сумме 68.612 миллионов тенге (2012: 31.678 миллионов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Эйр Астана</w:t>
      </w:r>
    </w:p>
    <w:p>
      <w:pPr>
        <w:spacing w:after="0"/>
        <w:ind w:left="0"/>
        <w:jc w:val="both"/>
      </w:pPr>
      <w:r>
        <w:rPr>
          <w:rFonts w:ascii="Times New Roman"/>
          <w:b w:val="false"/>
          <w:i w:val="false"/>
          <w:color w:val="000000"/>
          <w:sz w:val="28"/>
        </w:rPr>
        <w:t xml:space="preserve">
      В течение 2008 года, Эйр Астана подписала Соглашение с компанией Airbus на приобретение 6 (шести) узкофюзеляжных воздушных судов Airbus. Эйр Астана выплачивает предоплату в соответствии с оговоренной таблицей платежей. Выплаты начались в 2008 году, и последний платеж был выплачен в 2013 году. В течение 2012 года и 2013 года Эйр Астана заключила договоры финансовой аренды с фиксированной процентной ставкой на поставку 3 (трех) воздушных судов Airbus и оставшихся 3 (трех), соответственно. Данная аренда выражена в долларах США со сроком погашения 12 (двенадцать) лет. Займы, выданные финансовыми институтами лизингодателю, находятся под гарантией Европейских Экспортно-Кредитных Агентств. </w:t>
      </w:r>
    </w:p>
    <w:p>
      <w:pPr>
        <w:spacing w:after="0"/>
        <w:ind w:left="0"/>
        <w:jc w:val="both"/>
      </w:pPr>
      <w:r>
        <w:rPr>
          <w:rFonts w:ascii="Times New Roman"/>
          <w:b w:val="false"/>
          <w:i w:val="false"/>
          <w:color w:val="000000"/>
          <w:sz w:val="28"/>
        </w:rPr>
        <w:t xml:space="preserve">
      В течение 2011 года, Эйр Астана подписала соглашение с компанией Embraer на покупку 2 (двух) узкофюзеляжных воздушных судов Embraer-190. Эйр Астана выплачивала предоплату с 2011 года в соответствии с оговоренной таблицей платежей, с выполненной доставкой первого воздушного судна в ноябре 2012 года и второго воздушного судна в декабре 2013 года, выраженной в долларах США, с фиксированной процентной ставкой со сроком погашения 12 (двенадцать) лет. </w:t>
      </w:r>
    </w:p>
    <w:p>
      <w:pPr>
        <w:spacing w:after="0"/>
        <w:ind w:left="0"/>
        <w:jc w:val="both"/>
      </w:pPr>
      <w:r>
        <w:rPr>
          <w:rFonts w:ascii="Times New Roman"/>
          <w:b w:val="false"/>
          <w:i w:val="false"/>
          <w:color w:val="000000"/>
          <w:sz w:val="28"/>
        </w:rPr>
        <w:t>
      В течение 2012 года Эйр-Астана подписала соглашение с компанией Boeing на покупку 3 (трех) воздушных судов Boeing-767 и 3 (трех) Boeing-787. Эйр Астана выплачивает предоплату в соответствии с оговоренной таблицей платежей. В отношении Boeing-767 50% предоплаты выплачивается из собственных средств и 50% финансируется за счет займов. Заемные средства в отношении первых двух Boeing-767 были выплачены Эйр-Астана на поставку каждого воздушного судна в 2013 году. Последняя предоплата в отношении Boeing767 была в 2013 году. Два Boeing-767 были поставлены в сентябре и октябре 2013 года, третий ожидается в середине 2014 года. Поставка Boeing-787 ожидается в 2017 и 2019 годах с последней ожидаемой предоплатой в 2018 году.</w:t>
      </w:r>
    </w:p>
    <w:p>
      <w:pPr>
        <w:spacing w:after="0"/>
        <w:ind w:left="0"/>
        <w:jc w:val="both"/>
      </w:pPr>
      <w:r>
        <w:rPr>
          <w:rFonts w:ascii="Times New Roman"/>
          <w:b w:val="false"/>
          <w:i w:val="false"/>
          <w:color w:val="000000"/>
          <w:sz w:val="28"/>
        </w:rPr>
        <w:t>
      В июне 2013 года Эйр Астана подписала предварительное соглашение с финансовой корпорацией США на финансирование покупки 3 (трех) воздушных судов Boeing-767 под гарантией US Export-Import Bank. Этот инструмент использовался для финансирования поставки Boeing-767 в сентябре и октябре 2013 года, соответственно, в то время как поставка третьего воздушного судна ожидается в середине 2014 года.</w:t>
      </w:r>
    </w:p>
    <w:p>
      <w:pPr>
        <w:spacing w:after="0"/>
        <w:ind w:left="0"/>
        <w:jc w:val="both"/>
      </w:pPr>
      <w:r>
        <w:rPr>
          <w:rFonts w:ascii="Times New Roman"/>
          <w:b w:val="false"/>
          <w:i w:val="false"/>
          <w:color w:val="000000"/>
          <w:sz w:val="28"/>
        </w:rPr>
        <w:t xml:space="preserve">
      Условия соглашений Эйр Астаны с вышеуказанными поставщиками исключают возможность раскрытия стоимости приобретения. </w:t>
      </w:r>
    </w:p>
    <w:bookmarkStart w:name="z224" w:id="224"/>
    <w:p>
      <w:pPr>
        <w:spacing w:after="0"/>
        <w:ind w:left="0"/>
        <w:jc w:val="both"/>
      </w:pPr>
      <w:r>
        <w:rPr>
          <w:rFonts w:ascii="Times New Roman"/>
          <w:b w:val="false"/>
          <w:i w:val="false"/>
          <w:color w:val="000000"/>
          <w:sz w:val="28"/>
        </w:rPr>
        <w:t xml:space="preserve">
      </w:t>
      </w:r>
      <w:r>
        <w:rPr>
          <w:rFonts w:ascii="Times New Roman"/>
          <w:b w:val="false"/>
          <w:i/>
          <w:color w:val="000000"/>
          <w:sz w:val="28"/>
        </w:rPr>
        <w:t>АО "Фонд недвижимости "Самрук-Казына" (далее "Фонд недвижимости")</w:t>
      </w:r>
    </w:p>
    <w:bookmarkEnd w:id="224"/>
    <w:p>
      <w:pPr>
        <w:spacing w:after="0"/>
        <w:ind w:left="0"/>
        <w:jc w:val="both"/>
      </w:pPr>
      <w:r>
        <w:rPr>
          <w:rFonts w:ascii="Times New Roman"/>
          <w:b w:val="false"/>
          <w:i w:val="false"/>
          <w:color w:val="000000"/>
          <w:sz w:val="28"/>
        </w:rPr>
        <w:t>
      На 31 декабря 2013 года у Фонда недвижимости имелись договорные обязательства в сумме 25.243 миллиона тенге (2012: 16.013 миллионов тенге) по договорам со строительными компаниями.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Проект "Зеленый квартал"</w:t>
      </w:r>
    </w:p>
    <w:p>
      <w:pPr>
        <w:spacing w:after="0"/>
        <w:ind w:left="0"/>
        <w:jc w:val="both"/>
      </w:pPr>
      <w:r>
        <w:rPr>
          <w:rFonts w:ascii="Times New Roman"/>
          <w:b w:val="false"/>
          <w:i w:val="false"/>
          <w:color w:val="000000"/>
          <w:sz w:val="28"/>
        </w:rPr>
        <w:t xml:space="preserve">
      В соответствии с поручением Правительства Республики Казахстан о реализации проекта "Зеленый квартал" (далее "Проект"), Фонд недвижимости в декабре 2013 года заключил договор о совместной реализации Проекта с TОO "BI Corporation". Согласно заключенному договору, Фонд недвижимости финансирует Проект на общую сумму 44 миллиарда тенге, из которых собственные средства Фонда недвижимости составят 15 миллиардов тенге (оставшаяся сумма будет профинансирована за счет заемных средств, полученных от Материнской компании). </w:t>
      </w:r>
    </w:p>
    <w:p>
      <w:pPr>
        <w:spacing w:after="0"/>
        <w:ind w:left="0"/>
        <w:jc w:val="both"/>
      </w:pPr>
      <w:r>
        <w:rPr>
          <w:rFonts w:ascii="Times New Roman"/>
          <w:b w:val="false"/>
          <w:i w:val="false"/>
          <w:color w:val="000000"/>
          <w:sz w:val="28"/>
        </w:rPr>
        <w:t xml:space="preserve">
      Для реализации Проекта Фонд недвижимости разместит денежные средства в сумме 44 миллиарда тенге на целевой вклад в банках второго уровня на период 18 (восемнадцать) лет под 3,5% годовых, под финансирование банками ТОО "EXPO Village", осуществляющей реализацию Проекта (далее "Проектная компания"). </w:t>
      </w:r>
    </w:p>
    <w:p>
      <w:pPr>
        <w:spacing w:after="0"/>
        <w:ind w:left="0"/>
        <w:jc w:val="both"/>
      </w:pPr>
      <w:r>
        <w:rPr>
          <w:rFonts w:ascii="Times New Roman"/>
          <w:b w:val="false"/>
          <w:i w:val="false"/>
          <w:color w:val="000000"/>
          <w:sz w:val="28"/>
        </w:rPr>
        <w:t>
      В дополнение к договору о совместной реализации Проекта, между ТОО "СК Девелопмент" и ТОО "BI Corporation" подписан договор купли-продажи, по которому Фонд недвижимости имеет намерение приобрести 49,9% доли участия в ТОО "EXPO Village", дочерней организации TОO "BI Corporation" за 100 тенге, с отсрочкой перехода права собственности до более ранней из двух дат: 1 апреля 2017 года или даты ввода объекта в эксплуатацию в рамках Проекта, и будет участвовать в разделе чистой прибыли от реализации объекта недвижимости.</w:t>
      </w:r>
    </w:p>
    <w:p>
      <w:pPr>
        <w:spacing w:after="0"/>
        <w:ind w:left="0"/>
        <w:jc w:val="both"/>
      </w:pPr>
      <w:r>
        <w:rPr>
          <w:rFonts w:ascii="Times New Roman"/>
          <w:b w:val="false"/>
          <w:i w:val="false"/>
          <w:color w:val="000000"/>
          <w:sz w:val="28"/>
        </w:rPr>
        <w:t>
      Данные договора приводят к возникновению у Фонда недвижимости права покупки доли участия в ТОО "EXPO Village", которое является производным финансовым инструментом согласно МСБУ (IAS) 39, и должно быть признано по его справедливой стоимости в консолидированной финансовой отчетности Фонда недвижимости.</w:t>
      </w:r>
    </w:p>
    <w:p>
      <w:pPr>
        <w:spacing w:after="0"/>
        <w:ind w:left="0"/>
        <w:jc w:val="both"/>
      </w:pPr>
      <w:r>
        <w:rPr>
          <w:rFonts w:ascii="Times New Roman"/>
          <w:b w:val="false"/>
          <w:i w:val="false"/>
          <w:color w:val="000000"/>
          <w:sz w:val="28"/>
        </w:rPr>
        <w:t>
      По мнению руководства Фонда недвижимости, на отчетную дату существуют существенные неопределенности, связанные с реализацией данного Проекта, которые не позволяют оценить справедливую стоимость данного финансового инструмента с высокой долей уверенности, поскольку Фонд недвижимости пока еще не получила финансирование и не утвердила проектно-сметную документацию по Проекту. Соответственно, данное право на покупку доли участия не было признано в данной консолидированной финансовой отчетности Группы, как не удовлетворяющее критериям признания активов согласно МСФО.</w:t>
      </w:r>
    </w:p>
    <w:bookmarkStart w:name="z225" w:id="225"/>
    <w:p>
      <w:pPr>
        <w:spacing w:after="0"/>
        <w:ind w:left="0"/>
        <w:jc w:val="both"/>
      </w:pPr>
      <w:r>
        <w:rPr>
          <w:rFonts w:ascii="Times New Roman"/>
          <w:b w:val="false"/>
          <w:i w:val="false"/>
          <w:color w:val="000000"/>
          <w:sz w:val="28"/>
        </w:rPr>
        <w:t xml:space="preserve">
      </w:t>
      </w:r>
      <w:r>
        <w:rPr>
          <w:rFonts w:ascii="Times New Roman"/>
          <w:b w:val="false"/>
          <w:i/>
          <w:color w:val="000000"/>
          <w:sz w:val="28"/>
        </w:rPr>
        <w:t>АО "Интергаз Центральная Азия" (далее "ИЦА", дочерняя организация НК КМГ)</w:t>
      </w:r>
    </w:p>
    <w:bookmarkEnd w:id="225"/>
    <w:p>
      <w:pPr>
        <w:spacing w:after="0"/>
        <w:ind w:left="0"/>
        <w:jc w:val="both"/>
      </w:pPr>
      <w:r>
        <w:rPr>
          <w:rFonts w:ascii="Times New Roman"/>
          <w:b w:val="false"/>
          <w:i w:val="false"/>
          <w:color w:val="000000"/>
          <w:sz w:val="28"/>
        </w:rPr>
        <w:t>
      По условиям Договора концессии с Правительством Республики Казахстан ИЦА имеет обязательство ежегодно инвестировать 30 миллионов долларов США (4.608 миллионов тенге) на улучшение и ремонт переданных газотранспортных активов и на инвестиции в новые газотранспортные активы. По состоянию на 31 декабря 2013 года ИЦА имела контрактные обязательства, относящиеся к данному инвестиционному обязательству, на сумму приблизительно 72.701 миллион тенге (2012: 52.330 миллионов тенге).</w:t>
      </w:r>
    </w:p>
    <w:bookmarkStart w:name="z226" w:id="226"/>
    <w:p>
      <w:pPr>
        <w:spacing w:after="0"/>
        <w:ind w:left="0"/>
        <w:jc w:val="both"/>
      </w:pPr>
      <w:r>
        <w:rPr>
          <w:rFonts w:ascii="Times New Roman"/>
          <w:b w:val="false"/>
          <w:i w:val="false"/>
          <w:color w:val="000000"/>
          <w:sz w:val="28"/>
        </w:rPr>
        <w:t xml:space="preserve">
      </w:t>
      </w:r>
      <w:r>
        <w:rPr>
          <w:rFonts w:ascii="Times New Roman"/>
          <w:b w:val="false"/>
          <w:i/>
          <w:color w:val="000000"/>
          <w:sz w:val="28"/>
        </w:rPr>
        <w:t>Кыргызский обвод (ИЦА)</w:t>
      </w:r>
    </w:p>
    <w:bookmarkEnd w:id="226"/>
    <w:p>
      <w:pPr>
        <w:spacing w:after="0"/>
        <w:ind w:left="0"/>
        <w:jc w:val="both"/>
      </w:pPr>
      <w:r>
        <w:rPr>
          <w:rFonts w:ascii="Times New Roman"/>
          <w:b w:val="false"/>
          <w:i w:val="false"/>
          <w:color w:val="000000"/>
          <w:sz w:val="28"/>
        </w:rPr>
        <w:t>
      Группа обязана, при соблюдении определенных условий, которые включают возмещение тарифа, разработать и построить Кыргызский обвод по стоимости, которая была определена в Договоре Концессии в размере примерно 90-100 миллионов долларов США. Данный актив будет передан в собственность Республики Казахстан либо по окончании срока Договора Концессии, либо через 20 (двадцать) лет после завершения, в зависимости оттого, что наступит позднее, за один доллар США. Строительство этого обвода еще не началось.</w:t>
      </w:r>
    </w:p>
    <w:p>
      <w:pPr>
        <w:spacing w:after="0"/>
        <w:ind w:left="0"/>
        <w:jc w:val="both"/>
      </w:pPr>
      <w:r>
        <w:rPr>
          <w:rFonts w:ascii="Times New Roman"/>
          <w:b w:val="false"/>
          <w:i w:val="false"/>
          <w:color w:val="000000"/>
          <w:sz w:val="28"/>
        </w:rPr>
        <w:t>
      Руководство считает, что оно предприняло все необходимые шаги для выполнения обязательств Группы в этом вопросе, в том числе рассматривает вопрос о принятии в управление участка газопровода, принадлежащего Республике Кыргызстан. Однако новые внутренние тарифы, которые по условиям Договора Концессии являются непременным условием начала строительства Кыргызского обвода, еще не опубликованы по состоянию на 31 декабря 2013 года.</w:t>
      </w:r>
    </w:p>
    <w:p>
      <w:pPr>
        <w:spacing w:after="0"/>
        <w:ind w:left="0"/>
        <w:jc w:val="both"/>
      </w:pPr>
      <w:r>
        <w:rPr>
          <w:rFonts w:ascii="Times New Roman"/>
          <w:b w:val="false"/>
          <w:i w:val="false"/>
          <w:color w:val="000000"/>
          <w:sz w:val="28"/>
        </w:rPr>
        <w:t>
      Правительство Республики Казахстан ежегодно осуществляет проверку выполнения Группы своих обязательств по Договору Концессии, включая выполнение Группой инвестиционных обязательств. Проверка выполнения обязательств по Договору Концессии за 2013 год будет проведена в 2014 году. Руководство считает, что Группа выполняет требования по инвестиционным обязательствам по состоянию на 31 декабря 2013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Самрук-Энерго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Обязательства капитального характера совместных предприятий</w:t>
      </w:r>
    </w:p>
    <w:p>
      <w:pPr>
        <w:spacing w:after="0"/>
        <w:ind w:left="0"/>
        <w:jc w:val="both"/>
      </w:pPr>
      <w:r>
        <w:rPr>
          <w:rFonts w:ascii="Times New Roman"/>
          <w:b w:val="false"/>
          <w:i w:val="false"/>
          <w:color w:val="000000"/>
          <w:sz w:val="28"/>
        </w:rPr>
        <w:t>
      По состоянию на 31 декабря 2013 года доля Группы в капитальных обязательствах совместных предприятий составила 105.830 миллионов тенге (2012: 57.501 миллион тенге). Жамбылская ГРЭС не имеет существенных обязательств капитального характера на 31 декабря 2013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Инвестиционные обязательства совместных предприятий</w:t>
      </w:r>
    </w:p>
    <w:p>
      <w:pPr>
        <w:spacing w:after="0"/>
        <w:ind w:left="0"/>
        <w:jc w:val="both"/>
      </w:pPr>
      <w:r>
        <w:rPr>
          <w:rFonts w:ascii="Times New Roman"/>
          <w:b w:val="false"/>
          <w:i w:val="false"/>
          <w:color w:val="000000"/>
          <w:sz w:val="28"/>
        </w:rPr>
        <w:t xml:space="preserve">
      По состоянию на 31 декабря 2013 года доля Группы в инвестиционных обязательствах Экибастузской ГРЭС-1 и Экибастузской ГРЭС-2 составляет 42.377 миллионов тенге (2012: 57.501 миллион тенге). Жамбылская ГРЭС не имеет существенных инвестиционных обязательств по состоянию на 31 декабря 2013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контрактные обязательства</w:t>
      </w:r>
    </w:p>
    <w:p>
      <w:pPr>
        <w:spacing w:after="0"/>
        <w:ind w:left="0"/>
        <w:jc w:val="both"/>
      </w:pPr>
      <w:r>
        <w:rPr>
          <w:rFonts w:ascii="Times New Roman"/>
          <w:b w:val="false"/>
          <w:i w:val="false"/>
          <w:color w:val="000000"/>
          <w:sz w:val="28"/>
        </w:rPr>
        <w:t>
      На 31 декабря 2013 года прочие контрактные обязательства Группы по приобретению основных средств составляли примерно 81.552 миллиона тенге (2012: 36.426 миллионов тенге)</w:t>
      </w:r>
    </w:p>
    <w:p>
      <w:pPr>
        <w:spacing w:after="0"/>
        <w:ind w:left="0"/>
        <w:jc w:val="both"/>
      </w:pPr>
      <w:r>
        <w:rPr>
          <w:rFonts w:ascii="Times New Roman"/>
          <w:b w:val="false"/>
          <w:i w:val="false"/>
          <w:color w:val="000000"/>
          <w:sz w:val="28"/>
        </w:rPr>
        <w:t xml:space="preserve">
      Обязательства по операционной аренде </w:t>
      </w:r>
    </w:p>
    <w:p>
      <w:pPr>
        <w:spacing w:after="0"/>
        <w:ind w:left="0"/>
        <w:jc w:val="both"/>
      </w:pPr>
      <w:r>
        <w:rPr>
          <w:rFonts w:ascii="Times New Roman"/>
          <w:b w:val="false"/>
          <w:i w:val="false"/>
          <w:color w:val="000000"/>
          <w:sz w:val="28"/>
        </w:rPr>
        <w:t xml:space="preserve">
      Обязательства по операционной аренде в основном связаны с арендой самолетов со сроками аренды от 5 (пяти) до 10 (десяти) лет. Все договора операционной аренды содержат разделы по обновлению рыночных цен в случае, если Эйр Астана воспользуется возможностью их продления. Эйр Астана не имеет возможности приобретения арендованных активов по окончании срока аренды. </w:t>
      </w:r>
    </w:p>
    <w:p>
      <w:pPr>
        <w:spacing w:after="0"/>
        <w:ind w:left="0"/>
        <w:jc w:val="both"/>
      </w:pPr>
      <w:r>
        <w:rPr>
          <w:rFonts w:ascii="Times New Roman"/>
          <w:b w:val="false"/>
          <w:i w:val="false"/>
          <w:color w:val="000000"/>
          <w:sz w:val="28"/>
        </w:rPr>
        <w:t>
      На 31 декабря обязательства по операционной аренде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4871"/>
        <w:gridCol w:w="4872"/>
      </w:tblGrid>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года</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одного года до пяти лет</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53.995</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41.136</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пяти лет</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75.906</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Обязательные платежи по операционной аренде включают в себя как фиксированные арендные платежи, так и определенную часть платежей по техническому обслуживанию, которая варьируется в зависимости от налета часов. </w:t>
      </w:r>
    </w:p>
    <w:p>
      <w:pPr>
        <w:spacing w:after="0"/>
        <w:ind w:left="0"/>
        <w:jc w:val="both"/>
      </w:pPr>
      <w:r>
        <w:rPr>
          <w:rFonts w:ascii="Times New Roman"/>
          <w:b w:val="false"/>
          <w:i w:val="false"/>
          <w:color w:val="000000"/>
          <w:sz w:val="28"/>
        </w:rPr>
        <w:t>
      Фиксированные и переменные арендные платежи деноминированы и подлежат оплате в долларах США. Данная валюта повседневно используется в международных расчетах при аренде воздушных судов.</w:t>
      </w:r>
    </w:p>
    <w:p>
      <w:pPr>
        <w:spacing w:after="0"/>
        <w:ind w:left="0"/>
        <w:jc w:val="both"/>
      </w:pPr>
      <w:r>
        <w:rPr>
          <w:rFonts w:ascii="Times New Roman"/>
          <w:b w:val="false"/>
          <w:i w:val="false"/>
          <w:color w:val="000000"/>
          <w:sz w:val="28"/>
        </w:rPr>
        <w:t>
      Лицензионные обязательства Казахтелеком</w:t>
      </w:r>
    </w:p>
    <w:p>
      <w:pPr>
        <w:spacing w:after="0"/>
        <w:ind w:left="0"/>
        <w:jc w:val="both"/>
      </w:pPr>
      <w:r>
        <w:rPr>
          <w:rFonts w:ascii="Times New Roman"/>
          <w:b w:val="false"/>
          <w:i w:val="false"/>
          <w:color w:val="000000"/>
          <w:sz w:val="28"/>
        </w:rPr>
        <w:t>
      В соответствии с условиями ряда лицензий на оказание услуг беспроводной связи Казахтелеком имеет определенные обязательства в отношении зоны покрытия своей сети. Казахтелеком обязан расширять покрытие мобильной сети, охватывая районы вдоль основных магистралей, мелких городов и поселков городского типа Республики Казахстан. Руководство считает, что Казахтелеком соблюдает условия лицензий.</w:t>
      </w:r>
    </w:p>
    <w:p>
      <w:pPr>
        <w:spacing w:after="0"/>
        <w:ind w:left="0"/>
        <w:jc w:val="both"/>
      </w:pPr>
      <w:r>
        <w:rPr>
          <w:rFonts w:ascii="Times New Roman"/>
          <w:b w:val="false"/>
          <w:i w:val="false"/>
          <w:color w:val="000000"/>
          <w:sz w:val="28"/>
        </w:rPr>
        <w:t>
      Обязательства по выдаче кредита, гарантий, аккредитивов и прочие обязательства, относящиеся к расчетным операциям</w:t>
      </w:r>
    </w:p>
    <w:p>
      <w:pPr>
        <w:spacing w:after="0"/>
        <w:ind w:left="0"/>
        <w:jc w:val="both"/>
      </w:pPr>
      <w:r>
        <w:rPr>
          <w:rFonts w:ascii="Times New Roman"/>
          <w:b w:val="false"/>
          <w:i w:val="false"/>
          <w:color w:val="000000"/>
          <w:sz w:val="28"/>
        </w:rPr>
        <w:t xml:space="preserve">
      Группа, в любое время, имеет непогашенные обязательства по выдаче кредитов. Эти обязательства принимают форму утвержденных займов и лимитов по кредитным карточкам и овердрафтам и являются аннулируемыми при определенных условиях. </w:t>
      </w:r>
    </w:p>
    <w:p>
      <w:pPr>
        <w:spacing w:after="0"/>
        <w:ind w:left="0"/>
        <w:jc w:val="both"/>
      </w:pPr>
      <w:r>
        <w:rPr>
          <w:rFonts w:ascii="Times New Roman"/>
          <w:b w:val="false"/>
          <w:i w:val="false"/>
          <w:color w:val="000000"/>
          <w:sz w:val="28"/>
        </w:rPr>
        <w:t xml:space="preserve">
      Группа предоставляет финансовые гарантии и аккредитивы с целью гарантирования выполнения клиентами обязательств перед третьими сторонами. Эти соглашения имеют фиксированные лимиты и обычно выдаются на срок до 5 (пяти) лет. </w:t>
      </w:r>
    </w:p>
    <w:p>
      <w:pPr>
        <w:spacing w:after="0"/>
        <w:ind w:left="0"/>
        <w:jc w:val="both"/>
      </w:pPr>
      <w:r>
        <w:rPr>
          <w:rFonts w:ascii="Times New Roman"/>
          <w:b w:val="false"/>
          <w:i w:val="false"/>
          <w:color w:val="000000"/>
          <w:sz w:val="28"/>
        </w:rPr>
        <w:t>
      Контрактные суммы обязательств указаны в следующей таблице по категории. Суммы по обязательствам, показанные в таблице, предполагают, что суммы будут полностью исполнены. Суммы, показанные в таблице по аккредитивам, представляют максимальный учетный убыток, который был бы признан на отчетную дату, если контрагенты полностью не выполнят своих обязательств по контракту.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0"/>
        <w:gridCol w:w="4625"/>
        <w:gridCol w:w="4625"/>
      </w:tblGrid>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Договорная сумма</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кредитная линия и обязательства по финансовой аренде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284.196</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405.920</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110.879</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и прочие обязательства, относящиеся к расчетным операциям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99.274</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гарантии и вклады с ограничительными условиями</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резерв под банковские аккредитивы и гарантии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Группа использует такую же политику кредитного контроля и управления при принятии на себя забалансовых потенциальных обязательств, которую она использует при осуществлении балансовых операций.</w:t>
      </w:r>
    </w:p>
    <w:p>
      <w:pPr>
        <w:spacing w:after="0"/>
        <w:ind w:left="0"/>
        <w:jc w:val="both"/>
      </w:pPr>
      <w:r>
        <w:rPr>
          <w:rFonts w:ascii="Times New Roman"/>
          <w:b w:val="false"/>
          <w:i w:val="false"/>
          <w:color w:val="000000"/>
          <w:sz w:val="28"/>
        </w:rPr>
        <w:t>
      Общая сумма имеющихся договорных обязательств по выдаче кредита, указанная выше, необязательно представляет собой будущую потребность в денежных средствах, так как эти обязательства могут истечь или быть закрыты до того, как они будут профинансированы. Группа также может запросить обеспечение по кредитным финансовым инструментам.</w:t>
      </w:r>
    </w:p>
    <w:bookmarkStart w:name="z227" w:id="227"/>
    <w:p>
      <w:pPr>
        <w:spacing w:after="0"/>
        <w:ind w:left="0"/>
        <w:jc w:val="both"/>
      </w:pPr>
      <w:r>
        <w:rPr>
          <w:rFonts w:ascii="Times New Roman"/>
          <w:b w:val="false"/>
          <w:i w:val="false"/>
          <w:color w:val="000000"/>
          <w:sz w:val="28"/>
        </w:rPr>
        <w:t xml:space="preserve">
      </w:t>
      </w:r>
      <w:r>
        <w:rPr>
          <w:rFonts w:ascii="Times New Roman"/>
          <w:b/>
          <w:i w:val="false"/>
          <w:color w:val="000000"/>
          <w:sz w:val="28"/>
        </w:rPr>
        <w:t>Доверительное управление (трастовая деятельность)</w:t>
      </w:r>
    </w:p>
    <w:bookmarkEnd w:id="227"/>
    <w:p>
      <w:pPr>
        <w:spacing w:after="0"/>
        <w:ind w:left="0"/>
        <w:jc w:val="both"/>
      </w:pPr>
      <w:r>
        <w:rPr>
          <w:rFonts w:ascii="Times New Roman"/>
          <w:b w:val="false"/>
          <w:i w:val="false"/>
          <w:color w:val="000000"/>
          <w:sz w:val="28"/>
        </w:rPr>
        <w:t>
      Некоторые дочерние организации Группы оказывают услуги по доверительному управлению физическим лицам, трастовым компаниям, пенсионным фондам и прочим организациям, а именно, управляют активами либо инвестируют полученные средства в различные финансовые инструменты в соответствии с указаниями клиента. Группа получает комиссионное вознаграждение за оказание данных услуг. Активы, полученные в доверительное управление, не являются активами Группы и, соответственно, не отражаются в ее консолидированном бухгалтерском балансе. Группа не подвергается кредитному риску при осуществлении указанных вложений, так как она не выдает гарантии под указанные инвестиции.</w:t>
      </w:r>
    </w:p>
    <w:bookmarkStart w:name="z228" w:id="228"/>
    <w:p>
      <w:pPr>
        <w:spacing w:after="0"/>
        <w:ind w:left="0"/>
        <w:jc w:val="both"/>
      </w:pPr>
      <w:r>
        <w:rPr>
          <w:rFonts w:ascii="Times New Roman"/>
          <w:b w:val="false"/>
          <w:i w:val="false"/>
          <w:color w:val="000000"/>
          <w:sz w:val="28"/>
        </w:rPr>
        <w:t xml:space="preserve">
      </w:t>
      </w:r>
      <w:r>
        <w:rPr>
          <w:rFonts w:ascii="Times New Roman"/>
          <w:b/>
          <w:i w:val="false"/>
          <w:color w:val="000000"/>
          <w:sz w:val="28"/>
        </w:rPr>
        <w:t>Ковенанты по займам</w:t>
      </w:r>
    </w:p>
    <w:bookmarkEnd w:id="228"/>
    <w:p>
      <w:pPr>
        <w:spacing w:after="0"/>
        <w:ind w:left="0"/>
        <w:jc w:val="both"/>
      </w:pPr>
      <w:r>
        <w:rPr>
          <w:rFonts w:ascii="Times New Roman"/>
          <w:b w:val="false"/>
          <w:i w:val="false"/>
          <w:color w:val="000000"/>
          <w:sz w:val="28"/>
        </w:rPr>
        <w:t>
      По состоянию на 31 декабря 2013 года Группа соблюдала все ковенанты.</w:t>
      </w:r>
    </w:p>
    <w:bookmarkStart w:name="z229" w:id="229"/>
    <w:p>
      <w:pPr>
        <w:spacing w:after="0"/>
        <w:ind w:left="0"/>
        <w:jc w:val="both"/>
      </w:pPr>
      <w:r>
        <w:rPr>
          <w:rFonts w:ascii="Times New Roman"/>
          <w:b w:val="false"/>
          <w:i w:val="false"/>
          <w:color w:val="000000"/>
          <w:sz w:val="28"/>
        </w:rPr>
        <w:t xml:space="preserve">
      </w:t>
      </w:r>
      <w:r>
        <w:rPr>
          <w:rFonts w:ascii="Times New Roman"/>
          <w:b/>
          <w:i w:val="false"/>
          <w:color w:val="000000"/>
          <w:sz w:val="28"/>
        </w:rPr>
        <w:t>Проверки возмещаемости затрат (КМГ Кашаган)</w:t>
      </w:r>
    </w:p>
    <w:bookmarkEnd w:id="229"/>
    <w:p>
      <w:pPr>
        <w:spacing w:after="0"/>
        <w:ind w:left="0"/>
        <w:jc w:val="both"/>
      </w:pPr>
      <w:r>
        <w:rPr>
          <w:rFonts w:ascii="Times New Roman"/>
          <w:b w:val="false"/>
          <w:i w:val="false"/>
          <w:color w:val="000000"/>
          <w:sz w:val="28"/>
        </w:rPr>
        <w:t>
      В соответствии с основными принципами Северо-Каспийского Соглашения о Разделе Продукции (далее "СКСРП") Правительство Республики Казахстан передало подрядчикам эксклюзивные права на проведение деятельности в районе недропользования, но не передавало права на данный район недропользования ни в собственность, ни в аренду. Вследствие этого, все объемы извлеченной и переработанной продукции (т.е. готовой продукции) являются собственностью государства. Работы осуществляются на основе компенсирования, при этом государство осуществляет выплаты подрядчикам не в денежной форме, а в виде части готовой продукции, тем самым позволяя подрядчикам возместить свои затраты и заработать доходы. Это, так называемое, разделение продукции, т.е. разделение результатов работы, проведенной инвестором.</w:t>
      </w:r>
    </w:p>
    <w:p>
      <w:pPr>
        <w:spacing w:after="0"/>
        <w:ind w:left="0"/>
        <w:jc w:val="both"/>
      </w:pPr>
      <w:r>
        <w:rPr>
          <w:rFonts w:ascii="Times New Roman"/>
          <w:b w:val="false"/>
          <w:i w:val="false"/>
          <w:color w:val="000000"/>
          <w:sz w:val="28"/>
        </w:rPr>
        <w:t xml:space="preserve">
      В соответствии с СКСРП, не все затраты, понесенные подрядчиками, могут быть возмещены. Определенные затраты на возмещение должны утверждаться Управляющим Комитетом (далее "УправКом"). </w:t>
      </w:r>
    </w:p>
    <w:p>
      <w:pPr>
        <w:spacing w:after="0"/>
        <w:ind w:left="0"/>
        <w:jc w:val="both"/>
      </w:pPr>
      <w:r>
        <w:rPr>
          <w:rFonts w:ascii="Times New Roman"/>
          <w:b w:val="false"/>
          <w:i w:val="false"/>
          <w:color w:val="000000"/>
          <w:sz w:val="28"/>
        </w:rPr>
        <w:t>
      НК КМГ считает, что все возмещаемые затраты в отчете о возмещаемых расходах классифицированы в соответствии с СКСРП, и расходы, определенные как возмещаемые, правомерно подлежат возмещению на 31 декабря 2013 года.</w:t>
      </w:r>
    </w:p>
    <w:p>
      <w:pPr>
        <w:spacing w:after="0"/>
        <w:ind w:left="0"/>
        <w:jc w:val="both"/>
      </w:pPr>
      <w:r>
        <w:rPr>
          <w:rFonts w:ascii="Times New Roman"/>
          <w:b w:val="false"/>
          <w:i w:val="false"/>
          <w:color w:val="000000"/>
          <w:sz w:val="28"/>
        </w:rPr>
        <w:t>
      Тем не менее, определенные затраты не были утверждены УправКомом в соответствии с разделами 13 и 14 СКСРП. Такие расходы считаются невозмещаемыми расходами для КМГ Кашаган до утверждения УправКомом. Продолжаются переговоры с Уполномоченным органом для разрешения этих вопросов.</w:t>
      </w:r>
    </w:p>
    <w:p>
      <w:pPr>
        <w:spacing w:after="0"/>
        <w:ind w:left="0"/>
        <w:jc w:val="both"/>
      </w:pPr>
      <w:r>
        <w:rPr>
          <w:rFonts w:ascii="Times New Roman"/>
          <w:b w:val="false"/>
          <w:i w:val="false"/>
          <w:color w:val="000000"/>
          <w:sz w:val="28"/>
        </w:rPr>
        <w:t>
      В результате проверок возмещения затрат за период с 2001 по 2008 годы, расходы на сумму 7.975 миллионов долларов США (1.224.991 миллион тенге по курсу на 31 декабря 2013 года) считались невозмещаемыми. Доля НК КМГ в этих затратах составляла 1.340 миллионов долларов США (205.889 миллионов тенге по курсу на 31 декабря 2013 года). В результате длительных переговоров между подрядчиками и устранения большинства указанных замечаний, 28 ноября 2011 года Полномочным органом (ТОО "PSA") и подрядчиками была подписана резолюция, согласно которой сумма невозмещаемых затрат была снижена до 2.959 миллионов долларов США (454.476 миллионов тенге по курсу на 31 декабря 2013 года), с долей НК КМГ в этих расходах, составляющей 497 миллионов долларов США (76.382 миллиона тенге по курсу на 31 декабря 2013 года).</w:t>
      </w:r>
    </w:p>
    <w:p>
      <w:pPr>
        <w:spacing w:after="0"/>
        <w:ind w:left="0"/>
        <w:jc w:val="both"/>
      </w:pPr>
      <w:r>
        <w:rPr>
          <w:rFonts w:ascii="Times New Roman"/>
          <w:b w:val="false"/>
          <w:i w:val="false"/>
          <w:color w:val="000000"/>
          <w:sz w:val="28"/>
        </w:rPr>
        <w:t>
      В рамках Соглашения об урегулировании, подписанного 17 мая 2012 года, были проведены дополнительные переговоры с Полномочным органом, в результате которых сумма невозмещаемых затрат была снижена до 230 миллионов долларов США (35.315 миллионов тенге по курсу на 31 декабря 2013 года) с долей НК КМГ в размере 39 миллионов долларов США (5.953 миллионов тенге по курсу на 31 декабря 2013 года).</w:t>
      </w:r>
    </w:p>
    <w:p>
      <w:pPr>
        <w:spacing w:after="0"/>
        <w:ind w:left="0"/>
        <w:jc w:val="both"/>
      </w:pPr>
      <w:r>
        <w:rPr>
          <w:rFonts w:ascii="Times New Roman"/>
          <w:b w:val="false"/>
          <w:i w:val="false"/>
          <w:color w:val="000000"/>
          <w:sz w:val="28"/>
        </w:rPr>
        <w:t>
      Проверка возмещаемости затрат за 2009 год была завершена в 2012 году. В результате проведенной проверки затраты в размере 875 миллионов долларов США (134.409 миллионов тенге по курсу на 31 декабря 2013 года) были классифицированы как невозмещаемые. Доля НК КМГ в данных затратах составляет 147 миллионов долларов США (22.590 миллионов тенге по курсу на 31 декабря 2013 года). Переговоры для решения вопроса продолжаются.</w:t>
      </w:r>
    </w:p>
    <w:p>
      <w:pPr>
        <w:spacing w:after="0"/>
        <w:ind w:left="0"/>
        <w:jc w:val="both"/>
      </w:pPr>
      <w:r>
        <w:rPr>
          <w:rFonts w:ascii="Times New Roman"/>
          <w:b w:val="false"/>
          <w:i w:val="false"/>
          <w:color w:val="000000"/>
          <w:sz w:val="28"/>
        </w:rPr>
        <w:t>
      Проверка возмещаемости затрат за 2010 год была завершена в 2013 году. В результате проведенной проверки первоначально невозмещаемыми затратами была признана сумма в 1.336 миллионов долларов США (205.824 миллионов тенге по курсу на 31 декабря 2013 года). В результате переговоров и мероприятий, проведенных подрядчиками для устранения замечаний, сумма в 2.083 тысячи долларов США (320.907 тысяч тенге по курсу на 31 декабря 2013 года) была классифицирована как невозмещаемые затраты, а сумма в 785.101 тысячу долларов США (120.952.660 тысяч тенге по курсу на 31 декабря 2013 года) остается неурегулированной. Доля Группы в данных затратах составляет 350 тысяч долларов США (53.921 тысяч тенге по курсу на 31 декабря 2013 года) и 131.950 тысяч долларов США (20.328.217 тысяч тенге по курсу на 31 декабря 2013 года), соответственно. Переговоры для решения вопроса продолжаются.</w:t>
      </w:r>
    </w:p>
    <w:bookmarkStart w:name="z230" w:id="230"/>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контракту на недропользование (КМГ Карачаганак)</w:t>
      </w:r>
    </w:p>
    <w:bookmarkEnd w:id="230"/>
    <w:p>
      <w:pPr>
        <w:spacing w:after="0"/>
        <w:ind w:left="0"/>
        <w:jc w:val="both"/>
      </w:pPr>
      <w:r>
        <w:rPr>
          <w:rFonts w:ascii="Times New Roman"/>
          <w:b w:val="false"/>
          <w:i w:val="false"/>
          <w:color w:val="000000"/>
          <w:sz w:val="28"/>
        </w:rPr>
        <w:t xml:space="preserve">
      Карачаганакское ОСРП (далее "ОСРП") является объектом периодических проверок со стороны государственных органов касательно выполнения требований контракта на недропользование. Руководство сотрудничает с государственными органами по согласованию исправительных мер, необходимых для разрешения вопросов, выявленных в ходе таких проверок. Невыполнение положений, содержащихся в ОСРП, может привести к штрафам, пени, ограничению, приостановлению или отзыву ОСРП. </w:t>
      </w:r>
    </w:p>
    <w:p>
      <w:pPr>
        <w:spacing w:after="0"/>
        <w:ind w:left="0"/>
        <w:jc w:val="both"/>
      </w:pPr>
      <w:r>
        <w:rPr>
          <w:rFonts w:ascii="Times New Roman"/>
          <w:b w:val="false"/>
          <w:i w:val="false"/>
          <w:color w:val="000000"/>
          <w:sz w:val="28"/>
        </w:rPr>
        <w:t>
      На основании ОСРП, Правительство Республики Казахстан передало эксклюзивные права Компаниям-подрядчикам (далее "КП") на ведение деятельности, в том числе включая право на недропользование, но не передало права собственности или аренды на данное месторождение. Как следствие, все полученные и обработанные углеводороды (т.е. готовый продукт) является собственностью государства. Работа по добыче углеводородов осуществляется на основе компенсации, где государство возмещает деятельность КП в неденежной форме, в виде части готовой продукции, таким образом позволяя КП возмещать их затраты и зарабатывать доходы.</w:t>
      </w:r>
    </w:p>
    <w:p>
      <w:pPr>
        <w:spacing w:after="0"/>
        <w:ind w:left="0"/>
        <w:jc w:val="both"/>
      </w:pPr>
      <w:r>
        <w:rPr>
          <w:rFonts w:ascii="Times New Roman"/>
          <w:b w:val="false"/>
          <w:i w:val="false"/>
          <w:color w:val="000000"/>
          <w:sz w:val="28"/>
        </w:rPr>
        <w:t>
      В соответствии с ОСРП не все затраты, понесенные КП, могут быть возмещены. Будущие затраты на возмещение должны утверждаться Совместным комитетом по управлению.</w:t>
      </w:r>
    </w:p>
    <w:p>
      <w:pPr>
        <w:spacing w:after="0"/>
        <w:ind w:left="0"/>
        <w:jc w:val="both"/>
      </w:pPr>
      <w:r>
        <w:rPr>
          <w:rFonts w:ascii="Times New Roman"/>
          <w:b w:val="false"/>
          <w:i w:val="false"/>
          <w:color w:val="000000"/>
          <w:sz w:val="28"/>
        </w:rPr>
        <w:t>
      Уполномоченный орган предоставил акты ревизии возмещаемых затрат за 2010-2011 годы. В настоящий момент между КП по Карачаганакскому ОСРП и Полномочным органом (ТОО "PSA"), идет обсуждение результатов "Акта ревизии о результатах проверки расчета возмещаемых затрат Счета Нефтегазовых Операций за 2010 Подрядный год по соглашению о разделе продукции подрядного участка Карачаганакского нефтегазоконденсатного месторождения от 18 ноября 1997 года" (далее "Акт ревизии 2010 года"). Согласно вышеуказанному Акту ревизии Полномочный орган предъявил претензии по включению в состав возмещаемых затрат за 2010 год сумму в размере 456.866 тысяч долларов США (70.179 миллионов тенге по курсу на 31 декабря 2013 года). При этом КП в качестве невозмещаемых были признаны 8.869 тысяч долларов США (1.362 миллиона тенге по курсу на 31 декабря 2013 года). По результатам 3-го раунда переговоров между КП и Полномочным органом (по состоянию на январь 2014 года) сумма потенциального спора/арбитража составила 205.563 тысячи долларов США (31.577 миллионов тенге по курсу на 31 декабря 2013 года).</w:t>
      </w:r>
    </w:p>
    <w:p>
      <w:pPr>
        <w:spacing w:after="0"/>
        <w:ind w:left="0"/>
        <w:jc w:val="both"/>
      </w:pPr>
      <w:r>
        <w:rPr>
          <w:rFonts w:ascii="Times New Roman"/>
          <w:b w:val="false"/>
          <w:i w:val="false"/>
          <w:color w:val="000000"/>
          <w:sz w:val="28"/>
        </w:rPr>
        <w:t>
      Согласно Акту ревизии 2011 года Полномочный орган предъявил претензии по включению в состав возмещаемых затрат за 2011 год сумму в размере 200.606 тысяч долларов США (30.815 миллионов тенге по курсу на 31 декабря 2013 года). В данный момент результаты рассматриваются КП.</w:t>
      </w:r>
    </w:p>
    <w:bookmarkStart w:name="z231" w:id="231"/>
    <w:p>
      <w:pPr>
        <w:spacing w:after="0"/>
        <w:ind w:left="0"/>
        <w:jc w:val="both"/>
      </w:pPr>
      <w:r>
        <w:rPr>
          <w:rFonts w:ascii="Times New Roman"/>
          <w:b w:val="false"/>
          <w:i w:val="false"/>
          <w:color w:val="000000"/>
          <w:sz w:val="28"/>
        </w:rPr>
        <w:t xml:space="preserve">
      </w:t>
      </w:r>
      <w:r>
        <w:rPr>
          <w:rFonts w:ascii="Times New Roman"/>
          <w:b/>
          <w:i w:val="false"/>
          <w:color w:val="000000"/>
          <w:sz w:val="28"/>
        </w:rPr>
        <w:t>Экспроприация активов Морского Порта Батуми (КТО)</w:t>
      </w:r>
    </w:p>
    <w:bookmarkEnd w:id="231"/>
    <w:p>
      <w:pPr>
        <w:spacing w:after="0"/>
        <w:ind w:left="0"/>
        <w:jc w:val="both"/>
      </w:pPr>
      <w:r>
        <w:rPr>
          <w:rFonts w:ascii="Times New Roman"/>
          <w:b w:val="false"/>
          <w:i w:val="false"/>
          <w:color w:val="000000"/>
          <w:sz w:val="28"/>
        </w:rPr>
        <w:t>
      В соответствии с Cоглашением о доверительном управлении Морским портом Батуми (далее "МПБ") между BTL (ранее BIHL) и Правительством Грузии, Правительство Грузии имеет право на экспроприацию активов МПБ, в случае если МПБ не сможет выполнить свои обязательства по минимальному объему перевалки в 6 миллиона тонн в год. По состоянию на 31 декабря 2013 года, МПБ не был подвержен риску государственной экспроприации со стороны Правительства Грузии, так как фактические объемы перевалки через МПБ составили 10.170 миллионов тонн.</w:t>
      </w:r>
    </w:p>
    <w:bookmarkStart w:name="z232" w:id="232"/>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поставке и приобретению газа (АО "КазТрансГаз")</w:t>
      </w:r>
    </w:p>
    <w:bookmarkEnd w:id="232"/>
    <w:p>
      <w:pPr>
        <w:spacing w:after="0"/>
        <w:ind w:left="0"/>
        <w:jc w:val="both"/>
      </w:pPr>
      <w:r>
        <w:rPr>
          <w:rFonts w:ascii="Times New Roman"/>
          <w:b w:val="false"/>
          <w:i w:val="false"/>
          <w:color w:val="000000"/>
          <w:sz w:val="28"/>
        </w:rPr>
        <w:t>
      На 31 декабря 2013 года у АО "КазТрансГаз" (далее "КТГ") имелись договорные обязательства по поставке газа на экспорт на сумму 754.498 тысяч долларов США (115.898 миллионов тенге) (в 2012 году: 13.512 миллионов тенге). Сумма договорных обязательств по приобретению газа составила 528.200 тысяч долларов США (81.137 миллионов тенге).</w:t>
      </w:r>
    </w:p>
    <w:p>
      <w:pPr>
        <w:spacing w:after="0"/>
        <w:ind w:left="0"/>
        <w:jc w:val="both"/>
      </w:pPr>
      <w:r>
        <w:rPr>
          <w:rFonts w:ascii="Times New Roman"/>
          <w:b w:val="false"/>
          <w:i w:val="false"/>
          <w:color w:val="000000"/>
          <w:sz w:val="28"/>
        </w:rPr>
        <w:t xml:space="preserve">
      В соответствии с контрактами на продажу с Gazprom Schweiz AG в случае непоставки Месячного контрактного количества природного газа по вине КТГ, Группа должна выплатить штраф в размере 0,01% от стоимости не поставленного объема природного газа. На 31 декабря 2013 и 2012 годов руководство НК КМГ считает, что не существует каких-либо обязательств перед Gazprom Schweiz AG в отношении данного положения об ответственности в соответствии с указанным контрактом на продажу. </w:t>
      </w:r>
    </w:p>
    <w:bookmarkStart w:name="z233" w:id="233"/>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поставке и приобретению газа (КТГ-Аймак)</w:t>
      </w:r>
    </w:p>
    <w:bookmarkEnd w:id="233"/>
    <w:p>
      <w:pPr>
        <w:spacing w:after="0"/>
        <w:ind w:left="0"/>
        <w:jc w:val="both"/>
      </w:pPr>
      <w:r>
        <w:rPr>
          <w:rFonts w:ascii="Times New Roman"/>
          <w:b w:val="false"/>
          <w:i w:val="false"/>
          <w:color w:val="000000"/>
          <w:sz w:val="28"/>
        </w:rPr>
        <w:t xml:space="preserve">
      На 31 декабря 2013 года договорные обязательства КТГ-Аймак по приобретению газа составили 13.246 миллионов тенге (2012: 3.221 миллион тенге), по продаже газа сумма обязательств составила 3.598 миллионов </w:t>
      </w:r>
    </w:p>
    <w:bookmarkStart w:name="z234" w:id="234"/>
    <w:p>
      <w:pPr>
        <w:spacing w:after="0"/>
        <w:ind w:left="0"/>
        <w:jc w:val="both"/>
      </w:pPr>
      <w:r>
        <w:rPr>
          <w:rFonts w:ascii="Times New Roman"/>
          <w:b w:val="false"/>
          <w:i w:val="false"/>
          <w:color w:val="000000"/>
          <w:sz w:val="28"/>
        </w:rPr>
        <w:t xml:space="preserve">
      </w:t>
      </w:r>
      <w:r>
        <w:rPr>
          <w:rFonts w:ascii="Times New Roman"/>
          <w:b/>
          <w:i w:val="false"/>
          <w:color w:val="000000"/>
          <w:sz w:val="28"/>
        </w:rPr>
        <w:t>Опцион "пут" с компанией Сино Каз</w:t>
      </w:r>
    </w:p>
    <w:bookmarkEnd w:id="234"/>
    <w:p>
      <w:pPr>
        <w:spacing w:after="0"/>
        <w:ind w:left="0"/>
        <w:jc w:val="both"/>
      </w:pPr>
      <w:r>
        <w:rPr>
          <w:rFonts w:ascii="Times New Roman"/>
          <w:b w:val="false"/>
          <w:i w:val="false"/>
          <w:color w:val="000000"/>
          <w:sz w:val="28"/>
        </w:rPr>
        <w:t>
      НАК КАП заключила опционное соглашение, которое обеспечивает компанию Sino-Kaz возможностью продать свою 49% долю участия в ТОО "Семизбай" НАК КАП по цене, равной сумме, уплаченной Sino-Kaz, за минусом приведенной стоимости чистого дохода, полученного компанией Sino-Kaz. Опцион может быть исполнен в случае, если решение о поставке топливных таблеток, произведенных АО "Ульбинский металлургический завод", дочерней организацией НАК КАП, для реакторов на китайской ядерно-энергетической корпорации Guangdong Nuclear Power Corporation не будет принято до 1 июля 2014 года.</w:t>
      </w:r>
    </w:p>
    <w:p>
      <w:pPr>
        <w:spacing w:after="0"/>
        <w:ind w:left="0"/>
        <w:jc w:val="both"/>
      </w:pPr>
      <w:r>
        <w:rPr>
          <w:rFonts w:ascii="Times New Roman"/>
          <w:b w:val="false"/>
          <w:i w:val="false"/>
          <w:color w:val="000000"/>
          <w:sz w:val="28"/>
        </w:rPr>
        <w:t xml:space="preserve">
      В случае, если вышеуказанное решение не будет принято НАК КАП и CGNPC-URC до 1 июля 2014 года, НАК КАП выкупит, а Sino-Kaz продаст долю участия в ТОО "Семизбай-U" по стоимости, рассчитанной по формуле, определенной в дополнительном соглашении к основному договору. </w:t>
      </w:r>
    </w:p>
    <w:bookmarkStart w:name="z235" w:id="235"/>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Плану Стабилизации</w:t>
      </w:r>
    </w:p>
    <w:bookmarkEnd w:id="235"/>
    <w:p>
      <w:pPr>
        <w:spacing w:after="0"/>
        <w:ind w:left="0"/>
        <w:jc w:val="both"/>
      </w:pPr>
      <w:r>
        <w:rPr>
          <w:rFonts w:ascii="Times New Roman"/>
          <w:b w:val="false"/>
          <w:i w:val="false"/>
          <w:color w:val="000000"/>
          <w:sz w:val="28"/>
        </w:rPr>
        <w:t xml:space="preserve">
      Фонд назначен основным оператором Правительства в осуществлении Плана Стабилизации, утвержденного Правительством в 2008 году </w:t>
      </w:r>
      <w:r>
        <w:rPr>
          <w:rFonts w:ascii="Times New Roman"/>
          <w:b w:val="false"/>
          <w:i/>
          <w:color w:val="000000"/>
          <w:sz w:val="28"/>
        </w:rPr>
        <w:t>(Примечание 1).</w:t>
      </w:r>
    </w:p>
    <w:p>
      <w:pPr>
        <w:spacing w:after="0"/>
        <w:ind w:left="0"/>
        <w:jc w:val="both"/>
      </w:pPr>
      <w:r>
        <w:rPr>
          <w:rFonts w:ascii="Times New Roman"/>
          <w:b w:val="false"/>
          <w:i w:val="false"/>
          <w:color w:val="000000"/>
          <w:sz w:val="28"/>
        </w:rPr>
        <w:t>
      В соответствии с протоколами государственной комиссии по вопросам модернизации экономики Республики Казахстан запланировано повторно использовать средства, предусмотренные по Плану стабилизации.</w:t>
      </w:r>
    </w:p>
    <w:p>
      <w:pPr>
        <w:spacing w:after="0"/>
        <w:ind w:left="0"/>
        <w:jc w:val="both"/>
      </w:pPr>
      <w:r>
        <w:rPr>
          <w:rFonts w:ascii="Times New Roman"/>
          <w:b w:val="false"/>
          <w:i w:val="false"/>
          <w:color w:val="000000"/>
          <w:sz w:val="28"/>
        </w:rPr>
        <w:t>
      Обязательства по повторному использованию антикризисных средств</w:t>
      </w:r>
    </w:p>
    <w:p>
      <w:pPr>
        <w:spacing w:after="0"/>
        <w:ind w:left="0"/>
        <w:jc w:val="both"/>
      </w:pPr>
      <w:r>
        <w:rPr>
          <w:rFonts w:ascii="Times New Roman"/>
          <w:b w:val="false"/>
          <w:i w:val="false"/>
          <w:color w:val="000000"/>
          <w:sz w:val="28"/>
        </w:rPr>
        <w:t>
      В соответствии с протоколами заседаний Государственной комиссии по вопросам модернизации экономики Республики Казахстан № 17-5/И-380 от 5 апреля 2012 года, № 17-5/11-10 от 30 января 2013 года и № 17-5/И-788 от 7 октября 2013 года Фонду надлежит осуществить финансирование ряда инвестиционных проектов на общую сумму 540.752 миллионов тенге в течение 2012-2014 годов. С учетом освоенных средств в 20122013 годах, обязательства Фонда по состоянию на 31 декабря 2013 года к освоению в 2014 году составляют 193.714 миллионов тенге (2012: 415.324 миллиона тенге), в том числе по следующим проектам: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Финансирование программы жилищного строительства – реализация программы "Доступное жилье"</w:t>
      </w:r>
    </w:p>
    <w:p>
      <w:pPr>
        <w:spacing w:after="0"/>
        <w:ind w:left="0"/>
        <w:jc w:val="both"/>
      </w:pPr>
      <w:r>
        <w:rPr>
          <w:rFonts w:ascii="Times New Roman"/>
          <w:b w:val="false"/>
          <w:i w:val="false"/>
          <w:color w:val="000000"/>
          <w:sz w:val="28"/>
        </w:rPr>
        <w:t xml:space="preserve">
      В соответствии с Постановлением Правительства от 21 июня 2012 года № 821 на строительство жилья через АО "Фонд недвижимости "Самрук-Казына" должны будут использоваться средства Фонда и средства Национального Фонда. В соответствии с протоколом заседания Государственной комиссии по вопросам модернизации экономики Республики Казахстан № 17-5/11-10 от 30 января 2013 года Фонд перераспределил средства на финансирование инвестиционного проекта "Строительство магистрального газопровода Запад-Север-Центр" (Карталы-Тобол-Кокшетау-Астана) в размере 56.615 миллионов тенге из средств, предусмотренных на финансирование </w:t>
      </w:r>
      <w:r>
        <w:rPr>
          <w:rFonts w:ascii="Times New Roman"/>
          <w:b w:val="false"/>
          <w:i w:val="false"/>
          <w:color w:val="000000"/>
          <w:sz w:val="28"/>
        </w:rPr>
        <w:t>программы</w:t>
      </w:r>
      <w:r>
        <w:rPr>
          <w:rFonts w:ascii="Times New Roman"/>
          <w:b w:val="false"/>
          <w:i w:val="false"/>
          <w:color w:val="000000"/>
          <w:sz w:val="28"/>
        </w:rPr>
        <w:t xml:space="preserve"> "Доступное жилье". По состоянию на 31 декабря 2013 года обязательства Фонда по финансированию программы "Доступное жилье - 2020" с учетом перераспределенных средств составляют 8.100 миллионов тенге (2012: 36.200 миллионов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Реализация прочих инвестиционных проектов Фонда</w:t>
      </w:r>
    </w:p>
    <w:p>
      <w:pPr>
        <w:spacing w:after="0"/>
        <w:ind w:left="0"/>
        <w:jc w:val="both"/>
      </w:pPr>
      <w:r>
        <w:rPr>
          <w:rFonts w:ascii="Times New Roman"/>
          <w:b w:val="false"/>
          <w:i w:val="false"/>
          <w:color w:val="000000"/>
          <w:sz w:val="28"/>
        </w:rPr>
        <w:t>
      По состоянию на 31 декабря 2013 года обязательства Фонда по финансированию прочих инвестиционных проектов составляют 185.614 миллионов тенге (2012: 379.124 миллиона тенге).</w:t>
      </w:r>
    </w:p>
    <w:p>
      <w:pPr>
        <w:spacing w:after="0"/>
        <w:ind w:left="0"/>
        <w:jc w:val="both"/>
      </w:pPr>
      <w:r>
        <w:rPr>
          <w:rFonts w:ascii="Times New Roman"/>
          <w:b w:val="false"/>
          <w:i w:val="false"/>
          <w:color w:val="000000"/>
          <w:sz w:val="28"/>
        </w:rPr>
        <w:t xml:space="preserve">
      Кроме того, в соответствии с протоколом заседания Государственной комиссии по вопросам модернизации экономики Республики Казахстан № 17-5/11-10 от 30 января 2013 года в 2013 году Фонду поручено осуществить финансирование инвестиционного проекта "Строительство магистрального газопровода Запад-Север-Центр" (Карталы-Тобол-Кокшетау-Астана) в размере 60.000 миллионов тенге за счет собственных средств Фонда и/или за счет средств АО "Национальная Компания "КазМунайГаз", в том числе 20.000 миллионов тенге планируется выделить за счет средств АО "Национальная Компания "КазМунайГаз". </w:t>
      </w:r>
    </w:p>
    <w:p>
      <w:pPr>
        <w:spacing w:after="0"/>
        <w:ind w:left="0"/>
        <w:jc w:val="both"/>
      </w:pPr>
      <w:r>
        <w:rPr>
          <w:rFonts w:ascii="Times New Roman"/>
          <w:b w:val="false"/>
          <w:i w:val="false"/>
          <w:color w:val="000000"/>
          <w:sz w:val="28"/>
        </w:rPr>
        <w:t>
      В соответствии с протоколом заседания Межведомственной комиссии по развитию нефтегазовой и энергетической отраслей № 17-5/07-145 от 19 апреля 2013 года реализация проекта вышеуказанного проекта приостановлена сроком на 1 (один) год.</w:t>
      </w:r>
    </w:p>
    <w:p>
      <w:pPr>
        <w:spacing w:after="0"/>
        <w:ind w:left="0"/>
        <w:jc w:val="both"/>
      </w:pPr>
      <w:r>
        <w:rPr>
          <w:rFonts w:ascii="Times New Roman"/>
          <w:b w:val="false"/>
          <w:i w:val="false"/>
          <w:color w:val="000000"/>
          <w:sz w:val="28"/>
        </w:rPr>
        <w:t xml:space="preserve">
      Вместе с тем, данные средства и средства, перераспределенные из </w:t>
      </w:r>
      <w:r>
        <w:rPr>
          <w:rFonts w:ascii="Times New Roman"/>
          <w:b w:val="false"/>
          <w:i w:val="false"/>
          <w:color w:val="000000"/>
          <w:sz w:val="28"/>
        </w:rPr>
        <w:t>программы</w:t>
      </w:r>
      <w:r>
        <w:rPr>
          <w:rFonts w:ascii="Times New Roman"/>
          <w:b w:val="false"/>
          <w:i w:val="false"/>
          <w:color w:val="000000"/>
          <w:sz w:val="28"/>
        </w:rPr>
        <w:t xml:space="preserve"> "Доступное жилье", планируется возместить путем выделения из Республиканского бюджета в 2014 году средств на увеличение уставного капитала Фонда в размере 122.707 миллионов тенге. </w:t>
      </w:r>
    </w:p>
    <w:bookmarkStart w:name="z236" w:id="236"/>
    <w:p>
      <w:pPr>
        <w:spacing w:after="0"/>
        <w:ind w:left="0"/>
        <w:jc w:val="both"/>
      </w:pPr>
      <w:r>
        <w:rPr>
          <w:rFonts w:ascii="Times New Roman"/>
          <w:b w:val="false"/>
          <w:i w:val="false"/>
          <w:color w:val="000000"/>
          <w:sz w:val="28"/>
        </w:rPr>
        <w:t xml:space="preserve">
      </w:t>
      </w:r>
      <w:r>
        <w:rPr>
          <w:rFonts w:ascii="Times New Roman"/>
          <w:b/>
          <w:i w:val="false"/>
          <w:color w:val="000000"/>
          <w:sz w:val="28"/>
        </w:rPr>
        <w:t>41. СЕГМЕНТНАЯ ОТЧЕТНОСТЬ</w:t>
      </w:r>
    </w:p>
    <w:bookmarkEnd w:id="236"/>
    <w:p>
      <w:pPr>
        <w:spacing w:after="0"/>
        <w:ind w:left="0"/>
        <w:jc w:val="both"/>
      </w:pPr>
      <w:r>
        <w:rPr>
          <w:rFonts w:ascii="Times New Roman"/>
          <w:b w:val="false"/>
          <w:i w:val="false"/>
          <w:color w:val="000000"/>
          <w:sz w:val="28"/>
        </w:rPr>
        <w:t xml:space="preserve">
      Для управленческих целей деятельность Группы подразделяется в соответствии с видом производимой продукции и типом оказываемых услуг на следующие 7 (семь) операционных сегментов: </w:t>
      </w:r>
    </w:p>
    <w:p>
      <w:pPr>
        <w:spacing w:after="0"/>
        <w:ind w:left="0"/>
        <w:jc w:val="both"/>
      </w:pPr>
      <w:r>
        <w:rPr>
          <w:rFonts w:ascii="Times New Roman"/>
          <w:b w:val="false"/>
          <w:i w:val="false"/>
          <w:color w:val="000000"/>
          <w:sz w:val="28"/>
        </w:rPr>
        <w:t>
      Нефтегазовый сегмент включает операции по разведке и добыче нефти и газа, транспортировке нефти и газа, переработке и продаже сырой нефти и продуктов переработки.</w:t>
      </w:r>
    </w:p>
    <w:p>
      <w:pPr>
        <w:spacing w:after="0"/>
        <w:ind w:left="0"/>
        <w:jc w:val="both"/>
      </w:pPr>
      <w:r>
        <w:rPr>
          <w:rFonts w:ascii="Times New Roman"/>
          <w:b w:val="false"/>
          <w:i w:val="false"/>
          <w:color w:val="000000"/>
          <w:sz w:val="28"/>
        </w:rPr>
        <w:t>
      Горнопромышленный сегмент включает операции по разведке, добыче, переработке и продаже минеральных ресурсов, предприятия оборонного комплекса и гражданского машиностроения, проекты по развитию химической отрасли и геологоразведки.</w:t>
      </w:r>
    </w:p>
    <w:p>
      <w:pPr>
        <w:spacing w:after="0"/>
        <w:ind w:left="0"/>
        <w:jc w:val="both"/>
      </w:pPr>
      <w:r>
        <w:rPr>
          <w:rFonts w:ascii="Times New Roman"/>
          <w:b w:val="false"/>
          <w:i w:val="false"/>
          <w:color w:val="000000"/>
          <w:sz w:val="28"/>
        </w:rPr>
        <w:t xml:space="preserve">
      Сегмент транспортировки включает операции по железнодорожной и воздушной перевозке грузов и пассажиров. </w:t>
      </w:r>
    </w:p>
    <w:p>
      <w:pPr>
        <w:spacing w:after="0"/>
        <w:ind w:left="0"/>
        <w:jc w:val="both"/>
      </w:pPr>
      <w:r>
        <w:rPr>
          <w:rFonts w:ascii="Times New Roman"/>
          <w:b w:val="false"/>
          <w:i w:val="false"/>
          <w:color w:val="000000"/>
          <w:sz w:val="28"/>
        </w:rPr>
        <w:t>
      Сегмент телекоммуникаций включает операции по услугам фиксированной связи, включая местную, междугороднюю и международную связь (включая страны, входящие и не входящие в СНГ); а также услуги аренды каналов связи, передачи данных и беспроводной связи.</w:t>
      </w:r>
    </w:p>
    <w:p>
      <w:pPr>
        <w:spacing w:after="0"/>
        <w:ind w:left="0"/>
        <w:jc w:val="both"/>
      </w:pPr>
      <w:r>
        <w:rPr>
          <w:rFonts w:ascii="Times New Roman"/>
          <w:b w:val="false"/>
          <w:i w:val="false"/>
          <w:color w:val="000000"/>
          <w:sz w:val="28"/>
        </w:rPr>
        <w:t>
      Энергетический сегмент включает операции по производству и передаче электрической энергии, по технической диспетчеризации отпуска электроэнергии в электроэнергетическую систему и потребления импортируемой электроэнергии, функции централизованного оперативно-диспетчерского управления объектами Единой электроэнергетической системы Республики Казахстан.</w:t>
      </w:r>
    </w:p>
    <w:p>
      <w:pPr>
        <w:spacing w:after="0"/>
        <w:ind w:left="0"/>
        <w:jc w:val="both"/>
      </w:pPr>
      <w:r>
        <w:rPr>
          <w:rFonts w:ascii="Times New Roman"/>
          <w:b w:val="false"/>
          <w:i w:val="false"/>
          <w:color w:val="000000"/>
          <w:sz w:val="28"/>
        </w:rPr>
        <w:t>
      Сегмент финансовых институтов и институтов развития включает операции по увеличению и стимулированию инвестиционной и инновационной деятельности во всех сегментах экономики Казахстана.</w:t>
      </w:r>
    </w:p>
    <w:p>
      <w:pPr>
        <w:spacing w:after="0"/>
        <w:ind w:left="0"/>
        <w:jc w:val="both"/>
      </w:pPr>
      <w:r>
        <w:rPr>
          <w:rFonts w:ascii="Times New Roman"/>
          <w:b w:val="false"/>
          <w:i w:val="false"/>
          <w:color w:val="000000"/>
          <w:sz w:val="28"/>
        </w:rPr>
        <w:t>
      Операции Самрук-Казына были включены в сегмент Корпоративный центр и проекты.</w:t>
      </w:r>
    </w:p>
    <w:p>
      <w:pPr>
        <w:spacing w:after="0"/>
        <w:ind w:left="0"/>
        <w:jc w:val="both"/>
      </w:pPr>
      <w:r>
        <w:rPr>
          <w:rFonts w:ascii="Times New Roman"/>
          <w:b w:val="false"/>
          <w:i w:val="false"/>
          <w:color w:val="000000"/>
          <w:sz w:val="28"/>
        </w:rPr>
        <w:t>
      Некоторые из вышеуказанных отчетных сегментов сформированы путем агрегирования более мелких операционных сегментов в соответствии с организационной структурой Группы. Каждый отчетный сегмент осуществляет бухгалтерский учет в соответствии с МСФО. Финансовые результаты деятельности каждого сегмента, подготовленные в соответствии с МСФО, представляются главному управляющему и ответственному за принятие решений, для целей принятия решений о распределении ресурсов сегменту и оценки результатов его деятельности.</w:t>
      </w:r>
    </w:p>
    <w:p>
      <w:pPr>
        <w:spacing w:after="0"/>
        <w:ind w:left="0"/>
        <w:jc w:val="both"/>
      </w:pPr>
      <w:r>
        <w:rPr>
          <w:rFonts w:ascii="Times New Roman"/>
          <w:b w:val="false"/>
          <w:i w:val="false"/>
          <w:color w:val="000000"/>
          <w:sz w:val="28"/>
        </w:rPr>
        <w:t>
      Ниже представлена информация о прибылях и убытках, активах и обязательствах операционных сегментов Группы за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292"/>
        <w:gridCol w:w="1121"/>
        <w:gridCol w:w="1292"/>
        <w:gridCol w:w="1121"/>
        <w:gridCol w:w="1122"/>
        <w:gridCol w:w="1292"/>
        <w:gridCol w:w="1292"/>
        <w:gridCol w:w="1489"/>
        <w:gridCol w:w="1441"/>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Горнопромышленный</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институты и институты развития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центр и проекты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Элиминации</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внешним покупателям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3.214.061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308.819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982.689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192.245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5.048.176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другим сегментам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(239.217)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3.252.719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333.977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999.128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(239.217)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5.048.176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 за год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транспортировке и реализации</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прибыли совместных предприятий и ассоциированных компаний</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от курсовой разницы, нетто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истощение и амортизация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займов выданных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прочих активов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резервы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 за год от продолжающейся деятельности</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 за год от прекращенной деятельности</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488.642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информация по сегментам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сегмента*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7.594.320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963.298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2.636.642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465.341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889.587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2.415.389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5.380.531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(5.050.619)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15.294.489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сегмента*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3.558.129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1.250.427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357.899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2.215.777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1.601.354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(1.642.143)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7.787.897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сомнительной задолженности</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совместные предприятия и в ассоциированные компании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382.328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473.847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1.323.658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По состоянию на 31 декабря 2013 года итого активы и итого обязательства сегмента финансовые институты и институты развития в сумме 2.415.389 миллионов тенге и 2.215.777 миллионов тенге содержат в себе активы классифицированные, как предназначенные для продажи и обязательства, связанные с активами для продажи АО "БТА Банк" и АО "Темiрбанк" в сумме 1.746.048 миллионов тенге и 1.570.189 миллионов тенге соответственно (Примечание 6).</w:t>
      </w:r>
    </w:p>
    <w:p>
      <w:pPr>
        <w:spacing w:after="0"/>
        <w:ind w:left="0"/>
        <w:jc w:val="both"/>
      </w:pPr>
      <w:r>
        <w:rPr>
          <w:rFonts w:ascii="Times New Roman"/>
          <w:b w:val="false"/>
          <w:i w:val="false"/>
          <w:color w:val="000000"/>
          <w:sz w:val="28"/>
        </w:rPr>
        <w:t>
      Ниже представлена информация о прибылях и убытках, активах и обязательствах операционных сегментов Группы за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284"/>
        <w:gridCol w:w="1115"/>
        <w:gridCol w:w="1284"/>
        <w:gridCol w:w="1115"/>
        <w:gridCol w:w="1115"/>
        <w:gridCol w:w="1284"/>
        <w:gridCol w:w="1285"/>
        <w:gridCol w:w="1480"/>
        <w:gridCol w:w="1432"/>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миллионах тенге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Горнопромышленный</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институты и институты развития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центр и проекты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Элиминации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(пересчитано)</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внешним покупателям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2.920.407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350.885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904.626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168.625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4.697.225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другим сегментам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361.594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(465.385)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374.293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195.075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469.318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(465.385)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4.697.225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 за год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274.486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1.334.837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транспортировке и реализации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(377.334)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прибыли совместных предприятий и ассоциированных компаний</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471.087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 (убыток) от курсовой разницы, нетто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истощение и амортизация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займов выданных</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средств в кредитных учреждениях</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282.068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Обесценения прочих активов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(221.185)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резервы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 от продолжающейся деятельности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338.559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557.835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 от прекращенной деятельности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580.063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чистая прибыль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223.089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338.559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(462.566)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1.137.898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информация по сегментам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сегмента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6.881.891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765.076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2.232.048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465.384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4.024.405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5.289.150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(5.210.750)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15.274.204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сегмента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3.265.866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1.120.819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339.583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3.147.174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(2.131.643)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7.858.745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сомнительной задолженности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совместные предприятия и в ассоциированные компании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894.097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481.071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1.221.758</w:t>
            </w:r>
          </w:p>
        </w:tc>
      </w:tr>
    </w:tbl>
    <w:p>
      <w:pPr>
        <w:spacing w:after="0"/>
        <w:ind w:left="0"/>
        <w:jc w:val="left"/>
      </w:pPr>
      <w:r>
        <w:br/>
      </w:r>
      <w:r>
        <w:rPr>
          <w:rFonts w:ascii="Times New Roman"/>
          <w:b w:val="false"/>
          <w:i w:val="false"/>
          <w:color w:val="000000"/>
          <w:sz w:val="28"/>
        </w:rPr>
        <w:t>
</w:t>
      </w:r>
    </w:p>
    <w:bookmarkStart w:name="z237" w:id="237"/>
    <w:p>
      <w:pPr>
        <w:spacing w:after="0"/>
        <w:ind w:left="0"/>
        <w:jc w:val="both"/>
      </w:pPr>
      <w:r>
        <w:rPr>
          <w:rFonts w:ascii="Times New Roman"/>
          <w:b w:val="false"/>
          <w:i w:val="false"/>
          <w:color w:val="000000"/>
          <w:sz w:val="28"/>
        </w:rPr>
        <w:t xml:space="preserve">
      </w:t>
      </w:r>
      <w:r>
        <w:rPr>
          <w:rFonts w:ascii="Times New Roman"/>
          <w:b/>
          <w:i w:val="false"/>
          <w:color w:val="000000"/>
          <w:sz w:val="28"/>
        </w:rPr>
        <w:t>42. СОБЫТИЯ ПОСЛЕ ОТЧЕТНОЙ ДАТЫ</w:t>
      </w:r>
    </w:p>
    <w:bookmarkEnd w:id="237"/>
    <w:bookmarkStart w:name="z238" w:id="238"/>
    <w:p>
      <w:pPr>
        <w:spacing w:after="0"/>
        <w:ind w:left="0"/>
        <w:jc w:val="both"/>
      </w:pPr>
      <w:r>
        <w:rPr>
          <w:rFonts w:ascii="Times New Roman"/>
          <w:b w:val="false"/>
          <w:i w:val="false"/>
          <w:color w:val="000000"/>
          <w:sz w:val="28"/>
        </w:rPr>
        <w:t xml:space="preserve">
      </w:t>
      </w:r>
      <w:r>
        <w:rPr>
          <w:rFonts w:ascii="Times New Roman"/>
          <w:b/>
          <w:i w:val="false"/>
          <w:color w:val="000000"/>
          <w:sz w:val="28"/>
        </w:rPr>
        <w:t>Девальвация тенге</w:t>
      </w:r>
    </w:p>
    <w:bookmarkEnd w:id="238"/>
    <w:p>
      <w:pPr>
        <w:spacing w:after="0"/>
        <w:ind w:left="0"/>
        <w:jc w:val="both"/>
      </w:pPr>
      <w:r>
        <w:rPr>
          <w:rFonts w:ascii="Times New Roman"/>
          <w:b w:val="false"/>
          <w:i w:val="false"/>
          <w:color w:val="000000"/>
          <w:sz w:val="28"/>
        </w:rPr>
        <w:t>
      11 февраля 2014 года тенге девальвировал по отношению к доллару США и другим основным валютам. Обменный курс до и после девальвации составил 155,56 за 1 доллар США и 184,5 за 1 доллар США, соответственно, что близко к девальвации тенге на 19%. Чувствительность чистой прибыли Группы до учета подоходного налога к возможным изменениям в обменных курсах тенге по отношению к доллару США раскрыто в Примечании 39. Данный анализ чувствительности показывает только возможный эффект девальвации тенге, как если бы она произошла по состоянию на 31 декабря 2013 года, при том условии, что все остальные параметры приняты как неизменные величины.</w:t>
      </w:r>
    </w:p>
    <w:bookmarkStart w:name="z239" w:id="239"/>
    <w:p>
      <w:pPr>
        <w:spacing w:after="0"/>
        <w:ind w:left="0"/>
        <w:jc w:val="both"/>
      </w:pPr>
      <w:r>
        <w:rPr>
          <w:rFonts w:ascii="Times New Roman"/>
          <w:b w:val="false"/>
          <w:i w:val="false"/>
          <w:color w:val="000000"/>
          <w:sz w:val="28"/>
        </w:rPr>
        <w:t xml:space="preserve">
      </w:t>
      </w:r>
      <w:r>
        <w:rPr>
          <w:rFonts w:ascii="Times New Roman"/>
          <w:b/>
          <w:i w:val="false"/>
          <w:color w:val="000000"/>
          <w:sz w:val="28"/>
        </w:rPr>
        <w:t>Займы</w:t>
      </w:r>
    </w:p>
    <w:bookmarkEnd w:id="239"/>
    <w:p>
      <w:pPr>
        <w:spacing w:after="0"/>
        <w:ind w:left="0"/>
        <w:jc w:val="both"/>
      </w:pPr>
      <w:r>
        <w:rPr>
          <w:rFonts w:ascii="Times New Roman"/>
          <w:b w:val="false"/>
          <w:i w:val="false"/>
          <w:color w:val="000000"/>
          <w:sz w:val="28"/>
        </w:rPr>
        <w:t>
      ТОО "Газопровод Бейнеу-Шымкент", совместное предприятие НК КМГ, получил новый транш в сумме 150 миллионов долларов США (27 миллиардов тенге по курсу на дату получения) по кредитной линии от Государственного Банка Развития Китая на 1,8 миллиардов долларов США.</w:t>
      </w:r>
    </w:p>
    <w:p>
      <w:pPr>
        <w:spacing w:after="0"/>
        <w:ind w:left="0"/>
        <w:jc w:val="both"/>
      </w:pPr>
      <w:r>
        <w:rPr>
          <w:rFonts w:ascii="Times New Roman"/>
          <w:b w:val="false"/>
          <w:i w:val="false"/>
          <w:color w:val="000000"/>
          <w:sz w:val="28"/>
        </w:rPr>
        <w:t>
      28 февраля 2014 года АО "Казахтелеком" заключило кредитное соглашение с Bank of China на сумму 170 млн. долларов США.</w:t>
      </w:r>
    </w:p>
    <w:p>
      <w:pPr>
        <w:spacing w:after="0"/>
        <w:ind w:left="0"/>
        <w:jc w:val="both"/>
      </w:pPr>
      <w:r>
        <w:rPr>
          <w:rFonts w:ascii="Times New Roman"/>
          <w:b w:val="false"/>
          <w:i w:val="false"/>
          <w:color w:val="000000"/>
          <w:sz w:val="28"/>
        </w:rPr>
        <w:t>
      В январе 2014 года Фонд разместил 300.000.000 купонных облигаций, номинальной стоимостью 1.000 тенге за облигацию на общую сумму 300.000 миллионов тенге со сроком обращения облигаций 15 лет и купонным вознаграждением в размере 3% годовых. Облигации выкуплены Национальным Банком Республики Казахстан. Средства, полученные от реализации данных облигаций, в размере 200.000 миллионов тенге были использованы для выдачи займа АО "Самрук-Энерго" в целях финансирования приобретения 50% доли участия в ТОО "Экибастузская ГРЭС-1" и 100% доли участия в ТОО "Казгидротехэнерго".</w:t>
      </w:r>
    </w:p>
    <w:p>
      <w:pPr>
        <w:spacing w:after="0"/>
        <w:ind w:left="0"/>
        <w:jc w:val="both"/>
      </w:pPr>
      <w:r>
        <w:rPr>
          <w:rFonts w:ascii="Times New Roman"/>
          <w:b w:val="false"/>
          <w:i w:val="false"/>
          <w:color w:val="000000"/>
          <w:sz w:val="28"/>
        </w:rPr>
        <w:t xml:space="preserve">
      В январе 2014 года Kazakhmys Finance PLC осуществил досрочное погашение займов в размере 400 миллионов долларов США (эквивалент 61.808 миллионов тенге по курсу на дату погашения). Данная сумма была использована Фондом для досрочного погашения займов перед Государственным Банком Развития Китая. </w:t>
      </w:r>
    </w:p>
    <w:bookmarkStart w:name="z240" w:id="240"/>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Изменения в структуре Группы</w:t>
      </w:r>
    </w:p>
    <w:bookmarkEnd w:id="240"/>
    <w:p>
      <w:pPr>
        <w:spacing w:after="0"/>
        <w:ind w:left="0"/>
        <w:jc w:val="both"/>
      </w:pPr>
      <w:r>
        <w:rPr>
          <w:rFonts w:ascii="Times New Roman"/>
          <w:b w:val="false"/>
          <w:i w:val="false"/>
          <w:color w:val="000000"/>
          <w:sz w:val="28"/>
        </w:rPr>
        <w:t>
      В феврале 2014 года было принято решение об утверждении Передаточного акта по реорганизации АО "НАК "Казатомпром" путем присоединения к нему ТОО "Горнорудная компания". Все права и обязанности ТОО "Горнорудная компания" переходят к АО "НАК "Казатомпром" в соответствии с Передаточным актом.</w:t>
      </w:r>
    </w:p>
    <w:p>
      <w:pPr>
        <w:spacing w:after="0"/>
        <w:ind w:left="0"/>
        <w:jc w:val="both"/>
      </w:pPr>
      <w:r>
        <w:rPr>
          <w:rFonts w:ascii="Times New Roman"/>
          <w:b w:val="false"/>
          <w:i w:val="false"/>
          <w:color w:val="000000"/>
          <w:sz w:val="28"/>
        </w:rPr>
        <w:t>
      В апреле 2014 года АО "Самрук-Энерго" приобрел 50% долю участия в ТОО "Экибастузская ГРЭС-1 и 100% долю в ТОО "Казгидротехэнерго" у Kazakhmys Plc. Цена приобретения составила 1.300 миллионов долларов США.</w:t>
      </w:r>
    </w:p>
    <w:p>
      <w:pPr>
        <w:spacing w:after="0"/>
        <w:ind w:left="0"/>
        <w:jc w:val="both"/>
      </w:pPr>
      <w:r>
        <w:rPr>
          <w:rFonts w:ascii="Times New Roman"/>
          <w:b w:val="false"/>
          <w:i w:val="false"/>
          <w:color w:val="000000"/>
          <w:sz w:val="28"/>
        </w:rPr>
        <w:t>
      5 марта 2014 года подписано постановление Правительства Республики Казахстан по отчуждению пакета акций АО Альянс Банк и АО Темiрбанк, таким образом, выполнено одно из отлагательных условий Фонда для закрытия сделки по продаже Фонду 79,88% акций АО Темiрбанк и 16% простых и привелигерованных акций АО Альянс Банк.</w:t>
      </w:r>
    </w:p>
    <w:bookmarkStart w:name="z241" w:id="241"/>
    <w:p>
      <w:pPr>
        <w:spacing w:after="0"/>
        <w:ind w:left="0"/>
        <w:jc w:val="both"/>
      </w:pPr>
      <w:r>
        <w:rPr>
          <w:rFonts w:ascii="Times New Roman"/>
          <w:b w:val="false"/>
          <w:i w:val="false"/>
          <w:color w:val="000000"/>
          <w:sz w:val="28"/>
        </w:rPr>
        <w:t xml:space="preserve">
      </w:t>
      </w:r>
      <w:r>
        <w:rPr>
          <w:rFonts w:ascii="Times New Roman"/>
          <w:b/>
          <w:i w:val="false"/>
          <w:color w:val="000000"/>
          <w:sz w:val="28"/>
        </w:rPr>
        <w:t>Экспортная таможенная пошлина</w:t>
      </w:r>
    </w:p>
    <w:bookmarkEnd w:id="241"/>
    <w:p>
      <w:pPr>
        <w:spacing w:after="0"/>
        <w:ind w:left="0"/>
        <w:jc w:val="both"/>
      </w:pPr>
      <w:r>
        <w:rPr>
          <w:rFonts w:ascii="Times New Roman"/>
          <w:b w:val="false"/>
          <w:i w:val="false"/>
          <w:color w:val="000000"/>
          <w:sz w:val="28"/>
        </w:rPr>
        <w:t>
      Правительство Республики Казахстан планирует повысить таможенную пошлину на экспорт сырой нефти с 60 долларов США за тонну до 80 долларов США за тонну с 1 апреля 2014 года.</w:t>
      </w:r>
    </w:p>
    <w:bookmarkStart w:name="z242" w:id="242"/>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Операционная деятельность</w:t>
      </w:r>
    </w:p>
    <w:bookmarkEnd w:id="242"/>
    <w:p>
      <w:pPr>
        <w:spacing w:after="0"/>
        <w:ind w:left="0"/>
        <w:jc w:val="both"/>
      </w:pPr>
      <w:r>
        <w:rPr>
          <w:rFonts w:ascii="Times New Roman"/>
          <w:b w:val="false"/>
          <w:i w:val="false"/>
          <w:color w:val="000000"/>
          <w:sz w:val="28"/>
        </w:rPr>
        <w:t>
      С 1 января 2014 года вступает в силу приказ Агентства по регулированию естественных монополий Республики Казахстан от 21 ноября 2013 года об увеличении тарифов на услуги АО "КазТрансОйл" по перекачке нефти для внутреннего и экспортного рынков: тариф на внутренний рынок за транспортировку 1 тонны нефти на 1.000 км увеличен с 1.954,5 тенге до 2.931,8 тенге (на 50%), на экспорт – за транспортировку 1 тонны нефти на 1.000 км увеличен с 4.732,6 тенге до 4.850,6 тенге (на 2,5%). С 1 апреля 2014 года тариф на экспорт увеличился с 4.850,6 тенге до 5.817,2 тенге в соответствии с приказом Агентства по регулированию естественных монополий.</w:t>
      </w:r>
    </w:p>
    <w:p>
      <w:pPr>
        <w:spacing w:after="0"/>
        <w:ind w:left="0"/>
        <w:jc w:val="both"/>
      </w:pPr>
      <w:r>
        <w:rPr>
          <w:rFonts w:ascii="Times New Roman"/>
          <w:b w:val="false"/>
          <w:i w:val="false"/>
          <w:color w:val="000000"/>
          <w:sz w:val="28"/>
        </w:rPr>
        <w:t>
      Сняты ограничения на увеличение рейсов в страны Европейского Союза с АО "Эйр Астана".</w:t>
      </w:r>
    </w:p>
    <w:p>
      <w:pPr>
        <w:spacing w:after="0"/>
        <w:ind w:left="0"/>
        <w:jc w:val="both"/>
      </w:pPr>
      <w:r>
        <w:rPr>
          <w:rFonts w:ascii="Times New Roman"/>
          <w:b w:val="false"/>
          <w:i w:val="false"/>
          <w:color w:val="000000"/>
          <w:sz w:val="28"/>
        </w:rPr>
        <w:t xml:space="preserve">
      31 марта 2014 года заключено Дополнение № 3 к Контракту на поставку топливных таблеток на 2014-2016 годы между CGNPC-URC и АО "НАК "Казатомпром". Таким образом, стороны приняли решение о поставках топливных таблеток в оговоренный срок и избежали возможности выкупа АО "НАК "Казатомпром" доли участия Sino-Kaz в ТОО "Семизбай-U" </w:t>
      </w:r>
      <w:r>
        <w:rPr>
          <w:rFonts w:ascii="Times New Roman"/>
          <w:b w:val="false"/>
          <w:i/>
          <w:color w:val="000000"/>
          <w:sz w:val="28"/>
        </w:rPr>
        <w:t>(Примечание 6)</w:t>
      </w:r>
      <w:r>
        <w:rPr>
          <w:rFonts w:ascii="Times New Roman"/>
          <w:b w:val="false"/>
          <w:i w:val="false"/>
          <w:color w:val="000000"/>
          <w:sz w:val="28"/>
        </w:rPr>
        <w:t>.</w:t>
      </w:r>
    </w:p>
    <w:bookmarkStart w:name="z243" w:id="243"/>
    <w:p>
      <w:pPr>
        <w:spacing w:after="0"/>
        <w:ind w:left="0"/>
        <w:jc w:val="both"/>
      </w:pPr>
      <w:r>
        <w:rPr>
          <w:rFonts w:ascii="Times New Roman"/>
          <w:b w:val="false"/>
          <w:i w:val="false"/>
          <w:color w:val="000000"/>
          <w:sz w:val="28"/>
        </w:rPr>
        <w:t xml:space="preserve">
      </w:t>
      </w:r>
      <w:r>
        <w:rPr>
          <w:rFonts w:ascii="Times New Roman"/>
          <w:b/>
          <w:i w:val="false"/>
          <w:color w:val="000000"/>
          <w:sz w:val="28"/>
        </w:rPr>
        <w:t>Реструктуризация АО "Альянс Банк"</w:t>
      </w:r>
    </w:p>
    <w:bookmarkEnd w:id="243"/>
    <w:p>
      <w:pPr>
        <w:spacing w:after="0"/>
        <w:ind w:left="0"/>
        <w:jc w:val="both"/>
      </w:pPr>
      <w:r>
        <w:rPr>
          <w:rFonts w:ascii="Times New Roman"/>
          <w:b w:val="false"/>
          <w:i w:val="false"/>
          <w:color w:val="000000"/>
          <w:sz w:val="28"/>
        </w:rPr>
        <w:t xml:space="preserve">
      Как раскрыто в </w:t>
      </w:r>
      <w:r>
        <w:rPr>
          <w:rFonts w:ascii="Times New Roman"/>
          <w:b w:val="false"/>
          <w:i/>
          <w:color w:val="000000"/>
          <w:sz w:val="28"/>
        </w:rPr>
        <w:t>Примечании 6</w:t>
      </w:r>
      <w:r>
        <w:rPr>
          <w:rFonts w:ascii="Times New Roman"/>
          <w:b w:val="false"/>
          <w:i w:val="false"/>
          <w:color w:val="000000"/>
          <w:sz w:val="28"/>
        </w:rPr>
        <w:t xml:space="preserve">, в декабре 2013 года между Фондом и госп. Утемуратовым Булатом Джамитовичем были подписаны соглашения о продаже Фондом 79,88% простых акций АО "Темiрбанк" и 16% простых и привилегированных акций АО "Альянс Банк", с целью последующего объединения Темирбанка и Альянс Банка в единый банк. По состоянию на 31 декабря 2013 года Альянс Банк находится под контролем Фонда и таким образом является консолидируемой дочерней организацией </w:t>
      </w:r>
      <w:r>
        <w:rPr>
          <w:rFonts w:ascii="Times New Roman"/>
          <w:b w:val="false"/>
          <w:i/>
          <w:color w:val="000000"/>
          <w:sz w:val="28"/>
        </w:rPr>
        <w:t>(Примечание 34.)</w:t>
      </w:r>
    </w:p>
    <w:p>
      <w:pPr>
        <w:spacing w:after="0"/>
        <w:ind w:left="0"/>
        <w:jc w:val="both"/>
      </w:pPr>
      <w:r>
        <w:rPr>
          <w:rFonts w:ascii="Times New Roman"/>
          <w:b w:val="false"/>
          <w:i w:val="false"/>
          <w:color w:val="000000"/>
          <w:sz w:val="28"/>
        </w:rPr>
        <w:t xml:space="preserve">
      23 января 2014 года руководство Альянс Банк сообщило своим кредиторам, что будет проведена реструктуризация определенных обязательств для того, чтобы обеспечить продолжение деятельности банка. Процесс реструктуризации направлен на достижение положительного капитала и 20% коэффициента капитала 1 уровня, что обеспечит возможность Альянс Банк выполнить пруденциальные нормативы и стать конкурентоспособным в краткосрочной и среднесрочной перспективе. </w:t>
      </w:r>
    </w:p>
    <w:p>
      <w:pPr>
        <w:spacing w:after="0"/>
        <w:ind w:left="0"/>
        <w:jc w:val="both"/>
      </w:pPr>
      <w:r>
        <w:rPr>
          <w:rFonts w:ascii="Times New Roman"/>
          <w:b w:val="false"/>
          <w:i w:val="false"/>
          <w:color w:val="000000"/>
          <w:sz w:val="28"/>
        </w:rPr>
        <w:t xml:space="preserve">
      30 января 2014 года Совет директоров Альянс Банка утвердил решение о реструктуризации. </w:t>
      </w:r>
    </w:p>
    <w:p>
      <w:pPr>
        <w:spacing w:after="0"/>
        <w:ind w:left="0"/>
        <w:jc w:val="both"/>
      </w:pPr>
      <w:r>
        <w:rPr>
          <w:rFonts w:ascii="Times New Roman"/>
          <w:b w:val="false"/>
          <w:i w:val="false"/>
          <w:color w:val="000000"/>
          <w:sz w:val="28"/>
        </w:rPr>
        <w:t>
      Данный уровень капитала будет достигнут за счет:</w:t>
      </w:r>
    </w:p>
    <w:p>
      <w:pPr>
        <w:spacing w:after="0"/>
        <w:ind w:left="0"/>
        <w:jc w:val="both"/>
      </w:pPr>
      <w:r>
        <w:rPr>
          <w:rFonts w:ascii="Times New Roman"/>
          <w:b w:val="false"/>
          <w:i w:val="false"/>
          <w:color w:val="000000"/>
          <w:sz w:val="28"/>
        </w:rPr>
        <w:t>
      - реструктуризации долговых и субординированных долговых ценных бумаг, выпущенных Альянс Банком, на более благоприятных для Альянс Банка условиях;</w:t>
      </w:r>
    </w:p>
    <w:p>
      <w:pPr>
        <w:spacing w:after="0"/>
        <w:ind w:left="0"/>
        <w:jc w:val="both"/>
      </w:pPr>
      <w:r>
        <w:rPr>
          <w:rFonts w:ascii="Times New Roman"/>
          <w:b w:val="false"/>
          <w:i w:val="false"/>
          <w:color w:val="000000"/>
          <w:sz w:val="28"/>
        </w:rPr>
        <w:t>
      - слияния Альянс Банка с Темирбанк ("Объединенный банк"), который имеет более сильную капитальную базу, чем Альянс Банк;</w:t>
      </w:r>
    </w:p>
    <w:p>
      <w:pPr>
        <w:spacing w:after="0"/>
        <w:ind w:left="0"/>
        <w:jc w:val="both"/>
      </w:pPr>
      <w:r>
        <w:rPr>
          <w:rFonts w:ascii="Times New Roman"/>
          <w:b w:val="false"/>
          <w:i w:val="false"/>
          <w:color w:val="000000"/>
          <w:sz w:val="28"/>
        </w:rPr>
        <w:t>
      - преобразования депозитов с низкой ставкой вознаграждения, данный вопрос требует дальнейших переговоров с Фондом;</w:t>
      </w:r>
    </w:p>
    <w:p>
      <w:pPr>
        <w:spacing w:after="0"/>
        <w:ind w:left="0"/>
        <w:jc w:val="both"/>
      </w:pPr>
      <w:r>
        <w:rPr>
          <w:rFonts w:ascii="Times New Roman"/>
          <w:b w:val="false"/>
          <w:i w:val="false"/>
          <w:color w:val="000000"/>
          <w:sz w:val="28"/>
        </w:rPr>
        <w:t>
      - использования активов по отсроченному налогу посредством консолидации операций и создания прибыльного Объединенного банка.</w:t>
      </w:r>
    </w:p>
    <w:p>
      <w:pPr>
        <w:spacing w:after="0"/>
        <w:ind w:left="0"/>
        <w:jc w:val="both"/>
      </w:pPr>
      <w:r>
        <w:rPr>
          <w:rFonts w:ascii="Times New Roman"/>
          <w:b w:val="false"/>
          <w:i w:val="false"/>
          <w:color w:val="000000"/>
          <w:sz w:val="28"/>
        </w:rPr>
        <w:t xml:space="preserve">
      Руководство считает, что меры, предложенные в соответствии с планом рекапитализации, также помогут улучшить позицию Объединенного банка в части ликвидности. Кроме того, руководство инициировало анализ эффективности работы Объединенного банка, направленный на снижение численности персонала, исключение невыгодных деловых отношений и объединение ИТ систем. </w:t>
      </w:r>
    </w:p>
    <w:p>
      <w:pPr>
        <w:spacing w:after="0"/>
        <w:ind w:left="0"/>
        <w:jc w:val="both"/>
      </w:pPr>
      <w:r>
        <w:rPr>
          <w:rFonts w:ascii="Times New Roman"/>
          <w:b w:val="false"/>
          <w:i w:val="false"/>
          <w:color w:val="000000"/>
          <w:sz w:val="28"/>
        </w:rPr>
        <w:t>
      6 февраля 2014 года Альянс Банк подписал соглашение с Национальным Банком Республики Казахстан, которое определяет обязательства Альянс Банка по рекапитализации и устанавливает нормативную базу на период внедрения плана рекапитализации. В соответствии с соглашением Альянс Банк взял на себя обязательство внедрить план реструктуризации к 1 июля 2014 года и привести все пруденциальные нормативы в соответствие с лимитами, установленными законодательством.</w:t>
      </w:r>
    </w:p>
    <w:bookmarkStart w:name="z244" w:id="244"/>
    <w:p>
      <w:pPr>
        <w:spacing w:after="0"/>
        <w:ind w:left="0"/>
        <w:jc w:val="both"/>
      </w:pPr>
      <w:r>
        <w:rPr>
          <w:rFonts w:ascii="Times New Roman"/>
          <w:b w:val="false"/>
          <w:i w:val="false"/>
          <w:color w:val="000000"/>
          <w:sz w:val="28"/>
        </w:rPr>
        <w:t xml:space="preserve">
      </w:t>
      </w:r>
      <w:r>
        <w:rPr>
          <w:rFonts w:ascii="Times New Roman"/>
          <w:b/>
          <w:i w:val="false"/>
          <w:color w:val="000000"/>
          <w:sz w:val="28"/>
        </w:rPr>
        <w:t>Взносы в уставный капитал</w:t>
      </w:r>
    </w:p>
    <w:bookmarkEnd w:id="244"/>
    <w:p>
      <w:pPr>
        <w:spacing w:after="0"/>
        <w:ind w:left="0"/>
        <w:jc w:val="both"/>
      </w:pPr>
      <w:r>
        <w:rPr>
          <w:rFonts w:ascii="Times New Roman"/>
          <w:b w:val="false"/>
          <w:i w:val="false"/>
          <w:color w:val="000000"/>
          <w:sz w:val="28"/>
        </w:rPr>
        <w:t>
      В апреле 2014 года Акционер осуществил денежный взнос в уставный капитал Фонда в размере 54.500 миллионов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октября 2014 года</w:t>
            </w:r>
            <w:r>
              <w:br/>
            </w:r>
            <w:r>
              <w:rPr>
                <w:rFonts w:ascii="Times New Roman"/>
                <w:b w:val="false"/>
                <w:i w:val="false"/>
                <w:color w:val="000000"/>
                <w:sz w:val="20"/>
              </w:rPr>
              <w:t>№ 1121</w:t>
            </w:r>
          </w:p>
        </w:tc>
      </w:tr>
    </w:tbl>
    <w:bookmarkStart w:name="z246" w:id="245"/>
    <w:p>
      <w:pPr>
        <w:spacing w:after="0"/>
        <w:ind w:left="0"/>
        <w:jc w:val="both"/>
      </w:pPr>
      <w:r>
        <w:rPr>
          <w:rFonts w:ascii="Times New Roman"/>
          <w:b w:val="false"/>
          <w:i w:val="false"/>
          <w:color w:val="000000"/>
          <w:sz w:val="28"/>
        </w:rPr>
        <w:t>
      АО "Фонд Национального Благосостояния</w:t>
      </w:r>
    </w:p>
    <w:bookmarkEnd w:id="245"/>
    <w:p>
      <w:pPr>
        <w:spacing w:after="0"/>
        <w:ind w:left="0"/>
        <w:jc w:val="both"/>
      </w:pPr>
      <w:r>
        <w:rPr>
          <w:rFonts w:ascii="Times New Roman"/>
          <w:b w:val="false"/>
          <w:i w:val="false"/>
          <w:color w:val="000000"/>
          <w:sz w:val="28"/>
        </w:rPr>
        <w:t>
      "Самрук-Қазына"</w:t>
      </w:r>
    </w:p>
    <w:p>
      <w:pPr>
        <w:spacing w:after="0"/>
        <w:ind w:left="0"/>
        <w:jc w:val="both"/>
      </w:pPr>
      <w:r>
        <w:rPr>
          <w:rFonts w:ascii="Times New Roman"/>
          <w:b w:val="false"/>
          <w:i w:val="false"/>
          <w:color w:val="000000"/>
          <w:sz w:val="28"/>
        </w:rPr>
        <w:t>
      Консолидированные формы финансовой отчетности,</w:t>
      </w:r>
    </w:p>
    <w:p>
      <w:pPr>
        <w:spacing w:after="0"/>
        <w:ind w:left="0"/>
        <w:jc w:val="both"/>
      </w:pPr>
      <w:r>
        <w:rPr>
          <w:rFonts w:ascii="Times New Roman"/>
          <w:b w:val="false"/>
          <w:i w:val="false"/>
          <w:color w:val="000000"/>
          <w:sz w:val="28"/>
        </w:rPr>
        <w:t>
      подготовленные в соответствии с Приказом</w:t>
      </w:r>
    </w:p>
    <w:p>
      <w:pPr>
        <w:spacing w:after="0"/>
        <w:ind w:left="0"/>
        <w:jc w:val="both"/>
      </w:pPr>
      <w:r>
        <w:rPr>
          <w:rFonts w:ascii="Times New Roman"/>
          <w:b w:val="false"/>
          <w:i w:val="false"/>
          <w:color w:val="000000"/>
          <w:sz w:val="28"/>
        </w:rPr>
        <w:t>
      Министерства Финансов Республики Казахстан № 422</w:t>
      </w:r>
    </w:p>
    <w:p>
      <w:pPr>
        <w:spacing w:after="0"/>
        <w:ind w:left="0"/>
        <w:jc w:val="both"/>
      </w:pPr>
      <w:r>
        <w:rPr>
          <w:rFonts w:ascii="Times New Roman"/>
          <w:b w:val="false"/>
          <w:i w:val="false"/>
          <w:color w:val="000000"/>
          <w:sz w:val="28"/>
        </w:rPr>
        <w:t>
      от 20 августа 2010 года</w:t>
      </w:r>
    </w:p>
    <w:p>
      <w:pPr>
        <w:spacing w:after="0"/>
        <w:ind w:left="0"/>
        <w:jc w:val="both"/>
      </w:pPr>
      <w:r>
        <w:rPr>
          <w:rFonts w:ascii="Times New Roman"/>
          <w:b w:val="false"/>
          <w:i w:val="false"/>
          <w:color w:val="000000"/>
          <w:sz w:val="28"/>
        </w:rPr>
        <w:t>
      За год, закончившийся 31 декабря 2013 года</w:t>
      </w:r>
    </w:p>
    <w:p>
      <w:pPr>
        <w:spacing w:after="0"/>
        <w:ind w:left="0"/>
        <w:jc w:val="both"/>
      </w:pPr>
      <w:r>
        <w:rPr>
          <w:rFonts w:ascii="Times New Roman"/>
          <w:b w:val="false"/>
          <w:i w:val="false"/>
          <w:color w:val="000000"/>
          <w:sz w:val="28"/>
        </w:rPr>
        <w:t>
      с заключением независимых аудиторов по специальному заданию</w:t>
      </w:r>
    </w:p>
    <w:bookmarkStart w:name="z247" w:id="246"/>
    <w:p>
      <w:pPr>
        <w:spacing w:after="0"/>
        <w:ind w:left="0"/>
        <w:jc w:val="both"/>
      </w:pPr>
      <w:r>
        <w:rPr>
          <w:rFonts w:ascii="Times New Roman"/>
          <w:b w:val="false"/>
          <w:i w:val="false"/>
          <w:color w:val="000000"/>
          <w:sz w:val="28"/>
        </w:rPr>
        <w:t xml:space="preserve">
      </w:t>
      </w:r>
      <w:r>
        <w:rPr>
          <w:rFonts w:ascii="Times New Roman"/>
          <w:b/>
          <w:i w:val="false"/>
          <w:color w:val="000000"/>
          <w:sz w:val="28"/>
        </w:rPr>
        <w:t>СОДЕРЖАНИЕ:</w:t>
      </w:r>
    </w:p>
    <w:bookmarkEnd w:id="246"/>
    <w:p>
      <w:pPr>
        <w:spacing w:after="0"/>
        <w:ind w:left="0"/>
        <w:jc w:val="both"/>
      </w:pPr>
      <w:r>
        <w:rPr>
          <w:rFonts w:ascii="Times New Roman"/>
          <w:b w:val="false"/>
          <w:i w:val="false"/>
          <w:color w:val="000000"/>
          <w:sz w:val="28"/>
        </w:rPr>
        <w:t>
      Отчет независимых аудиторов</w:t>
      </w:r>
    </w:p>
    <w:bookmarkStart w:name="z248" w:id="247"/>
    <w:p>
      <w:pPr>
        <w:spacing w:after="0"/>
        <w:ind w:left="0"/>
        <w:jc w:val="both"/>
      </w:pPr>
      <w:r>
        <w:rPr>
          <w:rFonts w:ascii="Times New Roman"/>
          <w:b w:val="false"/>
          <w:i w:val="false"/>
          <w:color w:val="000000"/>
          <w:sz w:val="28"/>
        </w:rPr>
        <w:t xml:space="preserve">
      </w:t>
      </w:r>
      <w:r>
        <w:rPr>
          <w:rFonts w:ascii="Times New Roman"/>
          <w:b/>
          <w:i w:val="false"/>
          <w:color w:val="000000"/>
          <w:sz w:val="28"/>
        </w:rPr>
        <w:t>Консолидированные формы финансовой отчетности</w:t>
      </w:r>
    </w:p>
    <w:bookmarkEnd w:id="247"/>
    <w:p>
      <w:pPr>
        <w:spacing w:after="0"/>
        <w:ind w:left="0"/>
        <w:jc w:val="both"/>
      </w:pPr>
      <w:r>
        <w:rPr>
          <w:rFonts w:ascii="Times New Roman"/>
          <w:b w:val="false"/>
          <w:i w:val="false"/>
          <w:color w:val="000000"/>
          <w:sz w:val="28"/>
        </w:rPr>
        <w:t>
      Консолидированный бухгалтерский баланс</w:t>
      </w:r>
    </w:p>
    <w:p>
      <w:pPr>
        <w:spacing w:after="0"/>
        <w:ind w:left="0"/>
        <w:jc w:val="both"/>
      </w:pPr>
      <w:r>
        <w:rPr>
          <w:rFonts w:ascii="Times New Roman"/>
          <w:b w:val="false"/>
          <w:i w:val="false"/>
          <w:color w:val="000000"/>
          <w:sz w:val="28"/>
        </w:rPr>
        <w:t>
      Консолидированный отчет о прибылях и убытках</w:t>
      </w:r>
    </w:p>
    <w:p>
      <w:pPr>
        <w:spacing w:after="0"/>
        <w:ind w:left="0"/>
        <w:jc w:val="both"/>
      </w:pPr>
      <w:r>
        <w:rPr>
          <w:rFonts w:ascii="Times New Roman"/>
          <w:b w:val="false"/>
          <w:i w:val="false"/>
          <w:color w:val="000000"/>
          <w:sz w:val="28"/>
        </w:rPr>
        <w:t>
      Консолидированный отчет о движении денежных средств</w:t>
      </w:r>
    </w:p>
    <w:p>
      <w:pPr>
        <w:spacing w:after="0"/>
        <w:ind w:left="0"/>
        <w:jc w:val="both"/>
      </w:pPr>
      <w:r>
        <w:rPr>
          <w:rFonts w:ascii="Times New Roman"/>
          <w:b w:val="false"/>
          <w:i w:val="false"/>
          <w:color w:val="000000"/>
          <w:sz w:val="28"/>
        </w:rPr>
        <w:t>
      Консолидированный отчет об изменениях в капитале</w:t>
      </w:r>
    </w:p>
    <w:p>
      <w:pPr>
        <w:spacing w:after="0"/>
        <w:ind w:left="0"/>
        <w:jc w:val="both"/>
      </w:pPr>
      <w:r>
        <w:rPr>
          <w:rFonts w:ascii="Times New Roman"/>
          <w:b w:val="false"/>
          <w:i w:val="false"/>
          <w:color w:val="000000"/>
          <w:sz w:val="28"/>
        </w:rPr>
        <w:t>
      Пояснительная записка к консолидированным формам финансовой отчетности</w:t>
      </w:r>
    </w:p>
    <w:bookmarkStart w:name="z249" w:id="248"/>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независимых аудиторов</w:t>
      </w:r>
    </w:p>
    <w:bookmarkEnd w:id="248"/>
    <w:p>
      <w:pPr>
        <w:spacing w:after="0"/>
        <w:ind w:left="0"/>
        <w:jc w:val="both"/>
      </w:pPr>
      <w:r>
        <w:rPr>
          <w:rFonts w:ascii="Times New Roman"/>
          <w:b w:val="false"/>
          <w:i w:val="false"/>
          <w:color w:val="000000"/>
          <w:sz w:val="28"/>
        </w:rPr>
        <w:t>
      Акционеру и Руководству АО "Фонд Национального Благосостояния "Самрук-Қазына"</w:t>
      </w:r>
    </w:p>
    <w:p>
      <w:pPr>
        <w:spacing w:after="0"/>
        <w:ind w:left="0"/>
        <w:jc w:val="both"/>
      </w:pPr>
      <w:r>
        <w:rPr>
          <w:rFonts w:ascii="Times New Roman"/>
          <w:b w:val="false"/>
          <w:i w:val="false"/>
          <w:color w:val="000000"/>
          <w:sz w:val="28"/>
        </w:rPr>
        <w:t xml:space="preserve">
      Мы провели аудит прилагаемых консолидированных форм финансовой отчетности АО "Фонд Национального Благосостояния "Самрук-Қазына" и его дочерних организаций" (далее "Группа"), которые включают консолидированный бухгалтерский баланс по состоянию на 31 декабря 2013 года, консолидированный отчет о прибылях и убытках, консолидированный отчет об изменениях в капитале и консолидированный отчет о движении денежных средств за год, закончившийся на указанную дату, а также информацию о существенных аспектах учетной политики и другую пояснительную информацию. Данные консолидированные формы финансовой отчетности были подготовлены руководством Группы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Министерства финансов Республики Казахстан № 422 от 20 августа 2010 года.</w:t>
      </w:r>
    </w:p>
    <w:bookmarkStart w:name="z250" w:id="249"/>
    <w:p>
      <w:pPr>
        <w:spacing w:after="0"/>
        <w:ind w:left="0"/>
        <w:jc w:val="both"/>
      </w:pPr>
      <w:r>
        <w:rPr>
          <w:rFonts w:ascii="Times New Roman"/>
          <w:b w:val="false"/>
          <w:i w:val="false"/>
          <w:color w:val="000000"/>
          <w:sz w:val="28"/>
        </w:rPr>
        <w:t xml:space="preserve">
      </w:t>
      </w:r>
      <w:r>
        <w:rPr>
          <w:rFonts w:ascii="Times New Roman"/>
          <w:b w:val="false"/>
          <w:i/>
          <w:color w:val="000000"/>
          <w:sz w:val="28"/>
        </w:rPr>
        <w:t>Ответственность руководства в отношении консолидированных форм финансовой отчетности</w:t>
      </w:r>
    </w:p>
    <w:bookmarkEnd w:id="249"/>
    <w:p>
      <w:pPr>
        <w:spacing w:after="0"/>
        <w:ind w:left="0"/>
        <w:jc w:val="both"/>
      </w:pPr>
      <w:r>
        <w:rPr>
          <w:rFonts w:ascii="Times New Roman"/>
          <w:b w:val="false"/>
          <w:i w:val="false"/>
          <w:color w:val="000000"/>
          <w:sz w:val="28"/>
        </w:rPr>
        <w:t xml:space="preserve">
      Руководство Группы несет ответственность за подготовку и достоверное представление данных консолидированных форм финансовой отчетности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Министерства финансов Республики Казахстан № 422 от 20 августа 2010 года, а также за процедуры внутреннего контроля, необходимые, по мнению руководства, для обеспечения подготовки консолидированных форм финансовой отчетности, не содержащих существенных искажений вследствие недобросовестных действий или ошибки.</w:t>
      </w:r>
    </w:p>
    <w:bookmarkStart w:name="z251" w:id="250"/>
    <w:p>
      <w:pPr>
        <w:spacing w:after="0"/>
        <w:ind w:left="0"/>
        <w:jc w:val="both"/>
      </w:pPr>
      <w:r>
        <w:rPr>
          <w:rFonts w:ascii="Times New Roman"/>
          <w:b w:val="false"/>
          <w:i w:val="false"/>
          <w:color w:val="000000"/>
          <w:sz w:val="28"/>
        </w:rPr>
        <w:t xml:space="preserve">
      </w:t>
      </w:r>
      <w:r>
        <w:rPr>
          <w:rFonts w:ascii="Times New Roman"/>
          <w:b w:val="false"/>
          <w:i/>
          <w:color w:val="000000"/>
          <w:sz w:val="28"/>
        </w:rPr>
        <w:t>Ответственность аудиторов</w:t>
      </w:r>
    </w:p>
    <w:bookmarkEnd w:id="250"/>
    <w:p>
      <w:pPr>
        <w:spacing w:after="0"/>
        <w:ind w:left="0"/>
        <w:jc w:val="both"/>
      </w:pPr>
      <w:r>
        <w:rPr>
          <w:rFonts w:ascii="Times New Roman"/>
          <w:b w:val="false"/>
          <w:i w:val="false"/>
          <w:color w:val="000000"/>
          <w:sz w:val="28"/>
        </w:rPr>
        <w:t>
      Наша обязанность заключается в том, чтобы выразить мнение о данных консолидированных формах финансовой отчетности на основе проведенного аудита. Мы провели аудит в соответствии с Международными стандартами аудита. Данные стандарты требуют, чтобы мы соблюдали этические нормы и спланировали и провели аудит так, чтобы получить достаточную уверенность в отсутствии существенного искажения консолидированных форм финансовой отчетности.</w:t>
      </w:r>
    </w:p>
    <w:p>
      <w:pPr>
        <w:spacing w:after="0"/>
        <w:ind w:left="0"/>
        <w:jc w:val="both"/>
      </w:pPr>
      <w:r>
        <w:rPr>
          <w:rFonts w:ascii="Times New Roman"/>
          <w:b w:val="false"/>
          <w:i w:val="false"/>
          <w:color w:val="000000"/>
          <w:sz w:val="28"/>
        </w:rPr>
        <w:t>
      Аудит включает выполнение процедур, направленных на получение аудиторских доказательств в отношении сумм и информации, представленных в консолидированных формах финансовой отчетности. Выбор процедур основывается на суждении аудитора, включая оценку риска существенного искажения консолидированных форм финансовой отчетности вследствие недобросовестных действий или ошибки. При оценке этого риска аудитор рассматривает аспекты внутреннего контроля компании в отношении подготовки и достоверного представления консолидированных форм финансовой отчетности с тем, чтобы определить процедуры аудита, необходимые в конкретных обстоятельствах, а не для выражения мнения об эффективности системы внутреннего контроля компании. Аудит также включает оценку уместности выбранной учетной политики и обоснованности бухгалтерских оценок, сделанных руководством, и оценку представления консолидированных форм финансовой отчетности в целом.</w:t>
      </w:r>
    </w:p>
    <w:p>
      <w:pPr>
        <w:spacing w:after="0"/>
        <w:ind w:left="0"/>
        <w:jc w:val="both"/>
      </w:pPr>
      <w:r>
        <w:rPr>
          <w:rFonts w:ascii="Times New Roman"/>
          <w:b w:val="false"/>
          <w:i w:val="false"/>
          <w:color w:val="000000"/>
          <w:sz w:val="28"/>
        </w:rPr>
        <w:t>
      Мы считаем, что полученные нами аудиторские доказательства являются достаточными и надлежащими для выражения нашего мнения.</w:t>
      </w:r>
    </w:p>
    <w:bookmarkStart w:name="z252" w:id="251"/>
    <w:p>
      <w:pPr>
        <w:spacing w:after="0"/>
        <w:ind w:left="0"/>
        <w:jc w:val="both"/>
      </w:pPr>
      <w:r>
        <w:rPr>
          <w:rFonts w:ascii="Times New Roman"/>
          <w:b w:val="false"/>
          <w:i w:val="false"/>
          <w:color w:val="000000"/>
          <w:sz w:val="28"/>
        </w:rPr>
        <w:t xml:space="preserve">
      </w:t>
      </w:r>
      <w:r>
        <w:rPr>
          <w:rFonts w:ascii="Times New Roman"/>
          <w:b w:val="false"/>
          <w:i/>
          <w:color w:val="000000"/>
          <w:sz w:val="28"/>
        </w:rPr>
        <w:t>Мнение</w:t>
      </w:r>
    </w:p>
    <w:bookmarkEnd w:id="251"/>
    <w:p>
      <w:pPr>
        <w:spacing w:after="0"/>
        <w:ind w:left="0"/>
        <w:jc w:val="both"/>
      </w:pPr>
      <w:r>
        <w:rPr>
          <w:rFonts w:ascii="Times New Roman"/>
          <w:b w:val="false"/>
          <w:i w:val="false"/>
          <w:color w:val="000000"/>
          <w:sz w:val="28"/>
        </w:rPr>
        <w:t xml:space="preserve">
      По нашему мнению, консолидированные формы финансовой отчетности во всех существенных аспектах достоверно отражают консолидированное финансовое положение АО "Фонд Национального Благосостояния "Самрук-Қазына" и его дочерних организаций по состоянию на 31 декабря 2013 года, а также их консолидированные финансовые результаты и движение денежных средств за год, закончившийся на указанную дату,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Министерства финансов Республики Казахстан № 422 от 20 августа 2010 года.</w:t>
      </w:r>
    </w:p>
    <w:bookmarkStart w:name="z253" w:id="252"/>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Принципы подготовки и ограничение использования</w:t>
      </w:r>
    </w:p>
    <w:bookmarkEnd w:id="252"/>
    <w:p>
      <w:pPr>
        <w:spacing w:after="0"/>
        <w:ind w:left="0"/>
        <w:jc w:val="both"/>
      </w:pPr>
      <w:r>
        <w:rPr>
          <w:rFonts w:ascii="Times New Roman"/>
          <w:b w:val="false"/>
          <w:i w:val="false"/>
          <w:color w:val="000000"/>
          <w:sz w:val="28"/>
        </w:rPr>
        <w:t xml:space="preserve">
      Не изменяя нашего мнения, мы обращаем внимание на Пояснительную записку к консолидированным формам финансовой отчетности, в которой описываются принципы их подготовки. Консолидированные формы финансовой отчетности были подготовлены с целью выполнения Группой требований Приказа Министерства финансов Республики Казахстан № 422 от 20 августа 2010 года. Соответственно, консолидированные формы финансовой отчетности могут быть непригодны для других целей. </w:t>
      </w:r>
    </w:p>
    <w:bookmarkStart w:name="z254" w:id="253"/>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сведения</w:t>
      </w:r>
    </w:p>
    <w:bookmarkEnd w:id="253"/>
    <w:p>
      <w:pPr>
        <w:spacing w:after="0"/>
        <w:ind w:left="0"/>
        <w:jc w:val="both"/>
      </w:pPr>
      <w:r>
        <w:rPr>
          <w:rFonts w:ascii="Times New Roman"/>
          <w:b w:val="false"/>
          <w:i w:val="false"/>
          <w:color w:val="000000"/>
          <w:sz w:val="28"/>
        </w:rPr>
        <w:t>
      Группа подготовила отдельный комплект консолидированной финансовой отчетности в соответствии с Международными стандартами финансовой отчетности за год, закончившийся 31 декабря 2013 года, по которой мы выпустили отдельный аудиторский отчет, адресованный Акционеру и руководству Группы от 25 апреля 2014 года.</w:t>
      </w:r>
    </w:p>
    <w:tbl>
      <w:tblPr>
        <w:tblW w:w="0" w:type="auto"/>
        <w:tblCellSpacing w:w="0" w:type="auto"/>
        <w:tblBorders>
          <w:top w:val="none"/>
          <w:left w:val="none"/>
          <w:bottom w:val="none"/>
          <w:right w:val="none"/>
          <w:insideH w:val="none"/>
          <w:insideV w:val="none"/>
        </w:tblBorders>
      </w:tblPr>
      <w:tblGrid>
        <w:gridCol w:w="5885"/>
        <w:gridCol w:w="6415"/>
      </w:tblGrid>
      <w:tr>
        <w:trPr>
          <w:trHeight w:val="30" w:hRule="atLeast"/>
        </w:trPr>
        <w:tc>
          <w:tcPr>
            <w:tcW w:w="5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Бахтиер Эшонкулов</w:t>
            </w:r>
          </w:p>
          <w:p>
            <w:pPr>
              <w:spacing w:after="20"/>
              <w:ind w:left="20"/>
              <w:jc w:val="both"/>
            </w:pPr>
            <w:r>
              <w:rPr>
                <w:rFonts w:ascii="Times New Roman"/>
                <w:b w:val="false"/>
                <w:i w:val="false"/>
                <w:color w:val="000000"/>
                <w:sz w:val="20"/>
              </w:rPr>
              <w:t>
</w:t>
            </w:r>
            <w:r>
              <w:rPr>
                <w:rFonts w:ascii="Times New Roman"/>
                <w:b w:val="false"/>
                <w:i/>
                <w:color w:val="000000"/>
                <w:sz w:val="20"/>
              </w:rPr>
              <w:t>Аудитор / партнер по аудиту</w:t>
            </w:r>
          </w:p>
        </w:tc>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Евгений Жемалетдинов</w:t>
            </w:r>
          </w:p>
          <w:p>
            <w:pPr>
              <w:spacing w:after="20"/>
              <w:ind w:left="20"/>
              <w:jc w:val="both"/>
            </w:pPr>
            <w:r>
              <w:rPr>
                <w:rFonts w:ascii="Times New Roman"/>
                <w:b w:val="false"/>
                <w:i w:val="false"/>
                <w:color w:val="000000"/>
                <w:sz w:val="20"/>
              </w:rPr>
              <w:t>
</w:t>
            </w:r>
            <w:r>
              <w:rPr>
                <w:rFonts w:ascii="Times New Roman"/>
                <w:b w:val="false"/>
                <w:i/>
                <w:color w:val="000000"/>
                <w:sz w:val="20"/>
              </w:rPr>
              <w:t>Генеральный директор</w:t>
            </w:r>
          </w:p>
          <w:p>
            <w:pPr>
              <w:spacing w:after="20"/>
              <w:ind w:left="20"/>
              <w:jc w:val="both"/>
            </w:pPr>
            <w:r>
              <w:rPr>
                <w:rFonts w:ascii="Times New Roman"/>
                <w:b w:val="false"/>
                <w:i w:val="false"/>
                <w:color w:val="000000"/>
                <w:sz w:val="20"/>
              </w:rPr>
              <w:t>
</w:t>
            </w:r>
            <w:r>
              <w:rPr>
                <w:rFonts w:ascii="Times New Roman"/>
                <w:b w:val="false"/>
                <w:i/>
                <w:color w:val="000000"/>
                <w:sz w:val="20"/>
              </w:rPr>
              <w:t>ТОО "Эрнст энд Янг"</w:t>
            </w:r>
          </w:p>
        </w:tc>
      </w:tr>
      <w:tr>
        <w:trPr>
          <w:trHeight w:val="30" w:hRule="atLeast"/>
        </w:trPr>
        <w:tc>
          <w:tcPr>
            <w:tcW w:w="5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Квалификационное свидетельство аудитора № МФ-0000099 от 27 августа 2012 года</w:t>
            </w:r>
          </w:p>
        </w:tc>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Государственная лицензия на занятие аудиторской деятельностью на территории Республики Казахстан серии МФЮ-2 № 0000003, выданная Министерством финансов Республики Казахстан 15 июля 2005 года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апреля 2014 года</w:t>
      </w:r>
    </w:p>
    <w:p>
      <w:pPr>
        <w:spacing w:after="0"/>
        <w:ind w:left="0"/>
        <w:jc w:val="both"/>
      </w:pPr>
      <w:r>
        <w:rPr>
          <w:rFonts w:ascii="Times New Roman"/>
          <w:b w:val="false"/>
          <w:i w:val="false"/>
          <w:color w:val="000000"/>
          <w:sz w:val="28"/>
        </w:rPr>
        <w:t>
      КОНСОЛИДИРОВАННЫЙ БУХГАЛТЕРСКИЙ БАЛАНС               Форма № 1</w:t>
      </w:r>
    </w:p>
    <w:p>
      <w:pPr>
        <w:spacing w:after="0"/>
        <w:ind w:left="0"/>
        <w:jc w:val="both"/>
      </w:pPr>
      <w:r>
        <w:rPr>
          <w:rFonts w:ascii="Times New Roman"/>
          <w:b w:val="false"/>
          <w:i w:val="false"/>
          <w:color w:val="000000"/>
          <w:sz w:val="28"/>
        </w:rPr>
        <w:t xml:space="preserve">
      По состоянию на 31 декабря 2013 года </w:t>
      </w:r>
    </w:p>
    <w:p>
      <w:pPr>
        <w:spacing w:after="0"/>
        <w:ind w:left="0"/>
        <w:jc w:val="both"/>
      </w:pPr>
      <w:r>
        <w:rPr>
          <w:rFonts w:ascii="Times New Roman"/>
          <w:b w:val="false"/>
          <w:i w:val="false"/>
          <w:color w:val="000000"/>
          <w:sz w:val="28"/>
        </w:rPr>
        <w:t xml:space="preserve">
      Наименование организации: </w:t>
      </w:r>
      <w:r>
        <w:rPr>
          <w:rFonts w:ascii="Times New Roman"/>
          <w:b w:val="false"/>
          <w:i w:val="false"/>
          <w:color w:val="000000"/>
          <w:sz w:val="28"/>
          <w:u w:val="single"/>
        </w:rPr>
        <w:t>АО "Фонд Национального Благосостояния "Самрук-Казына"</w:t>
      </w:r>
    </w:p>
    <w:p>
      <w:pPr>
        <w:spacing w:after="0"/>
        <w:ind w:left="0"/>
        <w:jc w:val="both"/>
      </w:pPr>
      <w:r>
        <w:rPr>
          <w:rFonts w:ascii="Times New Roman"/>
          <w:b w:val="false"/>
          <w:i w:val="false"/>
          <w:color w:val="000000"/>
          <w:sz w:val="28"/>
        </w:rPr>
        <w:t>
      Сведения о реорганизации:</w:t>
      </w:r>
    </w:p>
    <w:p>
      <w:pPr>
        <w:spacing w:after="0"/>
        <w:ind w:left="0"/>
        <w:jc w:val="both"/>
      </w:pPr>
      <w:r>
        <w:rPr>
          <w:rFonts w:ascii="Times New Roman"/>
          <w:b w:val="false"/>
          <w:i w:val="false"/>
          <w:color w:val="000000"/>
          <w:sz w:val="28"/>
        </w:rPr>
        <w:t>
      Вид деятельности организации:</w:t>
      </w:r>
    </w:p>
    <w:p>
      <w:pPr>
        <w:spacing w:after="0"/>
        <w:ind w:left="0"/>
        <w:jc w:val="both"/>
      </w:pPr>
      <w:r>
        <w:rPr>
          <w:rFonts w:ascii="Times New Roman"/>
          <w:b w:val="false"/>
          <w:i w:val="false"/>
          <w:color w:val="000000"/>
          <w:sz w:val="28"/>
        </w:rPr>
        <w:t xml:space="preserve">
      Организационно-правовая форма: </w:t>
      </w:r>
      <w:r>
        <w:rPr>
          <w:rFonts w:ascii="Times New Roman"/>
          <w:b w:val="false"/>
          <w:i w:val="false"/>
          <w:color w:val="000000"/>
          <w:sz w:val="28"/>
          <w:u w:val="single"/>
        </w:rPr>
        <w:t>акционерное общество</w:t>
      </w:r>
    </w:p>
    <w:p>
      <w:pPr>
        <w:spacing w:after="0"/>
        <w:ind w:left="0"/>
        <w:jc w:val="both"/>
      </w:pPr>
      <w:r>
        <w:rPr>
          <w:rFonts w:ascii="Times New Roman"/>
          <w:b w:val="false"/>
          <w:i w:val="false"/>
          <w:color w:val="000000"/>
          <w:sz w:val="28"/>
        </w:rPr>
        <w:t xml:space="preserve">
      Форма отчетности: </w:t>
      </w:r>
      <w:r>
        <w:rPr>
          <w:rFonts w:ascii="Times New Roman"/>
          <w:b w:val="false"/>
          <w:i w:val="false"/>
          <w:color w:val="000000"/>
          <w:sz w:val="28"/>
          <w:u w:val="single"/>
        </w:rPr>
        <w:t>консолидированная</w:t>
      </w:r>
    </w:p>
    <w:p>
      <w:pPr>
        <w:spacing w:after="0"/>
        <w:ind w:left="0"/>
        <w:jc w:val="both"/>
      </w:pPr>
      <w:r>
        <w:rPr>
          <w:rFonts w:ascii="Times New Roman"/>
          <w:b w:val="false"/>
          <w:i w:val="false"/>
          <w:color w:val="000000"/>
          <w:sz w:val="28"/>
        </w:rPr>
        <w:t xml:space="preserve">
      Среднегодовая численность работников: </w:t>
      </w:r>
      <w:r>
        <w:rPr>
          <w:rFonts w:ascii="Times New Roman"/>
          <w:b w:val="false"/>
          <w:i w:val="false"/>
          <w:color w:val="000000"/>
          <w:sz w:val="28"/>
          <w:u w:val="single"/>
        </w:rPr>
        <w:t>155 чел.</w:t>
      </w:r>
    </w:p>
    <w:p>
      <w:pPr>
        <w:spacing w:after="0"/>
        <w:ind w:left="0"/>
        <w:jc w:val="both"/>
      </w:pPr>
      <w:r>
        <w:rPr>
          <w:rFonts w:ascii="Times New Roman"/>
          <w:b w:val="false"/>
          <w:i w:val="false"/>
          <w:color w:val="000000"/>
          <w:sz w:val="28"/>
        </w:rPr>
        <w:t xml:space="preserve">
      Субъект предпринимательства: </w:t>
      </w:r>
      <w:r>
        <w:rPr>
          <w:rFonts w:ascii="Times New Roman"/>
          <w:b w:val="false"/>
          <w:i w:val="false"/>
          <w:color w:val="000000"/>
          <w:sz w:val="28"/>
          <w:u w:val="single"/>
        </w:rPr>
        <w:t>среднего</w:t>
      </w:r>
    </w:p>
    <w:p>
      <w:pPr>
        <w:spacing w:after="0"/>
        <w:ind w:left="0"/>
        <w:jc w:val="both"/>
      </w:pPr>
      <w:r>
        <w:rPr>
          <w:rFonts w:ascii="Times New Roman"/>
          <w:b w:val="false"/>
          <w:i w:val="false"/>
          <w:color w:val="000000"/>
          <w:sz w:val="28"/>
        </w:rPr>
        <w:t xml:space="preserve">
      Юридический адрес организации: </w:t>
      </w:r>
      <w:r>
        <w:rPr>
          <w:rFonts w:ascii="Times New Roman"/>
          <w:b w:val="false"/>
          <w:i w:val="false"/>
          <w:color w:val="000000"/>
          <w:sz w:val="28"/>
          <w:u w:val="single"/>
        </w:rPr>
        <w:t>г. Астана, Кунаева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1"/>
        <w:gridCol w:w="892"/>
        <w:gridCol w:w="3118"/>
        <w:gridCol w:w="3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 (пересчитано)</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740.994.000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1.468.426.000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39.333.000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84.949.000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48.834.000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учитываемые по справедливой стоимости через прибыли и убытки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81.016.000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удерживаемые до погашения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активы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1.541.688.000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1.741.768.000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торговая и прочая дебиторская задолженность</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382.979.000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373.046.000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подоходный налог</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77.721.000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78.372.000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346.300.000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409.508.000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437.902.000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461.431.000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 (сумма строк с 010 по 019)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3.620.270.000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4.800.360.000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(или выбывающие группы), предназначенные для продажи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1.086.843.000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51.521.000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92.725.000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399.593.000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учитываемые по справедливой стоимости через прибыли и убытки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удерживаемые до погашения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37.236.000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активы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929.759.000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1.656.011.000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торговая и прочая дебиторская задолженность</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методом долевого участия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1.717.249.000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6.802.386.000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5.956.395.000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Разведочные и оценочные активы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237.657.000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197.516.000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287.166.000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активы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42.084.000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77.964.000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461.896.000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421.092.000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 (сумма строк с 110 по 123)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10.587.376.000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10.422.323.000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(строка 100 +строка 101+ строка 200)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15.294.489.000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15.274.204.000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679.181.000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1.240.793.000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244.461.000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644.483.000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торговая и прочая кредиторская задолженность</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429.407.000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496.946.000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резервы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140.711.000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124.202.000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налоговые обязательства по подоходному налогу</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48.841.000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работникам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81.734.000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75.806.000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440.359.000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503.428.000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краткосрочных обязательств </w:t>
            </w:r>
          </w:p>
          <w:p>
            <w:pPr>
              <w:spacing w:after="20"/>
              <w:ind w:left="20"/>
              <w:jc w:val="both"/>
            </w:pPr>
            <w:r>
              <w:rPr>
                <w:rFonts w:ascii="Times New Roman"/>
                <w:b w:val="false"/>
                <w:i w:val="false"/>
                <w:color w:val="000000"/>
                <w:sz w:val="20"/>
              </w:rPr>
              <w:t>
(сумма строк с 210 по 217)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2.074.390.000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3.135.387.000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выбывающих групп, предназначенных для продажи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1.219.950.000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3.563.743.000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3.737.753.000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86.134.000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141.976.000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торговая и прочая кредиторская задолженность</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резервы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137.246.000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136.312.000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обязательства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377.919.000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336.950.000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328.515.000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342.600.000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долгосрочных обязательств </w:t>
            </w:r>
          </w:p>
          <w:p>
            <w:pPr>
              <w:spacing w:after="20"/>
              <w:ind w:left="20"/>
              <w:jc w:val="both"/>
            </w:pPr>
            <w:r>
              <w:rPr>
                <w:rFonts w:ascii="Times New Roman"/>
                <w:b w:val="false"/>
                <w:i w:val="false"/>
                <w:color w:val="000000"/>
                <w:sz w:val="20"/>
              </w:rPr>
              <w:t>
(сумма строк с 310 по 316)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4.493.557.000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4.703.041.000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Капитал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295.246.000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260.758.000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1.947.379.000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1.944.252.000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относимый на собственников материнской организации (сумма строк с 410 по 414)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6.727.301.000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6.614.324.000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неконтролирующих собственников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779.291.000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801.135.000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капитал (строка 420 +/- строка 421)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7.506.592.000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7.415.459.000</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(строка 300 + строка 301+строка 400 + строка 500)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15.294.489.000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15.274.204.000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79"/>
        <w:gridCol w:w="10821"/>
      </w:tblGrid>
      <w:tr>
        <w:trPr>
          <w:trHeight w:val="30" w:hRule="atLeast"/>
        </w:trPr>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Финансовый директор - Член Правления</w:t>
            </w:r>
          </w:p>
        </w:tc>
        <w:tc>
          <w:tcPr>
            <w:tcW w:w="10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Рахметов Н.К.</w:t>
            </w:r>
          </w:p>
        </w:tc>
      </w:tr>
      <w:tr>
        <w:trPr>
          <w:trHeight w:val="30" w:hRule="atLeast"/>
        </w:trPr>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Главный бухгалтер</w:t>
            </w:r>
          </w:p>
        </w:tc>
        <w:tc>
          <w:tcPr>
            <w:tcW w:w="10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Абдрахманова А.Ж.</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1030"/>
        <w:gridCol w:w="3692"/>
        <w:gridCol w:w="3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период (пересчитано)</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5.077.172.000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4.725.082.000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реализованных товаров и услуг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(3.647.010.000)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(3.390.245.000)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 (строка 010 - строка 011)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1.430.162.000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1.334.837.000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(347.457.000)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(377.334.000)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(378.782.000)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(343.669.000)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(259.614.000)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(242.777.000)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82.355.000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65.285.000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операционная прибыль (убыток) </w:t>
            </w:r>
          </w:p>
          <w:p>
            <w:pPr>
              <w:spacing w:after="20"/>
              <w:ind w:left="20"/>
              <w:jc w:val="both"/>
            </w:pPr>
            <w:r>
              <w:rPr>
                <w:rFonts w:ascii="Times New Roman"/>
                <w:b w:val="false"/>
                <w:i w:val="false"/>
                <w:color w:val="000000"/>
                <w:sz w:val="20"/>
              </w:rPr>
              <w:t>
(+/- строки с 012 по 016)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526.664.000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436.342.000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финансированию</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83.902.000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финансированию</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(230.746.000)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(208.751.000)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организации в прибыли (убытке) ассоциированных организаций и совместной деятельности, учитываемых по методу долевого участия</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546.342.000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540.513.000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неоперационные доходы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неоперационные расходы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(36.189.000)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(убыток) до налогообложения </w:t>
            </w:r>
          </w:p>
          <w:p>
            <w:pPr>
              <w:spacing w:after="20"/>
              <w:ind w:left="20"/>
              <w:jc w:val="both"/>
            </w:pPr>
            <w:r>
              <w:rPr>
                <w:rFonts w:ascii="Times New Roman"/>
                <w:b w:val="false"/>
                <w:i w:val="false"/>
                <w:color w:val="000000"/>
                <w:sz w:val="20"/>
              </w:rPr>
              <w:t>
(+/- строки с 020 по 025)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889.973.000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801.624.000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(277.244.000)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(243.789.000)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(убыток) после налогообложения от продолжающейся деятельности </w:t>
            </w:r>
          </w:p>
          <w:p>
            <w:pPr>
              <w:spacing w:after="20"/>
              <w:ind w:left="20"/>
              <w:jc w:val="both"/>
            </w:pPr>
            <w:r>
              <w:rPr>
                <w:rFonts w:ascii="Times New Roman"/>
                <w:b w:val="false"/>
                <w:i w:val="false"/>
                <w:color w:val="000000"/>
                <w:sz w:val="20"/>
              </w:rPr>
              <w:t>
(строка 100 - строка 101)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612.729.000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557.835.000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после налогообложения от прекращенной деятельности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(172.972.000)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580.063.000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за год (строка 200 + строка 201) относимая на: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439.757.000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1.137.898.000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собственников материнской организации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407.246.000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1.067.577.000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долю неконтролирующих собственников</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совокупная прибыль, всего </w:t>
            </w:r>
          </w:p>
          <w:p>
            <w:pPr>
              <w:spacing w:after="20"/>
              <w:ind w:left="20"/>
              <w:jc w:val="both"/>
            </w:pPr>
            <w:r>
              <w:rPr>
                <w:rFonts w:ascii="Times New Roman"/>
                <w:b w:val="false"/>
                <w:i w:val="false"/>
                <w:color w:val="000000"/>
                <w:sz w:val="20"/>
              </w:rPr>
              <w:t>
(сумма строк с 410 по 420):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45.601.000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164.315.000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финансовых активов, имеющихся в наличии для продажи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прочей совокупной прибыли (убытке) ассоциированных организаций и совместной деятельности, учитываемых по методу долевого участия</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Актуарные прибыли (убытки) по пенсионным обязательствам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изменения в ставке подоходного налога на отсроченный налог дочерних организаций</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 денежных потоков</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по инвестициям в зарубежные организации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35.301.000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 чистых инвестиций в зарубежные операции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компоненты прочей совокупной прибыли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при реклассификации в составе прибыли (убытка)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1"/>
        <w:gridCol w:w="1179"/>
        <w:gridCol w:w="3346"/>
        <w:gridCol w:w="3814"/>
      </w:tblGrid>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эффект компонентов прочей совокупной прибыли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совокупная прибыль (строка 300 + строка 400)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485.358.000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1.302.213.000</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совокупная прибыль, относимая на: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собственников материнской организации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452.012.000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1.233.075.000</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неконтролирующих собственников</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33.346.000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69.138.000</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на акцию:</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прибыль на акцию:</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продолжающейся деятельности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прекращенной деятельности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Разводненная прибыль на акцию:</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продолжающейся деятельности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прекращенной деятельности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79"/>
        <w:gridCol w:w="10821"/>
      </w:tblGrid>
      <w:tr>
        <w:trPr>
          <w:trHeight w:val="30" w:hRule="atLeast"/>
        </w:trPr>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Финансовый директор - Член Правления</w:t>
            </w:r>
          </w:p>
        </w:tc>
        <w:tc>
          <w:tcPr>
            <w:tcW w:w="10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Рахметов Н.К.</w:t>
            </w:r>
          </w:p>
        </w:tc>
      </w:tr>
      <w:tr>
        <w:trPr>
          <w:trHeight w:val="30" w:hRule="atLeast"/>
        </w:trPr>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Главный бухгалтер</w:t>
            </w:r>
          </w:p>
        </w:tc>
        <w:tc>
          <w:tcPr>
            <w:tcW w:w="10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Абдрахманова А.Ж.</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0"/>
        <w:gridCol w:w="744"/>
        <w:gridCol w:w="2376"/>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период</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Движение денежных средств от операционной деятельности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налогообложения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712.172.000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1.391.361.000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и обесценение основных средств и нематериальных активов</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430.879.000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407.442.000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гудвила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торговой и прочей дебиторской задолженности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стоимости активов (или выбывающей группы), предназначенных для продажи до справедливой стоимости за вычетом затрат на продажу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158.729.000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(прибыль) от выбытия основных средств</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(прибыль) от инвестиционного имущества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(прибыль) от досрочного погашения займов</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(прибыль) от прочих финансовых активов, отражаемых по справедливой стоимости с корректировкой через отчет о прибылях и убытках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(доходы) по финансированию</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146.844.000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152.980.000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работникам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 долевыми инструментами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по отложенным налогам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Нереализованная положительная (отрицательная) курсовая разница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организации в прибыли ассоциированных организаций и совместной деятельности, учитываемых по методу долевого участия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(546.342.000)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(540.513.000)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неденежные операционные корректировки общей совокупной прибыли (убытка)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128.462.000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(524.361.000)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корректировка общей совокупной прибыли (убытка), всего (+/- строки с 011 по 025)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393.094.000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(469.257.000)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(34.545.000)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(36.195.000)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резерва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торговой и прочей дебиторской задолженности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(142.696.000)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(583.569.000)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торговой и прочей кредиторской задолженности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(133.574.000)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257.916.000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задолженности по налогам и другим обязательным платежам в бюджет</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прочих краткосрочных обязательствах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27.831.000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131.909.000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движение операционных активов и обязательств, всего (+/- строки с 031 по 036)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(300.618.000)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(222.194.000)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Уплаченные вознаграждения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(180.255.000)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(146.160.000)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Уплаченный подоходный налог</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(222.698.000)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(196.694.000)</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010+/- строка 030+/- строка 040+/- строка 041+/- строка 042)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357.056.000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9"/>
        <w:gridCol w:w="952"/>
        <w:gridCol w:w="3416"/>
        <w:gridCol w:w="3083"/>
      </w:tblGrid>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Движение денежных средств от инвестиционной деятельности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(1.629.729.000)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(482.965.000)</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Движение денежных средств от финансовой деятельности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492.305.000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(60.503.000)</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Влияние обменных курсов валют к тенге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8.223.000</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Увеличение +/- уменьшение денежных средств </w:t>
            </w:r>
          </w:p>
          <w:p>
            <w:pPr>
              <w:spacing w:after="20"/>
              <w:ind w:left="20"/>
              <w:jc w:val="both"/>
            </w:pPr>
            <w:r>
              <w:rPr>
                <w:rFonts w:ascii="Times New Roman"/>
                <w:b w:val="false"/>
                <w:i w:val="false"/>
                <w:color w:val="000000"/>
                <w:sz w:val="20"/>
              </w:rPr>
              <w:t>
(строка 100 +/- строка 200 +/- строка 300)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(735.729.000)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(186.412.000)</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Денежные средства и их эквиваленты на начало отчетного периода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1.468.426.000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1.646.615.000</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Денежные средства и их эквиваленты на конец отчетного периода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740.994.000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1.468.426.000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79"/>
        <w:gridCol w:w="10821"/>
      </w:tblGrid>
      <w:tr>
        <w:trPr>
          <w:trHeight w:val="30" w:hRule="atLeast"/>
        </w:trPr>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Финансовый директор - Член Правления</w:t>
            </w:r>
          </w:p>
        </w:tc>
        <w:tc>
          <w:tcPr>
            <w:tcW w:w="10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Рахметов Н.К.</w:t>
            </w:r>
          </w:p>
        </w:tc>
      </w:tr>
      <w:tr>
        <w:trPr>
          <w:trHeight w:val="30" w:hRule="atLeast"/>
        </w:trPr>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Главный бухгалтер</w:t>
            </w:r>
          </w:p>
        </w:tc>
        <w:tc>
          <w:tcPr>
            <w:tcW w:w="10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Абдрахманова А.Ж.</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525"/>
        <w:gridCol w:w="1700"/>
        <w:gridCol w:w="249"/>
        <w:gridCol w:w="318"/>
        <w:gridCol w:w="1539"/>
        <w:gridCol w:w="1700"/>
        <w:gridCol w:w="1677"/>
        <w:gridCol w:w="170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материнской организации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неконтролирующих собственников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1 января предыдущего года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4.050.383.000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96.804.000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823.433.000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758.983.000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5.729.603.000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учетной политике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в связи с объединением предприятий под общим контролем*</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010+/строка 011)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4.050.383.000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96.969.000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845.194.000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758.983.000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5.751.529.000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совокупная прибыль, всего(строка 210 + строка 220):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165.498.000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1.067.577.000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69.138.000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1.302.213.000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год</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1.067.577.000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1.137.898.000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совокупная прибыль, всего (сумма строк с 221 по 229):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165.498.000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164.315.000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от переоценки основных средств (за минусом налогового эффекта)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амортизации от переоценки основных средств (за минусом налогового эффекта)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финансовых активов, имеющиеся в наличии для продажи (за минусом налогового эффекта)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131.663.000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129.172.000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прочей совокупной прибыли (убытке) ассоциированных организаций и совместной деятельности, учитываемых по методу долевого участия</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Актуарные прибыли (убытки) по пенсионным обязательствам</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изменения в ставке подоходного налога на отсроченный налог дочерних организаций</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Хеджирование денежных потоков </w:t>
            </w:r>
          </w:p>
          <w:p>
            <w:pPr>
              <w:spacing w:after="20"/>
              <w:ind w:left="20"/>
              <w:jc w:val="both"/>
            </w:pPr>
            <w:r>
              <w:rPr>
                <w:rFonts w:ascii="Times New Roman"/>
                <w:b w:val="false"/>
                <w:i w:val="false"/>
                <w:color w:val="000000"/>
                <w:sz w:val="20"/>
              </w:rPr>
              <w:t>
(за минусом налогового эффекта)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по инвестициям в зарубежные организации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 чистых инвестиций в зарубежные операции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собственниками, всего </w:t>
            </w:r>
          </w:p>
          <w:p>
            <w:pPr>
              <w:spacing w:after="20"/>
              <w:ind w:left="20"/>
              <w:jc w:val="both"/>
            </w:pPr>
            <w:r>
              <w:rPr>
                <w:rFonts w:ascii="Times New Roman"/>
                <w:b w:val="false"/>
                <w:i w:val="false"/>
                <w:color w:val="000000"/>
                <w:sz w:val="20"/>
              </w:rPr>
              <w:t>
(сумма строк с 310 по 318):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358.931.000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31.481.000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(26.986.000)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361.717.000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работников акциями: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 работников</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акций по схеме вознаграждения работников акциями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выгода в отношении схемы вознаграждения работников акциями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собственников</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358.931.000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354.782.000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собственных долевых инструментов (акций)</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долевых инструментов связанный с объединением бизнеса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Долевой компонент конвертируемых инструментов (за минусом налогового эффекта)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(168.190.000)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(150.297.000)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(318.487.000)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распределения в пользу собственников</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(63.890.000)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(63.890.000)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 с собственниками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395.887.000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395.887.000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доле участия в дочерних организациях, не приводящей к потере контроля</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(127.573.000)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121.870.000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1 января отчетного года (строка 100 + строка 200 + строка 300)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4.409.314.000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260.758.000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1.944.252.000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801.135.000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7.415.459.000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учетной политике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400 + строка 401)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4.409.314.000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260.758.000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1.944.252.000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801.135.000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7.415.459.000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совокупная прибыль, всего (строка 610 + строка 620):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51.290.000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400.722.000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485.358.000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год</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407.246.000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439.757.000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совокупная прибыль, всего (сумма строк с 621 по 629):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51.290.000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45.601.000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от переоценки основных средств (за минусом налогового эффекта)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амортизации от переоценки основных средств (за минусом налогового эффекта)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финансовых активов, имеющиеся в наличии для продажи (за минусом налогового эффекта)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прочей совокупной прибыли (убытке) ассоциированных организаций и совместной деятельности, учитываемых по методу долевого участия</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Актуарные прибыли (убытки) по пенсионным обязательствам</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изменения в ставке подоходного налога на отсроченный налог дочерних компаний</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 денежных потоков (за минусом налогового эффекта)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по инвестициям в зарубежные организации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 чистых инвестиций в зарубежные операции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собственниками всего (сумма строк с 710 по 718)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75.362.000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(397.595.000)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(55.190.000)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(394.225.000)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работников акциями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 работников</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акций по схеме вознаграждения работников акциями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выгода в отношении схемы вознаграждения работников акциями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собственников</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75.362.000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49.128.000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собственных долевых инструментов (акций)</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528"/>
        <w:gridCol w:w="1709"/>
        <w:gridCol w:w="250"/>
        <w:gridCol w:w="250"/>
        <w:gridCol w:w="1548"/>
        <w:gridCol w:w="1710"/>
        <w:gridCol w:w="1548"/>
        <w:gridCol w:w="1711"/>
      </w:tblGrid>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долевых инструментов, связанный с объединением бизнеса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Долевой компонент конвертируемых инструментов (за минусом налогового эффекта)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(60.721.000)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(69.798.000)</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распределения в пользу собственников</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(147.534.000)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(147.534.000)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 с собственниками</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(215.019.000)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(230.849.000)</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доле участия в дочерних организациях, не приводящей к потере контроля</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4.803.000</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31 декабря отчетного года (строка 500 + строка 600 + строка 700)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4.484.676.000</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295.246.000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1.947.379.000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779.291.000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7.506.592.000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79"/>
        <w:gridCol w:w="10821"/>
      </w:tblGrid>
      <w:tr>
        <w:trPr>
          <w:trHeight w:val="30" w:hRule="atLeast"/>
        </w:trPr>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Финансовый директор - Член Правления</w:t>
            </w:r>
          </w:p>
        </w:tc>
        <w:tc>
          <w:tcPr>
            <w:tcW w:w="10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Рахметов Н.К.</w:t>
            </w:r>
          </w:p>
        </w:tc>
      </w:tr>
      <w:tr>
        <w:trPr>
          <w:trHeight w:val="30" w:hRule="atLeast"/>
        </w:trPr>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Главный бухгалтер</w:t>
            </w:r>
          </w:p>
        </w:tc>
        <w:tc>
          <w:tcPr>
            <w:tcW w:w="10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Абдрахманова А.Ж.</w:t>
            </w:r>
          </w:p>
        </w:tc>
      </w:tr>
    </w:tbl>
    <w:p>
      <w:pPr>
        <w:spacing w:after="0"/>
        <w:ind w:left="0"/>
        <w:jc w:val="left"/>
      </w:pPr>
      <w:r>
        <w:br/>
      </w:r>
      <w:r>
        <w:rPr>
          <w:rFonts w:ascii="Times New Roman"/>
          <w:b w:val="false"/>
          <w:i w:val="false"/>
          <w:color w:val="000000"/>
          <w:sz w:val="28"/>
        </w:rPr>
        <w:t>
</w:t>
      </w:r>
    </w:p>
    <w:bookmarkStart w:name="z255" w:id="254"/>
    <w:p>
      <w:pPr>
        <w:spacing w:after="0"/>
        <w:ind w:left="0"/>
        <w:jc w:val="both"/>
      </w:pPr>
      <w:r>
        <w:rPr>
          <w:rFonts w:ascii="Times New Roman"/>
          <w:b w:val="false"/>
          <w:i w:val="false"/>
          <w:color w:val="000000"/>
          <w:sz w:val="28"/>
        </w:rPr>
        <w:t xml:space="preserve">
      </w:t>
      </w:r>
      <w:r>
        <w:rPr>
          <w:rFonts w:ascii="Times New Roman"/>
          <w:b/>
          <w:i w:val="false"/>
          <w:color w:val="000000"/>
          <w:sz w:val="28"/>
        </w:rPr>
        <w:t>1. ОБЩАЯ ИНФОРМАЦИЯ</w:t>
      </w:r>
    </w:p>
    <w:bookmarkEnd w:id="254"/>
    <w:bookmarkStart w:name="z256" w:id="255"/>
    <w:p>
      <w:pPr>
        <w:spacing w:after="0"/>
        <w:ind w:left="0"/>
        <w:jc w:val="both"/>
      </w:pPr>
      <w:r>
        <w:rPr>
          <w:rFonts w:ascii="Times New Roman"/>
          <w:b w:val="false"/>
          <w:i w:val="false"/>
          <w:color w:val="000000"/>
          <w:sz w:val="28"/>
        </w:rPr>
        <w:t xml:space="preserve">
      </w:t>
      </w:r>
      <w:r>
        <w:rPr>
          <w:rFonts w:ascii="Times New Roman"/>
          <w:b/>
          <w:i w:val="false"/>
          <w:color w:val="000000"/>
          <w:sz w:val="28"/>
        </w:rPr>
        <w:t>Корпоративная информация</w:t>
      </w:r>
    </w:p>
    <w:bookmarkEnd w:id="255"/>
    <w:p>
      <w:pPr>
        <w:spacing w:after="0"/>
        <w:ind w:left="0"/>
        <w:jc w:val="both"/>
      </w:pPr>
      <w:r>
        <w:rPr>
          <w:rFonts w:ascii="Times New Roman"/>
          <w:b w:val="false"/>
          <w:i w:val="false"/>
          <w:color w:val="000000"/>
          <w:sz w:val="28"/>
        </w:rPr>
        <w:t>
      АО "Фонд Национального Благосостояния "Самрук-Қазына" (далее "Фонд" или "Самрук-Казына") было образовано 3 ноября 2008 года в соответствии с Указом Президента Республики Казахстан от 13 октября 2008 года и Постановлением Правительства Республики Казахстан от 17 октября 2008 года. Образование было осуществлено посредством слияния АО "Фонд Устойчивого Развития "Казына" (далее "Казына") и АО "Казахстанский Холдинг по Управлению Государственными Активами "Самрук" (далее "Самрук") и дополнительной передачи Государством Фонду своего права собственности в некоторых предприятиях, принадлежащих Правительству Республики Казахстан (далее по тексту "Государство" или "Правительство"). Правительство, представленное Комитетом государственного имущества и приватизации Министерства финансов Республики Казахстан, является единственным акционером Фонда (далее "Акционер").</w:t>
      </w:r>
    </w:p>
    <w:p>
      <w:pPr>
        <w:spacing w:after="0"/>
        <w:ind w:left="0"/>
        <w:jc w:val="both"/>
      </w:pPr>
      <w:r>
        <w:rPr>
          <w:rFonts w:ascii="Times New Roman"/>
          <w:b w:val="false"/>
          <w:i w:val="false"/>
          <w:color w:val="000000"/>
          <w:sz w:val="28"/>
        </w:rPr>
        <w:t>
      Основной целью Правительства при данной реорганизации являлось повышение эффективности менеджмента и оптимизация организационных структур в дочерних организациях Фонда, с целью успешного выполнения их стратегических задач, установленных в соответствующих программах Правительства и планах развития компаний.</w:t>
      </w:r>
    </w:p>
    <w:p>
      <w:pPr>
        <w:spacing w:after="0"/>
        <w:ind w:left="0"/>
        <w:jc w:val="both"/>
      </w:pPr>
      <w:r>
        <w:rPr>
          <w:rFonts w:ascii="Times New Roman"/>
          <w:b w:val="false"/>
          <w:i w:val="false"/>
          <w:color w:val="000000"/>
          <w:sz w:val="28"/>
        </w:rPr>
        <w:t xml:space="preserve">
      Фонд является холдингом, объединяющим ряд государственных предприятий, перечисленных в </w:t>
      </w:r>
      <w:r>
        <w:rPr>
          <w:rFonts w:ascii="Times New Roman"/>
          <w:b w:val="false"/>
          <w:i/>
          <w:color w:val="000000"/>
          <w:sz w:val="28"/>
        </w:rPr>
        <w:t>Примечании 9</w:t>
      </w:r>
      <w:r>
        <w:rPr>
          <w:rFonts w:ascii="Times New Roman"/>
          <w:b w:val="false"/>
          <w:i w:val="false"/>
          <w:color w:val="000000"/>
          <w:sz w:val="28"/>
        </w:rPr>
        <w:t xml:space="preserve"> (далее "Группа"). Деятельность Фонда до 1 февраля 2012 года регулировалась Законом Республики Казахстан "О Фонде национального благосостояния" № 134-4 от 13 февраля 2009 года и была направлена на содействие в обеспечении устойчивого развития экономики страны, модернизации и диверсификации экономики; повышение эффективности деятельности компаний Фонда. 1 февраля 2012 года был принят Закон Республики Казахстан "О Фонде национального благосостояния" № 550-4, в соответствии с которым деятельность Фонда должна быть сфокусирована на повышении национального благосостояния Республики Казахстан посредством увеличения долгосрочной стоимости (ценности) организаций, входящих в Группу и эффективного управления активами Группы. </w:t>
      </w:r>
    </w:p>
    <w:p>
      <w:pPr>
        <w:spacing w:after="0"/>
        <w:ind w:left="0"/>
        <w:jc w:val="both"/>
      </w:pPr>
      <w:r>
        <w:rPr>
          <w:rFonts w:ascii="Times New Roman"/>
          <w:b w:val="false"/>
          <w:i w:val="false"/>
          <w:color w:val="000000"/>
          <w:sz w:val="28"/>
        </w:rPr>
        <w:t>
      Зарегистрированный офис Фонда расположен по адресу: г. Астана, ул. Кунаева 8, Республика Казахстан.</w:t>
      </w:r>
    </w:p>
    <w:p>
      <w:pPr>
        <w:spacing w:after="0"/>
        <w:ind w:left="0"/>
        <w:jc w:val="both"/>
      </w:pPr>
      <w:r>
        <w:rPr>
          <w:rFonts w:ascii="Times New Roman"/>
          <w:b w:val="false"/>
          <w:i w:val="false"/>
          <w:color w:val="000000"/>
          <w:sz w:val="28"/>
        </w:rPr>
        <w:t>
      Данные консолидированные формы финансовой отчетности были утверждены к выпуску 25 апреля 2014 года финансовым директором-Членом Правления и Главным бухгалтером Фонда.</w:t>
      </w:r>
    </w:p>
    <w:bookmarkStart w:name="z257" w:id="256"/>
    <w:p>
      <w:pPr>
        <w:spacing w:after="0"/>
        <w:ind w:left="0"/>
        <w:jc w:val="both"/>
      </w:pPr>
      <w:r>
        <w:rPr>
          <w:rFonts w:ascii="Times New Roman"/>
          <w:b w:val="false"/>
          <w:i w:val="false"/>
          <w:color w:val="000000"/>
          <w:sz w:val="28"/>
        </w:rPr>
        <w:t xml:space="preserve">
      </w:t>
      </w:r>
      <w:r>
        <w:rPr>
          <w:rFonts w:ascii="Times New Roman"/>
          <w:b/>
          <w:i w:val="false"/>
          <w:color w:val="000000"/>
          <w:sz w:val="28"/>
        </w:rPr>
        <w:t>План стабилизации экономики и финансовой системы</w:t>
      </w:r>
    </w:p>
    <w:bookmarkEnd w:id="256"/>
    <w:p>
      <w:pPr>
        <w:spacing w:after="0"/>
        <w:ind w:left="0"/>
        <w:jc w:val="both"/>
      </w:pPr>
      <w:r>
        <w:rPr>
          <w:rFonts w:ascii="Times New Roman"/>
          <w:b w:val="false"/>
          <w:i w:val="false"/>
          <w:color w:val="000000"/>
          <w:sz w:val="28"/>
        </w:rPr>
        <w:t xml:space="preserve">
      В целях обеспечения стабильности экономики и финансовой системы страны в условиях мирового финансового кризиса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1085 от 25 ноября 2008 года был утвержден План совместных действий Правительства, Национального Банка и Агентства по регулированию и надзору финансового рынка и финансовых организаций Республики Казахстан по стабилизации экономики и финансовой системы на 2009-2010 годы (далее по тексту "План стабилизации"). План Стабилизации предусматривает ряд мероприятий, направленных на следующие цели:</w:t>
      </w:r>
    </w:p>
    <w:p>
      <w:pPr>
        <w:spacing w:after="0"/>
        <w:ind w:left="0"/>
        <w:jc w:val="both"/>
      </w:pPr>
      <w:r>
        <w:rPr>
          <w:rFonts w:ascii="Times New Roman"/>
          <w:b w:val="false"/>
          <w:i w:val="false"/>
          <w:color w:val="000000"/>
          <w:sz w:val="28"/>
        </w:rPr>
        <w:t>
      - Стабилизация финансового сектора;</w:t>
      </w:r>
    </w:p>
    <w:p>
      <w:pPr>
        <w:spacing w:after="0"/>
        <w:ind w:left="0"/>
        <w:jc w:val="both"/>
      </w:pPr>
      <w:r>
        <w:rPr>
          <w:rFonts w:ascii="Times New Roman"/>
          <w:b w:val="false"/>
          <w:i w:val="false"/>
          <w:color w:val="000000"/>
          <w:sz w:val="28"/>
        </w:rPr>
        <w:t>
      - Стабилизация рынка недвижимости;</w:t>
      </w:r>
    </w:p>
    <w:p>
      <w:pPr>
        <w:spacing w:after="0"/>
        <w:ind w:left="0"/>
        <w:jc w:val="both"/>
      </w:pPr>
      <w:r>
        <w:rPr>
          <w:rFonts w:ascii="Times New Roman"/>
          <w:b w:val="false"/>
          <w:i w:val="false"/>
          <w:color w:val="000000"/>
          <w:sz w:val="28"/>
        </w:rPr>
        <w:t>
      - Поддержка малого и среднего бизнеса;</w:t>
      </w:r>
    </w:p>
    <w:p>
      <w:pPr>
        <w:spacing w:after="0"/>
        <w:ind w:left="0"/>
        <w:jc w:val="both"/>
      </w:pPr>
      <w:r>
        <w:rPr>
          <w:rFonts w:ascii="Times New Roman"/>
          <w:b w:val="false"/>
          <w:i w:val="false"/>
          <w:color w:val="000000"/>
          <w:sz w:val="28"/>
        </w:rPr>
        <w:t>
      - Развитие агропромышленного комплекса;</w:t>
      </w:r>
    </w:p>
    <w:p>
      <w:pPr>
        <w:spacing w:after="0"/>
        <w:ind w:left="0"/>
        <w:jc w:val="both"/>
      </w:pPr>
      <w:r>
        <w:rPr>
          <w:rFonts w:ascii="Times New Roman"/>
          <w:b w:val="false"/>
          <w:i w:val="false"/>
          <w:color w:val="000000"/>
          <w:sz w:val="28"/>
        </w:rPr>
        <w:t xml:space="preserve">
      - Реализация инновационных, индустриальных и инфраструктурных проектов. </w:t>
      </w:r>
    </w:p>
    <w:p>
      <w:pPr>
        <w:spacing w:after="0"/>
        <w:ind w:left="0"/>
        <w:jc w:val="both"/>
      </w:pPr>
      <w:r>
        <w:rPr>
          <w:rFonts w:ascii="Times New Roman"/>
          <w:b w:val="false"/>
          <w:i w:val="false"/>
          <w:color w:val="000000"/>
          <w:sz w:val="28"/>
        </w:rPr>
        <w:t xml:space="preserve">
      Фонд выступает основным оператором Правительства по реализации Плана Стабилизации. </w:t>
      </w:r>
    </w:p>
    <w:p>
      <w:pPr>
        <w:spacing w:after="0"/>
        <w:ind w:left="0"/>
        <w:jc w:val="both"/>
      </w:pPr>
      <w:r>
        <w:rPr>
          <w:rFonts w:ascii="Times New Roman"/>
          <w:b w:val="false"/>
          <w:i w:val="false"/>
          <w:color w:val="000000"/>
          <w:sz w:val="28"/>
        </w:rPr>
        <w:t>
      В рамках Плана Стабилизации в части стабилизации финансового сектора в 2009 году Фонд приобрел контрольные пакеты акций АО "БТА Банк" и АО "Альянс Банк" и значительные доли в АО "Народный Банк Казахстана" и АО "Казкоммерцбанк". Данные меры были направлены на предоставление банкам дополнительной ликвидности и обеспечение их платежеспособности. В 2012 и 2011 годах Фонд реализовал все простые и часть привилегированных акций АО "Народный Банк Казахстана".</w:t>
      </w:r>
    </w:p>
    <w:p>
      <w:pPr>
        <w:spacing w:after="0"/>
        <w:ind w:left="0"/>
        <w:jc w:val="both"/>
      </w:pPr>
      <w:r>
        <w:rPr>
          <w:rFonts w:ascii="Times New Roman"/>
          <w:b w:val="false"/>
          <w:i w:val="false"/>
          <w:color w:val="000000"/>
          <w:sz w:val="28"/>
        </w:rPr>
        <w:t xml:space="preserve">
      В 2010 году в рамках плана реструктуризации обязательств АО "БТА Банк" (далее "БТА Банка"), утвержденного в марте 2010 года, Фонд приобрел вновь выпущенные простые акции АО "Темiрбанк" (далее "Темирбанк"), дочерней организации БТА Банка. </w:t>
      </w:r>
    </w:p>
    <w:p>
      <w:pPr>
        <w:spacing w:after="0"/>
        <w:ind w:left="0"/>
        <w:jc w:val="both"/>
      </w:pPr>
      <w:r>
        <w:rPr>
          <w:rFonts w:ascii="Times New Roman"/>
          <w:b w:val="false"/>
          <w:i w:val="false"/>
          <w:color w:val="000000"/>
          <w:sz w:val="28"/>
        </w:rPr>
        <w:t xml:space="preserve">
      В 2010 году Альянс Банк, БТА Банк и Темирбанк завершили процесс реструктуризации своей задолженности. Способность Альянс Банка и Темирбанка продолжать придерживаться принципа непрерывной деятельности в значительной степени зависит от успешной реализации новых бизнес-моделей в соответствии с условиями реструктуризации. </w:t>
      </w:r>
    </w:p>
    <w:p>
      <w:pPr>
        <w:spacing w:after="0"/>
        <w:ind w:left="0"/>
        <w:jc w:val="both"/>
      </w:pPr>
      <w:r>
        <w:rPr>
          <w:rFonts w:ascii="Times New Roman"/>
          <w:b w:val="false"/>
          <w:i w:val="false"/>
          <w:color w:val="000000"/>
          <w:sz w:val="28"/>
        </w:rPr>
        <w:t xml:space="preserve">
      Способность БТА Банка продолжать придерживаться принципа непрерывной деятельности зависит в значительной степени от успешной реализации новой бизнес-модели в соответствии с условиями второй реструктуризации своих долгов, завершенной в декабре 2012 года. </w:t>
      </w:r>
    </w:p>
    <w:bookmarkStart w:name="z258" w:id="257"/>
    <w:p>
      <w:pPr>
        <w:spacing w:after="0"/>
        <w:ind w:left="0"/>
        <w:jc w:val="both"/>
      </w:pPr>
      <w:r>
        <w:rPr>
          <w:rFonts w:ascii="Times New Roman"/>
          <w:b w:val="false"/>
          <w:i w:val="false"/>
          <w:color w:val="000000"/>
          <w:sz w:val="28"/>
        </w:rPr>
        <w:t xml:space="preserve">
      </w:t>
      </w:r>
      <w:r>
        <w:rPr>
          <w:rFonts w:ascii="Times New Roman"/>
          <w:b/>
          <w:i w:val="false"/>
          <w:color w:val="000000"/>
          <w:sz w:val="28"/>
        </w:rPr>
        <w:t>2. ОСНОВА ПОДГОТОВКИ ФОРМ ФИНАНСОВОЙ ОТЧЕТНОСТИ</w:t>
      </w:r>
    </w:p>
    <w:bookmarkEnd w:id="257"/>
    <w:p>
      <w:pPr>
        <w:spacing w:after="0"/>
        <w:ind w:left="0"/>
        <w:jc w:val="both"/>
      </w:pPr>
      <w:r>
        <w:rPr>
          <w:rFonts w:ascii="Times New Roman"/>
          <w:b w:val="false"/>
          <w:i w:val="false"/>
          <w:color w:val="000000"/>
          <w:sz w:val="28"/>
        </w:rPr>
        <w:t>
      Данные консолидированные формы финансовой отчетности подготовлены на основе принципа первоначальной стоимости, за исключением случаев, описанных в учетной политике и пояснительной записке к данным консолидированным формам финансовой отчетности.</w:t>
      </w:r>
    </w:p>
    <w:p>
      <w:pPr>
        <w:spacing w:after="0"/>
        <w:ind w:left="0"/>
        <w:jc w:val="both"/>
      </w:pPr>
      <w:r>
        <w:rPr>
          <w:rFonts w:ascii="Times New Roman"/>
          <w:b w:val="false"/>
          <w:i w:val="false"/>
          <w:color w:val="000000"/>
          <w:sz w:val="28"/>
        </w:rPr>
        <w:t>
      Данные консолидированные формы финансовой отчетности представлены в тенге, и все денежные суммы округлены до тысяч тенге, за исключением специально оговоренных случаев.</w:t>
      </w:r>
    </w:p>
    <w:bookmarkStart w:name="z259" w:id="258"/>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 о соответствии</w:t>
      </w:r>
    </w:p>
    <w:bookmarkEnd w:id="258"/>
    <w:p>
      <w:pPr>
        <w:spacing w:after="0"/>
        <w:ind w:left="0"/>
        <w:jc w:val="both"/>
      </w:pPr>
      <w:r>
        <w:rPr>
          <w:rFonts w:ascii="Times New Roman"/>
          <w:b w:val="false"/>
          <w:i w:val="false"/>
          <w:color w:val="000000"/>
          <w:sz w:val="28"/>
        </w:rPr>
        <w:t>
      Прилагаемые консолидированные формы отчетности были подготовлены в соответствии с перечнем, формами, утвержденными нормативным актом уполномоченного государственного органа Республики Казахстан в соответствии с Приказом Министерства Финансов Республики Казахстан № 422 от 20 августа 2010 года.</w:t>
      </w:r>
    </w:p>
    <w:p>
      <w:pPr>
        <w:spacing w:after="0"/>
        <w:ind w:left="0"/>
        <w:jc w:val="both"/>
      </w:pPr>
      <w:r>
        <w:rPr>
          <w:rFonts w:ascii="Times New Roman"/>
          <w:b w:val="false"/>
          <w:i w:val="false"/>
          <w:color w:val="000000"/>
          <w:sz w:val="28"/>
        </w:rPr>
        <w:t xml:space="preserve">
      Подготовка консолидированных форм отчетности требует применения определенных критичных учетных оценок, а также требует от руководства применения суждений по допущениям в ходе применения учетной политики. Сферы применения, включающие в себя повышенный уровень сложности или применения допущений, а также области, в которых применение оценок и допущений является существенным для консолидированных форм финансовой отчетности, раскрыты в </w:t>
      </w:r>
      <w:r>
        <w:rPr>
          <w:rFonts w:ascii="Times New Roman"/>
          <w:b w:val="false"/>
          <w:i/>
          <w:color w:val="000000"/>
          <w:sz w:val="28"/>
        </w:rPr>
        <w:t>Примечании 4</w:t>
      </w:r>
      <w:r>
        <w:rPr>
          <w:rFonts w:ascii="Times New Roman"/>
          <w:b w:val="false"/>
          <w:i w:val="false"/>
          <w:color w:val="000000"/>
          <w:sz w:val="28"/>
        </w:rPr>
        <w:t>.</w:t>
      </w:r>
    </w:p>
    <w:bookmarkStart w:name="z260" w:id="259"/>
    <w:p>
      <w:pPr>
        <w:spacing w:after="0"/>
        <w:ind w:left="0"/>
        <w:jc w:val="both"/>
      </w:pPr>
      <w:r>
        <w:rPr>
          <w:rFonts w:ascii="Times New Roman"/>
          <w:b w:val="false"/>
          <w:i w:val="false"/>
          <w:color w:val="000000"/>
          <w:sz w:val="28"/>
        </w:rPr>
        <w:t xml:space="preserve">
      </w:t>
      </w:r>
      <w:r>
        <w:rPr>
          <w:rFonts w:ascii="Times New Roman"/>
          <w:b/>
          <w:i w:val="false"/>
          <w:color w:val="000000"/>
          <w:sz w:val="28"/>
        </w:rPr>
        <w:t>Пересчет ранее представленных данных в связи с передачей предприятия, находящегося под общим контролем</w:t>
      </w:r>
    </w:p>
    <w:bookmarkEnd w:id="25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1539 от 4 декабря 2012 года, 26 июля 2013 года Группе был передан государственный пакет акций АО "Национальная компания "Актауский международный морской торговый порт". Поскольку передача пакета акций АО "Национальная компания "Актауский международный морской торговый порт" представляет собой объединение предприятий под общим контролем, данные консолидированные формы финансовой отчетности были подготовлена с использованием метода учета компании-предшественника. Соответственно, данные консолидированные формы финансовой отчетности представлены таким образом, как если бы передача акций АО "Национальная компания "Актауский международный морской торговый порт" произошла на дату наиболее раннего представленного периода, и, как результат, сравнительная информация за прошлые отчетности была пересчитана. </w:t>
      </w:r>
    </w:p>
    <w:p>
      <w:pPr>
        <w:spacing w:after="0"/>
        <w:ind w:left="0"/>
        <w:jc w:val="both"/>
      </w:pPr>
      <w:r>
        <w:rPr>
          <w:rFonts w:ascii="Times New Roman"/>
          <w:b w:val="false"/>
          <w:i w:val="false"/>
          <w:color w:val="000000"/>
          <w:sz w:val="28"/>
        </w:rPr>
        <w:t>
      Активы и обязательства АО "Национальная компания "Актауский международный морской торговый порт" были учтены в данных формах консолидированной финансовой отчетности по балансовой стоимости в их финансовой отчетности, с соответствующим зачислением разницы в капитал.</w:t>
      </w:r>
    </w:p>
    <w:p>
      <w:pPr>
        <w:spacing w:after="0"/>
        <w:ind w:left="0"/>
        <w:jc w:val="both"/>
      </w:pPr>
      <w:r>
        <w:rPr>
          <w:rFonts w:ascii="Times New Roman"/>
          <w:b w:val="false"/>
          <w:i w:val="false"/>
          <w:color w:val="000000"/>
          <w:sz w:val="28"/>
        </w:rPr>
        <w:t>
      Пересчет ранее представленных данных в связи с передачей предприятия, находящегося под общим контролем (продолжение)</w:t>
      </w:r>
    </w:p>
    <w:p>
      <w:pPr>
        <w:spacing w:after="0"/>
        <w:ind w:left="0"/>
        <w:jc w:val="both"/>
      </w:pPr>
      <w:r>
        <w:rPr>
          <w:rFonts w:ascii="Times New Roman"/>
          <w:b w:val="false"/>
          <w:i w:val="false"/>
          <w:color w:val="000000"/>
          <w:sz w:val="28"/>
        </w:rPr>
        <w:t>
      Эффект изменений в сравнительных данных приведен в следующей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6"/>
        <w:gridCol w:w="5704"/>
      </w:tblGrid>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финансовой отчетности АО "Национальная компания "Актауский международный морской торговый порт"</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консолидированный бухгалтерский баланс по состоянию на 31 декабря 2012 года:</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в основных средствах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25.964.000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нематериальных активах</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прочих долгосрочных финансовых активах</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прочих долгосрочных активах</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долгосрочных активах</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запасах</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текущем подоходном налоге</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краткосрочной торговой и прочей дебиторской задолженности</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прочих краткосрочных финансовых активах</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прочих краткосрочных активах</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денежных средствах и их эквивалентах</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краткосрочных активах</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общей сумме активов</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в займах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в отложенных налоговых обязательствах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долгосрочных обязательствах</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в займах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краткосрочной торговой и прочей кредиторской задолженности</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прочих краткосрочных обязательствах</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краткосрочных обязательствах</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в общей сумме обязательств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(15.149.000)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чистых активах</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4"/>
        <w:gridCol w:w="6076"/>
      </w:tblGrid>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финансовой отчетности АО "Национальная компания "Актауский международный морской торговый порт"</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консолидированный отчет о прибылях и убытках за 2012 год:</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Выручка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реализованных товаров и услуг</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доход, нетто</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операционной деятельности</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финансированию</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финансированию</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неоперационные расходы</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до налогообложения</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продолжающейся деятельности</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прекращенной деятельности</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за год</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совокупная прибыль, всего</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совокупного дохода за год, за вычетом налогообложения</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совокупная прибыль, относимая на:</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Собственников материнской организации</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2.460.000</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неконтролирующих собственников</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1" w:id="260"/>
    <w:p>
      <w:pPr>
        <w:spacing w:after="0"/>
        <w:ind w:left="0"/>
        <w:jc w:val="both"/>
      </w:pPr>
      <w:r>
        <w:rPr>
          <w:rFonts w:ascii="Times New Roman"/>
          <w:b w:val="false"/>
          <w:i w:val="false"/>
          <w:color w:val="000000"/>
          <w:sz w:val="28"/>
        </w:rPr>
        <w:t xml:space="preserve">
      </w:t>
      </w:r>
      <w:r>
        <w:rPr>
          <w:rFonts w:ascii="Times New Roman"/>
          <w:b/>
          <w:i w:val="false"/>
          <w:color w:val="000000"/>
          <w:sz w:val="28"/>
        </w:rPr>
        <w:t>Пересчет иностранной валюты</w:t>
      </w:r>
    </w:p>
    <w:bookmarkEnd w:id="260"/>
    <w:p>
      <w:pPr>
        <w:spacing w:after="0"/>
        <w:ind w:left="0"/>
        <w:jc w:val="both"/>
      </w:pPr>
      <w:r>
        <w:rPr>
          <w:rFonts w:ascii="Times New Roman"/>
          <w:b w:val="false"/>
          <w:i w:val="false"/>
          <w:color w:val="000000"/>
          <w:sz w:val="28"/>
        </w:rPr>
        <w:t xml:space="preserve">
      </w:t>
      </w:r>
      <w:r>
        <w:rPr>
          <w:rFonts w:ascii="Times New Roman"/>
          <w:b w:val="false"/>
          <w:i/>
          <w:color w:val="000000"/>
          <w:sz w:val="28"/>
        </w:rPr>
        <w:t>Функциональная валюта и валюта представления</w:t>
      </w:r>
    </w:p>
    <w:p>
      <w:pPr>
        <w:spacing w:after="0"/>
        <w:ind w:left="0"/>
        <w:jc w:val="both"/>
      </w:pPr>
      <w:r>
        <w:rPr>
          <w:rFonts w:ascii="Times New Roman"/>
          <w:b w:val="false"/>
          <w:i w:val="false"/>
          <w:color w:val="000000"/>
          <w:sz w:val="28"/>
        </w:rPr>
        <w:t>
      Элементы форм финансовой отчетности каждого из предприятий Группы, включенные в данные консолидированные формы финансовой отчетности, оцениваются с использованием валюты основной экономической среды, в которой предприятия осуществляют свою деятельность (далее "функциональная валюта"). Консолидированные формы финансовой отчетности представлены в тенге, который является валютой представления отчетности Группы.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Операции и сальдо счетов</w:t>
      </w:r>
    </w:p>
    <w:p>
      <w:pPr>
        <w:spacing w:after="0"/>
        <w:ind w:left="0"/>
        <w:jc w:val="both"/>
      </w:pPr>
      <w:r>
        <w:rPr>
          <w:rFonts w:ascii="Times New Roman"/>
          <w:b w:val="false"/>
          <w:i w:val="false"/>
          <w:color w:val="000000"/>
          <w:sz w:val="28"/>
        </w:rPr>
        <w:t>
      Операции в иностранной валюте пересчитываются в функциональную валюту с использованием валютных курсов на дату осуществления операции. Доходы и убытки от курсовой разницы, возникающие в результате расчетов по таким операциям, и от пересчета монетарных активов и обязательств, выраженных в иностранной валюте, по курсам на конец года, признаются в прибылях и убытках.</w:t>
      </w:r>
    </w:p>
    <w:p>
      <w:pPr>
        <w:spacing w:after="0"/>
        <w:ind w:left="0"/>
        <w:jc w:val="both"/>
      </w:pPr>
      <w:r>
        <w:rPr>
          <w:rFonts w:ascii="Times New Roman"/>
          <w:b w:val="false"/>
          <w:i w:val="false"/>
          <w:color w:val="000000"/>
          <w:sz w:val="28"/>
        </w:rPr>
        <w:t>
      Немонетарные статьи, которые оцениваются на основе исторической стоимости в иностранной валюте, пересчитываются по курсам, действовавшим на дату совершения первоначальных сделок. Немонетарные статьи, которые оцениваются по справедливой стоимости в иностранной валюте, пересчитываются по курсам, действовавшим на дату определения справедливой стоимости.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Предприятия Группы</w:t>
      </w:r>
    </w:p>
    <w:p>
      <w:pPr>
        <w:spacing w:after="0"/>
        <w:ind w:left="0"/>
        <w:jc w:val="both"/>
      </w:pPr>
      <w:r>
        <w:rPr>
          <w:rFonts w:ascii="Times New Roman"/>
          <w:b w:val="false"/>
          <w:i w:val="false"/>
          <w:color w:val="000000"/>
          <w:sz w:val="28"/>
        </w:rPr>
        <w:t>
      Доходы, убытки и финансовая позиция всех дочерних организаций, совместных предприятий и ассоциированных компаний Группы (ни одна из которых не оперирует в валютах гиперинфляционных экономик), функциональная валюта которых отличается от валюты представления, пересчитываются в валюту представления следующим образом:</w:t>
      </w:r>
    </w:p>
    <w:p>
      <w:pPr>
        <w:spacing w:after="0"/>
        <w:ind w:left="0"/>
        <w:jc w:val="both"/>
      </w:pPr>
      <w:r>
        <w:rPr>
          <w:rFonts w:ascii="Times New Roman"/>
          <w:b w:val="false"/>
          <w:i w:val="false"/>
          <w:color w:val="000000"/>
          <w:sz w:val="28"/>
        </w:rPr>
        <w:t>
      - активы и обязательства по каждому из представленных бухгалтерских балансов пересчитываются по курсам на отчетные даты;</w:t>
      </w:r>
    </w:p>
    <w:p>
      <w:pPr>
        <w:spacing w:after="0"/>
        <w:ind w:left="0"/>
        <w:jc w:val="both"/>
      </w:pPr>
      <w:r>
        <w:rPr>
          <w:rFonts w:ascii="Times New Roman"/>
          <w:b w:val="false"/>
          <w:i w:val="false"/>
          <w:color w:val="000000"/>
          <w:sz w:val="28"/>
        </w:rPr>
        <w:t>
      - доходы и расходы по каждому из отчетов о прибылях и убытках пересчитываются по средним курсам (кроме случаев, когда средний курс не является разумным приближением совокупного эффекта курсов на дату осуществления операции; в этом случае доходы и расходы пересчитываются по курсу на дату осуществления операции); и</w:t>
      </w:r>
    </w:p>
    <w:p>
      <w:pPr>
        <w:spacing w:after="0"/>
        <w:ind w:left="0"/>
        <w:jc w:val="both"/>
      </w:pPr>
      <w:r>
        <w:rPr>
          <w:rFonts w:ascii="Times New Roman"/>
          <w:b w:val="false"/>
          <w:i w:val="false"/>
          <w:color w:val="000000"/>
          <w:sz w:val="28"/>
        </w:rPr>
        <w:t>
      - все курсовые разницы признаются в качестве отдельного компонента в прочем совокупном доходе.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Курсы обмена валют</w:t>
      </w:r>
    </w:p>
    <w:p>
      <w:pPr>
        <w:spacing w:after="0"/>
        <w:ind w:left="0"/>
        <w:jc w:val="both"/>
      </w:pPr>
      <w:r>
        <w:rPr>
          <w:rFonts w:ascii="Times New Roman"/>
          <w:b w:val="false"/>
          <w:i w:val="false"/>
          <w:color w:val="000000"/>
          <w:sz w:val="28"/>
        </w:rPr>
        <w:t>
      Средневзвешенные курсы обмена валют, установленные на Казахстанской Фондовой Бирже (далее по тексту "КФБ"), используются в качестве официальных курсов обмена валют в Республике Казахстан.</w:t>
      </w:r>
    </w:p>
    <w:p>
      <w:pPr>
        <w:spacing w:after="0"/>
        <w:ind w:left="0"/>
        <w:jc w:val="both"/>
      </w:pPr>
      <w:r>
        <w:rPr>
          <w:rFonts w:ascii="Times New Roman"/>
          <w:b w:val="false"/>
          <w:i w:val="false"/>
          <w:color w:val="000000"/>
          <w:sz w:val="28"/>
        </w:rPr>
        <w:t>
      В следующей таблице представлен обменный курс иностранной валюты к тенге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5574"/>
        <w:gridCol w:w="5575"/>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Швейцарский франк</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Российский рубль</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Обменный курс КФБ на 25 апреля 2014 года составлял 182,01 тенге за 1 доллар США.</w:t>
      </w:r>
    </w:p>
    <w:bookmarkStart w:name="z262" w:id="261"/>
    <w:p>
      <w:pPr>
        <w:spacing w:after="0"/>
        <w:ind w:left="0"/>
        <w:jc w:val="both"/>
      </w:pPr>
      <w:r>
        <w:rPr>
          <w:rFonts w:ascii="Times New Roman"/>
          <w:b w:val="false"/>
          <w:i w:val="false"/>
          <w:color w:val="000000"/>
          <w:sz w:val="28"/>
        </w:rPr>
        <w:t xml:space="preserve">
      </w:t>
      </w:r>
      <w:r>
        <w:rPr>
          <w:rFonts w:ascii="Times New Roman"/>
          <w:b/>
          <w:i w:val="false"/>
          <w:color w:val="000000"/>
          <w:sz w:val="28"/>
        </w:rPr>
        <w:t>3. ОБЗОР СУЩЕСТВЕННЫХ АСПЕКТОВ УЧЕТНОЙ ПОЛИТИКИ</w:t>
      </w:r>
    </w:p>
    <w:bookmarkEnd w:id="261"/>
    <w:bookmarkStart w:name="z263" w:id="262"/>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Изменения в учетной политике и принципах раскрытия информации</w:t>
      </w:r>
    </w:p>
    <w:bookmarkEnd w:id="262"/>
    <w:p>
      <w:pPr>
        <w:spacing w:after="0"/>
        <w:ind w:left="0"/>
        <w:jc w:val="both"/>
      </w:pPr>
      <w:r>
        <w:rPr>
          <w:rFonts w:ascii="Times New Roman"/>
          <w:b w:val="false"/>
          <w:i w:val="false"/>
          <w:color w:val="000000"/>
          <w:sz w:val="28"/>
        </w:rPr>
        <w:t>
      Учетная политика, применяемая при подготовке данной консолидированной финансовой отчетности, соответствует той, которая использовалась при подготовке годовых консолидированных форм финансовой отчетности за год, закончившийся 31 декабря 2012 года, за исключением поправок к стандартам:</w:t>
      </w:r>
    </w:p>
    <w:p>
      <w:pPr>
        <w:spacing w:after="0"/>
        <w:ind w:left="0"/>
        <w:jc w:val="both"/>
      </w:pPr>
      <w:r>
        <w:rPr>
          <w:rFonts w:ascii="Times New Roman"/>
          <w:b w:val="false"/>
          <w:i w:val="false"/>
          <w:color w:val="000000"/>
          <w:sz w:val="28"/>
        </w:rPr>
        <w:t xml:space="preserve">
      МСФО 10 </w:t>
      </w:r>
      <w:r>
        <w:rPr>
          <w:rFonts w:ascii="Times New Roman"/>
          <w:b w:val="false"/>
          <w:i/>
          <w:color w:val="000000"/>
          <w:sz w:val="28"/>
        </w:rPr>
        <w:t>"Консолидированная финансовая отчетность", и МСБУ 27 "Отдельная финансовая отчетность"</w:t>
      </w:r>
    </w:p>
    <w:p>
      <w:pPr>
        <w:spacing w:after="0"/>
        <w:ind w:left="0"/>
        <w:jc w:val="both"/>
      </w:pPr>
      <w:r>
        <w:rPr>
          <w:rFonts w:ascii="Times New Roman"/>
          <w:b w:val="false"/>
          <w:i w:val="false"/>
          <w:color w:val="000000"/>
          <w:sz w:val="28"/>
        </w:rPr>
        <w:t>
      МСФО 10 предусматривает единую модель контроля, которая применяется в отношении всех компаний, включая компании специального назначения. МСФО 10 заменяет ту часть МСБУ 27 "Консолидированная и отдельная финансовая отчетность", в которой содержались требования к консолидированной финансовой отчетности. Стандарт также содержит указания по вопросам, которые рассматривались в Интерпретации ПКИ-12 "Консолидация – компании специального назначения". МСФО 10 меняет определение "контроль" таким образом, что считается, что инвестор контролирует объект инвестиций, если он имеет право на переменную отдачу от инвестиции или подвержен риску, связанному с ее изменением, и может влиять на данную отдачу вследствие своих полномочий в отношении объекта инвестиций. Согласно определению контроля в МСФО 10 инвестор контролирует объект инвестиций только в том случае, если выполняются все три условия: (a) наличие у инвестора полномочий в отношении объекта инвестиций; (б) наличие у инвестора права на переменную отдачу от инвестиции или подверженность риску, связанному с ее изменением; (в) наличие у инвестора возможности использования своих полномочий в отношении объекта инвестиций с целью влияния на переменную отдачу от инвестиции. МСФО 10 не оказал влияния на консолидацию инвестиций Группы.</w:t>
      </w:r>
    </w:p>
    <w:p>
      <w:pPr>
        <w:spacing w:after="0"/>
        <w:ind w:left="0"/>
        <w:jc w:val="both"/>
      </w:pPr>
      <w:r>
        <w:rPr>
          <w:rFonts w:ascii="Times New Roman"/>
          <w:b w:val="false"/>
          <w:i w:val="false"/>
          <w:color w:val="000000"/>
          <w:sz w:val="28"/>
        </w:rPr>
        <w:t xml:space="preserve">
      МСФО 11 </w:t>
      </w:r>
      <w:r>
        <w:rPr>
          <w:rFonts w:ascii="Times New Roman"/>
          <w:b w:val="false"/>
          <w:i/>
          <w:color w:val="000000"/>
          <w:sz w:val="28"/>
        </w:rPr>
        <w:t>"Соглашения о совместной деятельности" и МСБУ 28 "Инвестиции в ассоциированные компании и совместные предприятия"</w:t>
      </w:r>
    </w:p>
    <w:p>
      <w:pPr>
        <w:spacing w:after="0"/>
        <w:ind w:left="0"/>
        <w:jc w:val="both"/>
      </w:pPr>
      <w:r>
        <w:rPr>
          <w:rFonts w:ascii="Times New Roman"/>
          <w:b w:val="false"/>
          <w:i w:val="false"/>
          <w:color w:val="000000"/>
          <w:sz w:val="28"/>
        </w:rPr>
        <w:t xml:space="preserve">
      МСФО 11 заменяет МСБУ 31 </w:t>
      </w:r>
      <w:r>
        <w:rPr>
          <w:rFonts w:ascii="Times New Roman"/>
          <w:b w:val="false"/>
          <w:i/>
          <w:color w:val="000000"/>
          <w:sz w:val="28"/>
        </w:rPr>
        <w:t>"Участие в совместной деятельности" и Интерпретацию ПКИ-13 "Совместно контролируемые компании – немонетарные вклады участников"</w:t>
      </w:r>
      <w:r>
        <w:rPr>
          <w:rFonts w:ascii="Times New Roman"/>
          <w:b w:val="false"/>
          <w:i w:val="false"/>
          <w:color w:val="000000"/>
          <w:sz w:val="28"/>
        </w:rPr>
        <w:t xml:space="preserve">. МСФО 11 исключает возможность учета совместно контролируемых компаний методом пропорциональной консолидации. Вместо этого совместно контролируемые компании, удовлетворяющие определению совместных предприятий согласно МСФО 11, учитываются по методу долевого участия. </w:t>
      </w:r>
    </w:p>
    <w:p>
      <w:pPr>
        <w:spacing w:after="0"/>
        <w:ind w:left="0"/>
        <w:jc w:val="both"/>
      </w:pPr>
      <w:r>
        <w:rPr>
          <w:rFonts w:ascii="Times New Roman"/>
          <w:b w:val="false"/>
          <w:i w:val="false"/>
          <w:color w:val="000000"/>
          <w:sz w:val="28"/>
        </w:rPr>
        <w:t>
      МСФО 11 вступает в силу отношений годовых отчетных периодов, начинающихся 1 января 2013 года или после этой даты. МСФО 11 не оказал влияния на консолидированную финансовую отчетность Группы.</w:t>
      </w:r>
    </w:p>
    <w:p>
      <w:pPr>
        <w:spacing w:after="0"/>
        <w:ind w:left="0"/>
        <w:jc w:val="both"/>
      </w:pPr>
      <w:r>
        <w:rPr>
          <w:rFonts w:ascii="Times New Roman"/>
          <w:b w:val="false"/>
          <w:i w:val="false"/>
          <w:color w:val="000000"/>
          <w:sz w:val="28"/>
        </w:rPr>
        <w:t xml:space="preserve">
      МСФО 12 </w:t>
      </w:r>
      <w:r>
        <w:rPr>
          <w:rFonts w:ascii="Times New Roman"/>
          <w:b w:val="false"/>
          <w:i/>
          <w:color w:val="000000"/>
          <w:sz w:val="28"/>
        </w:rPr>
        <w:t>"Раскрытие информации о долях участия в других компаниях"</w:t>
      </w:r>
    </w:p>
    <w:p>
      <w:pPr>
        <w:spacing w:after="0"/>
        <w:ind w:left="0"/>
        <w:jc w:val="both"/>
      </w:pPr>
      <w:r>
        <w:rPr>
          <w:rFonts w:ascii="Times New Roman"/>
          <w:b w:val="false"/>
          <w:i w:val="false"/>
          <w:color w:val="000000"/>
          <w:sz w:val="28"/>
        </w:rPr>
        <w:t xml:space="preserve">
      МСФО 12 содержит требования к раскрытию информации, которая относится к долям участия компании в дочерних организациях, соглашениях о совместной деятельности, ассоциированных и структурированных компаниях. Требования МСФО 12 являются более обширными, чем ранее применявшиеся требования в отношении раскрытия информации о дочерних организациях. В настоящее время у Группы имеются дочерние организации с существенными неконтрольными долями участия, но неконсолидируемые структурированные компании отсутствуют. </w:t>
      </w:r>
    </w:p>
    <w:p>
      <w:pPr>
        <w:spacing w:after="0"/>
        <w:ind w:left="0"/>
        <w:jc w:val="both"/>
      </w:pPr>
      <w:r>
        <w:rPr>
          <w:rFonts w:ascii="Times New Roman"/>
          <w:b w:val="false"/>
          <w:i w:val="false"/>
          <w:color w:val="000000"/>
          <w:sz w:val="28"/>
        </w:rPr>
        <w:t xml:space="preserve">
      МСФО 13 </w:t>
      </w:r>
      <w:r>
        <w:rPr>
          <w:rFonts w:ascii="Times New Roman"/>
          <w:b w:val="false"/>
          <w:i/>
          <w:color w:val="000000"/>
          <w:sz w:val="28"/>
        </w:rPr>
        <w:t>"Оценка справедливой стоимости"</w:t>
      </w:r>
    </w:p>
    <w:p>
      <w:pPr>
        <w:spacing w:after="0"/>
        <w:ind w:left="0"/>
        <w:jc w:val="both"/>
      </w:pPr>
      <w:r>
        <w:rPr>
          <w:rFonts w:ascii="Times New Roman"/>
          <w:b w:val="false"/>
          <w:i w:val="false"/>
          <w:color w:val="000000"/>
          <w:sz w:val="28"/>
        </w:rPr>
        <w:t>
      МСФО 13 объединяет в одном стандарте все указания относительно оценки справедливой стоимости согласно МСФО. МСФО 13 не вносит изменений в определение того, когда компании должны использовать справедливую стоимость, а предоставляет указания относительно оценки справедливой стоимости согласно МСФО. МСФО 13 определяет справедливую стоимость как цену выхода. Согласно указаниям в МСФО 13, Группа повторно проанализировала свою политику в отношении оценки справедливой стоимости, в частности, используемые исходные данные для оценки, такие, как например риск неисполнения обязательств, учитываемые при оценке обязательств по справедливой стоимости. МСФО 13 также требует раскрытия дополнительной информации.</w:t>
      </w:r>
    </w:p>
    <w:p>
      <w:pPr>
        <w:spacing w:after="0"/>
        <w:ind w:left="0"/>
        <w:jc w:val="both"/>
      </w:pPr>
      <w:r>
        <w:rPr>
          <w:rFonts w:ascii="Times New Roman"/>
          <w:b w:val="false"/>
          <w:i w:val="false"/>
          <w:color w:val="000000"/>
          <w:sz w:val="28"/>
        </w:rPr>
        <w:t xml:space="preserve">
      Применение МСФО 13 не оказало существенного влияния на оценки справедливой стоимости, определяемой Группой. Там, где это необходимо, дополнительная информация раскрывается в отдельных примечаниях по активам и обязательствам, для которых определялась справедливая стоимость. Иерархия источников справедливой стоимости представлена в </w:t>
      </w:r>
      <w:r>
        <w:rPr>
          <w:rFonts w:ascii="Times New Roman"/>
          <w:b w:val="false"/>
          <w:i/>
          <w:color w:val="000000"/>
          <w:sz w:val="28"/>
        </w:rPr>
        <w:t>Примечании 12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Поправки к МСБУ 1 </w:t>
      </w:r>
      <w:r>
        <w:rPr>
          <w:rFonts w:ascii="Times New Roman"/>
          <w:b w:val="false"/>
          <w:i/>
          <w:color w:val="000000"/>
          <w:sz w:val="28"/>
        </w:rPr>
        <w:t>"Представление статей прочего совокупного дохода"</w:t>
      </w:r>
    </w:p>
    <w:p>
      <w:pPr>
        <w:spacing w:after="0"/>
        <w:ind w:left="0"/>
        <w:jc w:val="both"/>
      </w:pPr>
      <w:r>
        <w:rPr>
          <w:rFonts w:ascii="Times New Roman"/>
          <w:b w:val="false"/>
          <w:i w:val="false"/>
          <w:color w:val="000000"/>
          <w:sz w:val="28"/>
        </w:rPr>
        <w:t>
      Поправки к МСБУ 1 изменяют группировку статей, представляемых в составе прочего совокупного дохода. Статьи, которые могут быть переклассифицированы в состав прибыли или убытка в определенный момент в будущем (например, чистый доход или расход от хеджирования чистых инвестиций, курсовые разницы при пересчете отчетности зарубежных подразделений, чистое изменение хеджирования денежных потоков и чистые расходы или доходы по финансовым активам, имеющимся в наличии для продажи), должны представляться отдельно от статей, которые не будут переклассифицированы (например, переоценка земли и зданий). Поправки оказывают влияние исключительно на представление информации и не затрагивают консолидированное финансовое положение или консолидированные финансовые результаты деятельности Группы.</w:t>
      </w:r>
    </w:p>
    <w:p>
      <w:pPr>
        <w:spacing w:after="0"/>
        <w:ind w:left="0"/>
        <w:jc w:val="both"/>
      </w:pPr>
      <w:r>
        <w:rPr>
          <w:rFonts w:ascii="Times New Roman"/>
          <w:b w:val="false"/>
          <w:i w:val="false"/>
          <w:color w:val="000000"/>
          <w:sz w:val="28"/>
        </w:rPr>
        <w:t xml:space="preserve">
      Поправка к МСБУ 1 </w:t>
      </w:r>
      <w:r>
        <w:rPr>
          <w:rFonts w:ascii="Times New Roman"/>
          <w:b w:val="false"/>
          <w:i/>
          <w:color w:val="000000"/>
          <w:sz w:val="28"/>
        </w:rPr>
        <w:t>"Разъяснение требований в отношении сравнительной информации"</w:t>
      </w:r>
    </w:p>
    <w:p>
      <w:pPr>
        <w:spacing w:after="0"/>
        <w:ind w:left="0"/>
        <w:jc w:val="both"/>
      </w:pPr>
      <w:r>
        <w:rPr>
          <w:rFonts w:ascii="Times New Roman"/>
          <w:b w:val="false"/>
          <w:i w:val="false"/>
          <w:color w:val="000000"/>
          <w:sz w:val="28"/>
        </w:rPr>
        <w:t>
      Поправка к МСБУ 1 разъясняет разницу между добровольным раскрытием дополнительной сравнительной информации и минимумом необходимой сравнительной информации. Компания должна включить сравнительную информацию в соответствующие примечания к финансовой отчетности, когда она на добровольной основе предоставляет сравнительную информацию сверх минимума данных за один сравнительный период. Поправка разъясняет, что в соответствующих примечаниях к вступительному отчету о финансовом положении по состоянию на 1 января 2012, года представляемому в случаях, когда компания осуществляет ретроспективный перерасчет или переклассифицирует статьи финансовой отчетности, сравнительную информацию представлять не требуется. В результате, Группа не представила сравнительную информацию в отношении вступительного консолидированного бухгалтерского баланса на 1 января 2012 года. Поправка оказывает влияние исключительно на представление информации и не изменяет консолидированное финансовое положение или финансовые результаты деятельности Группы.</w:t>
      </w:r>
    </w:p>
    <w:p>
      <w:pPr>
        <w:spacing w:after="0"/>
        <w:ind w:left="0"/>
        <w:jc w:val="both"/>
      </w:pPr>
      <w:r>
        <w:rPr>
          <w:rFonts w:ascii="Times New Roman"/>
          <w:b w:val="false"/>
          <w:i w:val="false"/>
          <w:color w:val="000000"/>
          <w:sz w:val="28"/>
        </w:rPr>
        <w:t xml:space="preserve">
      МСБУ 19 </w:t>
      </w:r>
      <w:r>
        <w:rPr>
          <w:rFonts w:ascii="Times New Roman"/>
          <w:b w:val="false"/>
          <w:i/>
          <w:color w:val="000000"/>
          <w:sz w:val="28"/>
        </w:rPr>
        <w:t>"Вознаграждения работникам"</w:t>
      </w:r>
      <w:r>
        <w:rPr>
          <w:rFonts w:ascii="Times New Roman"/>
          <w:b w:val="false"/>
          <w:i w:val="false"/>
          <w:color w:val="000000"/>
          <w:sz w:val="28"/>
        </w:rPr>
        <w:t xml:space="preserve"> (в редакции 2011 года) </w:t>
      </w:r>
    </w:p>
    <w:p>
      <w:pPr>
        <w:spacing w:after="0"/>
        <w:ind w:left="0"/>
        <w:jc w:val="both"/>
      </w:pPr>
      <w:r>
        <w:rPr>
          <w:rFonts w:ascii="Times New Roman"/>
          <w:b w:val="false"/>
          <w:i w:val="false"/>
          <w:color w:val="000000"/>
          <w:sz w:val="28"/>
        </w:rPr>
        <w:t>
      МСБУ 19 включает в себя ряд поправок относительно учета планов с установленными выплатами. В частности, в соответствии с новой редакцией стандарта актуарные доходы и расходы, признаются в составе прочего совокупного дохода и не подлежат последующей переклассификации в состав прибыли или убытка; ожидаемая доходность активов плана более не признается в составе прибыли или убытка, а вместо этого применяется требование о признании процентов по чистому обязательству (активу) плана с установленными выплатами в составе прибыли или убытка, которые рассчитываются на основании ставки дисконтирования для оценки обязательства по установленным выплатам; стоимость услуг прошлых лет, права на вознаграждения за которые еще не перешли, признаются в составе прибыли или убытка на более раннюю из следующих дат: дата изменений плана, или дата признания соответствующих затрат на реструктуризацию или выходных пособий. Прочие поправки касаются новых требований в отношении раскрытия информации, например, требования в отношении раскрытия количественной информации о чувствительности. Принятие МСБУ 19 не оказало значительного влияния на консолидированное финансовое положение и финансовые результаты Группы.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Поправка к МСБУ 36 "Обесценение активов" - "Раскрытие информации о возмещаемой стоимости для нефинансовых активов"</w:t>
      </w:r>
    </w:p>
    <w:p>
      <w:pPr>
        <w:spacing w:after="0"/>
        <w:ind w:left="0"/>
        <w:jc w:val="both"/>
      </w:pPr>
      <w:r>
        <w:rPr>
          <w:rFonts w:ascii="Times New Roman"/>
          <w:b w:val="false"/>
          <w:i w:val="false"/>
          <w:color w:val="000000"/>
          <w:sz w:val="28"/>
        </w:rPr>
        <w:t>
      Данные поправки устраняют нежелательные последствия для раскрытия информации согласно МСБУ 36, связанные с вступлением в силу МСФО 13. Кроме того, данные поправки требуют раскрытия информации о возмещаемой стоимости активов или ПГДП, по которым в течение отчетного периода был признан или восстановлен убыток от обесценения. Данные поправки применяются ретроспективно в отношении годовых отчетных периодов, начинающихся с 1 января 2014 года или после этой даты, при этом допускается досрочное применение при условии применения МСФО 13. Группа досрочно применила данные поправки к МСБУ 36 в текущем отчетном периоде, поскольку раскрытие измененной/дополнительной информации является полезным, как и предполагалось Советом по МСФО. Данные поправки будут также учитываться при раскрытии информации в будущем.</w:t>
      </w:r>
    </w:p>
    <w:p>
      <w:pPr>
        <w:spacing w:after="0"/>
        <w:ind w:left="0"/>
        <w:jc w:val="both"/>
      </w:pPr>
      <w:r>
        <w:rPr>
          <w:rFonts w:ascii="Times New Roman"/>
          <w:b w:val="false"/>
          <w:i w:val="false"/>
          <w:color w:val="000000"/>
          <w:sz w:val="28"/>
        </w:rPr>
        <w:t>
      Группа досрочно не применяет какие-либо другие стандарты, интерпретации или поправки к ним, которые были выпущены, но еще не вступили в силу.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Выпущенные, но еще не вступившие в силу стандарты и интерпретации</w:t>
      </w:r>
    </w:p>
    <w:p>
      <w:pPr>
        <w:spacing w:after="0"/>
        <w:ind w:left="0"/>
        <w:jc w:val="both"/>
      </w:pPr>
      <w:r>
        <w:rPr>
          <w:rFonts w:ascii="Times New Roman"/>
          <w:b w:val="false"/>
          <w:i w:val="false"/>
          <w:color w:val="000000"/>
          <w:sz w:val="28"/>
        </w:rPr>
        <w:t>
      Ниже приводятся стандарты и интерпретации, которые были выпущены, но еще не вступили в силу на дату выпуска годовых консолидированных форм финансовой отчетности Группы. Группа намерена применить эти стандарты с даты их вступления в силу.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МСФО 9 "Финансовые инструменты: классификация и оценка"</w:t>
      </w:r>
    </w:p>
    <w:p>
      <w:pPr>
        <w:spacing w:after="0"/>
        <w:ind w:left="0"/>
        <w:jc w:val="both"/>
      </w:pPr>
      <w:r>
        <w:rPr>
          <w:rFonts w:ascii="Times New Roman"/>
          <w:b w:val="false"/>
          <w:i w:val="false"/>
          <w:color w:val="000000"/>
          <w:sz w:val="28"/>
        </w:rPr>
        <w:t xml:space="preserve">
      МСФО 9, выпущенный по результатам первого этапа проекта Совета по МСФО по замене МСБУ 39, применяется в отношении классификации и оценки финансовых активов и финансовых обязательств, как они определены в МСБУ 39. Первоначально предполагалось, что стандарт вступит в силу в отношении годовых отчетных периодов, начинающихся 1 января 2013 года или после этой даты, но в результате выпуска Поправок к МСФО 9 "Дата обязательного применения МСФО 9 и переходные требования к раскрытию информации", опубликованных в декабре 2011 года, дата обязательного применения была перенесена на 1 января 2015 года. В ходе последующих этапов Совет по МСФО рассмотрит учет хеджирования и обесценение финансовых активов.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"Инвестиционные компании" (Поправки к МСФО (IFRS) 10, МСФО (IFRS) 12 и МСФО (IAS) 27)</w:t>
      </w:r>
    </w:p>
    <w:p>
      <w:pPr>
        <w:spacing w:after="0"/>
        <w:ind w:left="0"/>
        <w:jc w:val="both"/>
      </w:pPr>
      <w:r>
        <w:rPr>
          <w:rFonts w:ascii="Times New Roman"/>
          <w:b w:val="false"/>
          <w:i w:val="false"/>
          <w:color w:val="000000"/>
          <w:sz w:val="28"/>
        </w:rPr>
        <w:t>
      Данные поправки вступают в силу для годовых отчетных периодов, начинающихся 1 января 2014 года или после этой даты, и предусматривают исключение из требований о консолидации для компаний, которые отвечают определению инвестиционной компании согласно МСФО (IFRS) 10. Исключение из требований о консолидации требует, чтобы инвестиционные компании учитывали дочерние организации по справедливой стоимости через прибыль или убыток. Фонд не ожидает, что данная поправка будет применима, поскольку ни одна из дочерних организаций Фонда не отвечает определению инвестиционной компании согласно МСФО (IFRS) 10.</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Поправки к МСБУ 32 "Взаимозачет финансовых активов и финансовых обязательств"</w:t>
      </w:r>
    </w:p>
    <w:p>
      <w:pPr>
        <w:spacing w:after="0"/>
        <w:ind w:left="0"/>
        <w:jc w:val="both"/>
      </w:pPr>
      <w:r>
        <w:rPr>
          <w:rFonts w:ascii="Times New Roman"/>
          <w:b w:val="false"/>
          <w:i w:val="false"/>
          <w:color w:val="000000"/>
          <w:sz w:val="28"/>
        </w:rPr>
        <w:t>
      В рамках данных поправок разъясняется значение фразы "в настоящий момент обладает юридическим закрепленным правом на осуществление взаимозачета". Поправки также описывают, как следует правильно применять критерии взаимозачета в МСБУ 32 в отношении систем расчетов (таких, как системы единого клирингового центра), в рамках которых используются механизмы неодновременных валовых платежей. Предполагается, что данные поправки не окажут влияние на консолидированное финансовое положение или консолидированные финансовые результаты деятельности Группы. Поправки вступают в силу в отношении годовых отчетных периодов, начинающихся 1 января 2014 года или после этой даты.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Интерпретация IFRIC 21 "Обязательные платежи"</w:t>
      </w:r>
    </w:p>
    <w:p>
      <w:pPr>
        <w:spacing w:after="0"/>
        <w:ind w:left="0"/>
        <w:jc w:val="both"/>
      </w:pPr>
      <w:r>
        <w:rPr>
          <w:rFonts w:ascii="Times New Roman"/>
          <w:b w:val="false"/>
          <w:i w:val="false"/>
          <w:color w:val="000000"/>
          <w:sz w:val="28"/>
        </w:rPr>
        <w:t>
      В Интерпретации IFRIC 21 разъясняется, что компания признает обязательство в отношении обязательных платежей тогда, когда происходит действие, влекущее за собой их уплату. В случае обязательного платежа, выплата которого требуется в случае достижения минимального порогового значения, в интерпретации устанавливается запрет на признание предполагаемого обязательства до достижения установленного минимального порогового значения. Интерпретация IFRIC 21 вступает в силу для годовых отчетных периодов, начинающихся 1 января 2014 года или после этой даты. Предполагается, что Интерпретация IFRIC 21 не окажет влияние на консолидированное финансовое положение или финансовые результаты деятельности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Поправки к МСФО (IAS) 39 "Новация производных инструментов и продолжение учета хеджирования"</w:t>
      </w:r>
    </w:p>
    <w:p>
      <w:pPr>
        <w:spacing w:after="0"/>
        <w:ind w:left="0"/>
        <w:jc w:val="both"/>
      </w:pPr>
      <w:r>
        <w:rPr>
          <w:rFonts w:ascii="Times New Roman"/>
          <w:b w:val="false"/>
          <w:i w:val="false"/>
          <w:color w:val="000000"/>
          <w:sz w:val="28"/>
        </w:rPr>
        <w:t>
      В данных поправках предусматривается исключение из требования о прекращении учета хеджирования в случае, когда новация производного инструмента, определенного как инструмент хеджирования, отвечает установленным критериям. Данные поправки вступают в силу для годовых отчетных периодов, начинающихся 1 января 2014 года или после этой даты. Данные поправки будут приняты во внимание при рассмотрении будущих операций.</w:t>
      </w:r>
    </w:p>
    <w:bookmarkStart w:name="z264" w:id="263"/>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Принципы консолидации</w:t>
      </w:r>
    </w:p>
    <w:bookmarkEnd w:id="263"/>
    <w:p>
      <w:pPr>
        <w:spacing w:after="0"/>
        <w:ind w:left="0"/>
        <w:jc w:val="both"/>
      </w:pPr>
      <w:r>
        <w:rPr>
          <w:rFonts w:ascii="Times New Roman"/>
          <w:b w:val="false"/>
          <w:i w:val="false"/>
          <w:color w:val="000000"/>
          <w:sz w:val="28"/>
        </w:rPr>
        <w:t xml:space="preserve">
      Консолидированные формы финансовой отчетности включают формы финансовой отчетности Фонда и контролируемых им дочерних организаций </w:t>
      </w:r>
      <w:r>
        <w:rPr>
          <w:rFonts w:ascii="Times New Roman"/>
          <w:b w:val="false"/>
          <w:i/>
          <w:color w:val="000000"/>
          <w:sz w:val="28"/>
        </w:rPr>
        <w:t>(Примечание 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Дочерние организации</w:t>
      </w:r>
    </w:p>
    <w:p>
      <w:pPr>
        <w:spacing w:after="0"/>
        <w:ind w:left="0"/>
        <w:jc w:val="both"/>
      </w:pPr>
      <w:r>
        <w:rPr>
          <w:rFonts w:ascii="Times New Roman"/>
          <w:b w:val="false"/>
          <w:i w:val="false"/>
          <w:color w:val="000000"/>
          <w:sz w:val="28"/>
        </w:rPr>
        <w:t>
      Дочерние организации - это те предприятия, которые контролируются Группой. Контроль осуществляется в том случае, если Группа имеет право на переменную отдачу от инвестиций или подвержена риску, связанному с ее изменением и может влиять на данную отдачу вследствие своих полномочий в отношении объекта инвестиций. В частности, Группа контролирует объект инвестиций только в том случае, если выполняются следующие условия:</w:t>
      </w:r>
    </w:p>
    <w:p>
      <w:pPr>
        <w:spacing w:after="0"/>
        <w:ind w:left="0"/>
        <w:jc w:val="both"/>
      </w:pPr>
      <w:r>
        <w:rPr>
          <w:rFonts w:ascii="Times New Roman"/>
          <w:b w:val="false"/>
          <w:i w:val="false"/>
          <w:color w:val="000000"/>
          <w:sz w:val="28"/>
        </w:rPr>
        <w:t>
      - наличие у Группы полномочий в отношении объекта инвестиций (т.е. существующие права, обеспечивающие текущую возможность управлять соответствующей деятельностью объекта инвестиций);</w:t>
      </w:r>
    </w:p>
    <w:p>
      <w:pPr>
        <w:spacing w:after="0"/>
        <w:ind w:left="0"/>
        <w:jc w:val="both"/>
      </w:pPr>
      <w:r>
        <w:rPr>
          <w:rFonts w:ascii="Times New Roman"/>
          <w:b w:val="false"/>
          <w:i w:val="false"/>
          <w:color w:val="000000"/>
          <w:sz w:val="28"/>
        </w:rPr>
        <w:t>
      - наличие у Группы права на переменную отдачу от инвестиций иди подверженности риску, связанному с ее изменением;</w:t>
      </w:r>
    </w:p>
    <w:p>
      <w:pPr>
        <w:spacing w:after="0"/>
        <w:ind w:left="0"/>
        <w:jc w:val="both"/>
      </w:pPr>
      <w:r>
        <w:rPr>
          <w:rFonts w:ascii="Times New Roman"/>
          <w:b w:val="false"/>
          <w:i w:val="false"/>
          <w:color w:val="000000"/>
          <w:sz w:val="28"/>
        </w:rPr>
        <w:t>
      - наличие у Группы возможности использования своих полномочий в отношении объекта инвестиций с целью влияния на переменную отдачу от инвестиции.</w:t>
      </w:r>
    </w:p>
    <w:p>
      <w:pPr>
        <w:spacing w:after="0"/>
        <w:ind w:left="0"/>
        <w:jc w:val="both"/>
      </w:pPr>
      <w:r>
        <w:rPr>
          <w:rFonts w:ascii="Times New Roman"/>
          <w:b w:val="false"/>
          <w:i w:val="false"/>
          <w:color w:val="000000"/>
          <w:sz w:val="28"/>
        </w:rPr>
        <w:t>
      При наличии у Группы менее чем большинство прав голоса или аналогичных прав в отношении объекта инвестиций, Группа учитывает все уместные факты и обстоятельства при оценке наличия полномочий в отношении данного объекта инвестиций:</w:t>
      </w:r>
    </w:p>
    <w:p>
      <w:pPr>
        <w:spacing w:after="0"/>
        <w:ind w:left="0"/>
        <w:jc w:val="both"/>
      </w:pPr>
      <w:r>
        <w:rPr>
          <w:rFonts w:ascii="Times New Roman"/>
          <w:b w:val="false"/>
          <w:i w:val="false"/>
          <w:color w:val="000000"/>
          <w:sz w:val="28"/>
        </w:rPr>
        <w:t>
      - соглашение с другими лицами, обладающими правами голоса в объекте инвестиций;</w:t>
      </w:r>
    </w:p>
    <w:p>
      <w:pPr>
        <w:spacing w:after="0"/>
        <w:ind w:left="0"/>
        <w:jc w:val="both"/>
      </w:pPr>
      <w:r>
        <w:rPr>
          <w:rFonts w:ascii="Times New Roman"/>
          <w:b w:val="false"/>
          <w:i w:val="false"/>
          <w:color w:val="000000"/>
          <w:sz w:val="28"/>
        </w:rPr>
        <w:t>
      - права, обусловленные другими соглашениями;</w:t>
      </w:r>
    </w:p>
    <w:p>
      <w:pPr>
        <w:spacing w:after="0"/>
        <w:ind w:left="0"/>
        <w:jc w:val="both"/>
      </w:pPr>
      <w:r>
        <w:rPr>
          <w:rFonts w:ascii="Times New Roman"/>
          <w:b w:val="false"/>
          <w:i w:val="false"/>
          <w:color w:val="000000"/>
          <w:sz w:val="28"/>
        </w:rPr>
        <w:t>
      - права голоса и потенциальные права голоса, принадлежащие Группе.</w:t>
      </w:r>
    </w:p>
    <w:p>
      <w:pPr>
        <w:spacing w:after="0"/>
        <w:ind w:left="0"/>
        <w:jc w:val="both"/>
      </w:pPr>
      <w:r>
        <w:rPr>
          <w:rFonts w:ascii="Times New Roman"/>
          <w:b w:val="false"/>
          <w:i w:val="false"/>
          <w:color w:val="000000"/>
          <w:sz w:val="28"/>
        </w:rPr>
        <w:t>
      Группа повторно анализирует наличие контроля в отношении объекта инвестиций, если факты и обстоятельства свидетельствуют об изменении одного или нескольких из трех компонентов контроля. Консолидация дочерней организации начинается, когда Группа получает контроль над дочерней организацией, и прекращается, когда Группа утрачивает контроль над дочерней организацией. Активы, обязательства, доходы и расходы дочерней организации, приобретение или выбытие которой произошло в течение года, включается в консолидированной отчет о совокупном доходе с даты получения Группой контроля и отражаются до даты потери Группой контроля над дочерней организацией.</w:t>
      </w:r>
    </w:p>
    <w:p>
      <w:pPr>
        <w:spacing w:after="0"/>
        <w:ind w:left="0"/>
        <w:jc w:val="both"/>
      </w:pPr>
      <w:r>
        <w:rPr>
          <w:rFonts w:ascii="Times New Roman"/>
          <w:b w:val="false"/>
          <w:i w:val="false"/>
          <w:color w:val="000000"/>
          <w:sz w:val="28"/>
        </w:rPr>
        <w:t xml:space="preserve">
      За исключением приобретения в сделке между предприятиями, находящимися под общим контролем, дочерние организации консолидируются с момента их приобретения, которым является дата приобретения Группой контроля над ними, до даты, когда такой контроль прекращается. При приобретении дочерней организации, стоимость приобретения распределяется на активы и обязательства на основе их справедливой стоимости на дату приобретения. Финансовая отчетность дочерних организаций готовится за тот же отчетный период, что и формы финансовой отчетности Фонда, с использованием согласованной учетной политики. </w:t>
      </w:r>
    </w:p>
    <w:p>
      <w:pPr>
        <w:spacing w:after="0"/>
        <w:ind w:left="0"/>
        <w:jc w:val="both"/>
      </w:pPr>
      <w:r>
        <w:rPr>
          <w:rFonts w:ascii="Times New Roman"/>
          <w:b w:val="false"/>
          <w:i w:val="false"/>
          <w:color w:val="000000"/>
          <w:sz w:val="28"/>
        </w:rPr>
        <w:t>
      Все внутригрупповые сальдо по сделкам и сделки, включая нереализованный доход, возникающий по внутригрупповым сделкам, были полностью исключены из форм отчетности. Нереализованные убытки исключены таким же образом, как и нереализованный доход, за исключением того, что они исключаются только в той степени, в которой не существует свидетельства об обесценении.</w:t>
      </w:r>
    </w:p>
    <w:p>
      <w:pPr>
        <w:spacing w:after="0"/>
        <w:ind w:left="0"/>
        <w:jc w:val="both"/>
      </w:pPr>
      <w:r>
        <w:rPr>
          <w:rFonts w:ascii="Times New Roman"/>
          <w:b w:val="false"/>
          <w:i w:val="false"/>
          <w:color w:val="000000"/>
          <w:sz w:val="28"/>
        </w:rPr>
        <w:t>
      Неконтрольная доля представляет собой часть капитала дочерних организаций, которые не принадлежат Группе, и показывается отдельно в составе капитала в консолидированном бухгалтерском балансе, отдельно от акционерного капитала материнской компании. Убытки дочерней организации относятся на неконтрольную долю участия даже в том случае, если это приводит к отрицательному сальдо.</w:t>
      </w:r>
    </w:p>
    <w:p>
      <w:pPr>
        <w:spacing w:after="0"/>
        <w:ind w:left="0"/>
        <w:jc w:val="both"/>
      </w:pPr>
      <w:r>
        <w:rPr>
          <w:rFonts w:ascii="Times New Roman"/>
          <w:b w:val="false"/>
          <w:i w:val="false"/>
          <w:color w:val="000000"/>
          <w:sz w:val="28"/>
        </w:rPr>
        <w:t>
      Изменение доли участия в дочерней организации без потери контроля учитывается как операция с капиталом. Если Группа утрачивает контроль над дочерней организацией, она:</w:t>
      </w:r>
    </w:p>
    <w:p>
      <w:pPr>
        <w:spacing w:after="0"/>
        <w:ind w:left="0"/>
        <w:jc w:val="both"/>
      </w:pPr>
      <w:r>
        <w:rPr>
          <w:rFonts w:ascii="Times New Roman"/>
          <w:b w:val="false"/>
          <w:i w:val="false"/>
          <w:color w:val="000000"/>
          <w:sz w:val="28"/>
        </w:rPr>
        <w:t>
      - Прекращает признание активов и обязательства дочерней организации (в том числе относящегося к ней гудвилла);</w:t>
      </w:r>
    </w:p>
    <w:p>
      <w:pPr>
        <w:spacing w:after="0"/>
        <w:ind w:left="0"/>
        <w:jc w:val="both"/>
      </w:pPr>
      <w:r>
        <w:rPr>
          <w:rFonts w:ascii="Times New Roman"/>
          <w:b w:val="false"/>
          <w:i w:val="false"/>
          <w:color w:val="000000"/>
          <w:sz w:val="28"/>
        </w:rPr>
        <w:t>
      - Прекращает признание балансовой стоимости неконтрольной доли участия;</w:t>
      </w:r>
    </w:p>
    <w:p>
      <w:pPr>
        <w:spacing w:after="0"/>
        <w:ind w:left="0"/>
        <w:jc w:val="both"/>
      </w:pPr>
      <w:r>
        <w:rPr>
          <w:rFonts w:ascii="Times New Roman"/>
          <w:b w:val="false"/>
          <w:i w:val="false"/>
          <w:color w:val="000000"/>
          <w:sz w:val="28"/>
        </w:rPr>
        <w:t>
      - Прекращает признание накопленных курсовых разниц, отраженных в капитале;</w:t>
      </w:r>
    </w:p>
    <w:p>
      <w:pPr>
        <w:spacing w:after="0"/>
        <w:ind w:left="0"/>
        <w:jc w:val="both"/>
      </w:pPr>
      <w:r>
        <w:rPr>
          <w:rFonts w:ascii="Times New Roman"/>
          <w:b w:val="false"/>
          <w:i w:val="false"/>
          <w:color w:val="000000"/>
          <w:sz w:val="28"/>
        </w:rPr>
        <w:t>
      - Признает справедливую стоимость полученного вознаграждения;</w:t>
      </w:r>
    </w:p>
    <w:p>
      <w:pPr>
        <w:spacing w:after="0"/>
        <w:ind w:left="0"/>
        <w:jc w:val="both"/>
      </w:pPr>
      <w:r>
        <w:rPr>
          <w:rFonts w:ascii="Times New Roman"/>
          <w:b w:val="false"/>
          <w:i w:val="false"/>
          <w:color w:val="000000"/>
          <w:sz w:val="28"/>
        </w:rPr>
        <w:t>
      - Признает справедливую стоимость оставшейся инвестиции;</w:t>
      </w:r>
    </w:p>
    <w:p>
      <w:pPr>
        <w:spacing w:after="0"/>
        <w:ind w:left="0"/>
        <w:jc w:val="both"/>
      </w:pPr>
      <w:r>
        <w:rPr>
          <w:rFonts w:ascii="Times New Roman"/>
          <w:b w:val="false"/>
          <w:i w:val="false"/>
          <w:color w:val="000000"/>
          <w:sz w:val="28"/>
        </w:rPr>
        <w:t>
      - Признает образовавшийся в результате операции излишек или дефицит в качестве прибыли или убытка;</w:t>
      </w:r>
    </w:p>
    <w:p>
      <w:pPr>
        <w:spacing w:after="0"/>
        <w:ind w:left="0"/>
        <w:jc w:val="both"/>
      </w:pPr>
      <w:r>
        <w:rPr>
          <w:rFonts w:ascii="Times New Roman"/>
          <w:b w:val="false"/>
          <w:i w:val="false"/>
          <w:color w:val="000000"/>
          <w:sz w:val="28"/>
        </w:rPr>
        <w:t>
      - Переклассифицирует долю материнской компании в компонентах, ранее признанных в составе прочего совокупного дохода, в состав прибыли или убытка или нераспределенной прибыли, как если бы Группа осуществила непосредственное выбытие соответствующих активов или обязательств.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Инвестиции в совместные предприятия и ассоциированные компании</w:t>
      </w:r>
    </w:p>
    <w:p>
      <w:pPr>
        <w:spacing w:after="0"/>
        <w:ind w:left="0"/>
        <w:jc w:val="both"/>
      </w:pPr>
      <w:r>
        <w:rPr>
          <w:rFonts w:ascii="Times New Roman"/>
          <w:b w:val="false"/>
          <w:i w:val="false"/>
          <w:color w:val="000000"/>
          <w:sz w:val="28"/>
        </w:rPr>
        <w:t xml:space="preserve">
      Группа имеет доли участия в совместных предприятиях в форме совместно контролируемых компаний, в которых участники совместной деятельности вступили в договорное соглашение, устанавливающее совместный контроль над экономической деятельностью компаний. Также, Группа имеет доли участия в ассоциированных компаниях, в которых она имеет существенное влияние над их экономической деятельностью. Инвестиции Группы в совместные предприятия и ассоциированные компании учитываются по методу долевого участия. </w:t>
      </w:r>
    </w:p>
    <w:p>
      <w:pPr>
        <w:spacing w:after="0"/>
        <w:ind w:left="0"/>
        <w:jc w:val="both"/>
      </w:pPr>
      <w:r>
        <w:rPr>
          <w:rFonts w:ascii="Times New Roman"/>
          <w:b w:val="false"/>
          <w:i w:val="false"/>
          <w:color w:val="000000"/>
          <w:sz w:val="28"/>
        </w:rPr>
        <w:t>
      В соответствии с методом долевого участия инвестиции в совместное предприятие / ассоциированную компанию учитываются в консолидированном бухгалтерском балансе по первоначальной стоимости плюс изменения, возникшие после приобретения в доле чистых активов совместного предприятия / ассоциированной компании, принадлежащей Группе. Гудвилл, относящийся к совместному предприятию / ассоциированной компании, включается в балансовую стоимость инвестиции и не амортизируется, а также не подвергается отдельной проверке на предмет обесценения.</w:t>
      </w:r>
    </w:p>
    <w:p>
      <w:pPr>
        <w:spacing w:after="0"/>
        <w:ind w:left="0"/>
        <w:jc w:val="both"/>
      </w:pPr>
      <w:r>
        <w:rPr>
          <w:rFonts w:ascii="Times New Roman"/>
          <w:b w:val="false"/>
          <w:i w:val="false"/>
          <w:color w:val="000000"/>
          <w:sz w:val="28"/>
        </w:rPr>
        <w:t>
      Консолидированный отчет о прибылях и убытках отражает долю финансовых результатов деятельности совместного предприятия / ассоциированной компании. Если имело место изменение, непосредственно признанное в капитале совместного предприятия / ассоциированной компании, Группа признает свою долю такого изменения и раскрывает этот факт, когда это применимо, в консолидированном отчете об изменениях в капитале. Нереализованные прибыли и убытки, возникающие по операциям Группы с совместным предприятием / ассоциированной компанией, исключены в той степени, в которой Группа имеет долю участия в совместном предприятии / ассоциированной компании.</w:t>
      </w:r>
    </w:p>
    <w:p>
      <w:pPr>
        <w:spacing w:after="0"/>
        <w:ind w:left="0"/>
        <w:jc w:val="both"/>
      </w:pPr>
      <w:r>
        <w:rPr>
          <w:rFonts w:ascii="Times New Roman"/>
          <w:b w:val="false"/>
          <w:i w:val="false"/>
          <w:color w:val="000000"/>
          <w:sz w:val="28"/>
        </w:rPr>
        <w:t>
      Доля в прибыли совместных предприятий / ассоциированных компаний представлена непосредственно в консолидированном отчете о прибылях и убытках. Она представляет собой прибыль, приходящуюся на акционеров совместного предприятия / ассоциированной компании, и поэтому определяется как прибыль после учета налогообложения и неконтрольной доли участия в дочерних компаниях совместных предприятий / ассоциированных компаний.</w:t>
      </w:r>
    </w:p>
    <w:p>
      <w:pPr>
        <w:spacing w:after="0"/>
        <w:ind w:left="0"/>
        <w:jc w:val="both"/>
      </w:pPr>
      <w:r>
        <w:rPr>
          <w:rFonts w:ascii="Times New Roman"/>
          <w:b w:val="false"/>
          <w:i w:val="false"/>
          <w:color w:val="000000"/>
          <w:sz w:val="28"/>
        </w:rPr>
        <w:t>
      Финансовая отчетность совместного предприятия / ассоциированной компании составляется за тот же отчетный период, что и формы финансовой отчетности материнской компании. В случае необходимости в нее вносятся корректировки с целью приведения учетной политики в соответствие с учетной политикой Группы. После применения метода долевого участия Группа определяет необходимость признания дополнительного убытка от обесценения по инвестициям Группы в совместные предприятия / ассоциированные компании. На каждую отчетную дату Группа устанавливает наличие объективных свидетельств обесценения инвестиций в совместные предприятия / ассоциированные компании. В случае наличия таких свидетельств Группа рассчитывает сумму обесценения как разницу между возмещаемой стоимостью инвестиции в совместное предприятие / ассоциированную компанию и ее балансовой стоимостью, и признает эту сумму в консолидированном отчете о прибылях и убытках.</w:t>
      </w:r>
    </w:p>
    <w:p>
      <w:pPr>
        <w:spacing w:after="0"/>
        <w:ind w:left="0"/>
        <w:jc w:val="both"/>
      </w:pPr>
      <w:r>
        <w:rPr>
          <w:rFonts w:ascii="Times New Roman"/>
          <w:b w:val="false"/>
          <w:i w:val="false"/>
          <w:color w:val="000000"/>
          <w:sz w:val="28"/>
        </w:rPr>
        <w:t>
      В случае потери совместного контроля над совместным предприятием / значительного влияния над ассоциированной компанией Группа оценивает и признает оставшиеся инвестиции по справедливой стоимости. Разница между балансовой стоимостью совместного предприятия / ассоциированной компании на момент потери существенного влияния и справедливой стоимостью оставшихся инвестиций и поступлениями от выбытия признается в прибылях или убытках.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Объединение предприятий</w:t>
      </w:r>
    </w:p>
    <w:p>
      <w:pPr>
        <w:spacing w:after="0"/>
        <w:ind w:left="0"/>
        <w:jc w:val="both"/>
      </w:pPr>
      <w:r>
        <w:rPr>
          <w:rFonts w:ascii="Times New Roman"/>
          <w:b w:val="false"/>
          <w:i w:val="false"/>
          <w:color w:val="000000"/>
          <w:sz w:val="28"/>
        </w:rPr>
        <w:t xml:space="preserve">
      Объединения предприятий (бизнеса) учитываются с использованием метода приобретения. Стоимость приобретения оценивается как сумма переданного вознаграждения, оцененного по справедливой стоимости на дату приобретения, и неконтрольной доли участия в приобретаемой компании. Для каждой сделки по объединению бизнеса приобретающая сторона оценивает неконтрольную долю участия в приобретаемой компании либо по справедливой стоимости, либо по пропорциональной доле в идентифицируемых чистых активах приобретаемой компании. Затраты, понесенные в связи с приобретением, включаются в состав административных расходов. </w:t>
      </w:r>
    </w:p>
    <w:p>
      <w:pPr>
        <w:spacing w:after="0"/>
        <w:ind w:left="0"/>
        <w:jc w:val="both"/>
      </w:pPr>
      <w:r>
        <w:rPr>
          <w:rFonts w:ascii="Times New Roman"/>
          <w:b w:val="false"/>
          <w:i w:val="false"/>
          <w:color w:val="000000"/>
          <w:sz w:val="28"/>
        </w:rPr>
        <w:t xml:space="preserve">
      Если Группа приобретает бизнес, она соответствующим образом классифицирует приобретенные финансовые активы и принятые обязательства в зависимости от условий договора, экономической ситуации и соответствующих условий на дату приобретения. Сюда относится анализ на предмет необходимости выделения приобретаемой компанией встроенных в основные договоры производных инструментов. </w:t>
      </w:r>
    </w:p>
    <w:p>
      <w:pPr>
        <w:spacing w:after="0"/>
        <w:ind w:left="0"/>
        <w:jc w:val="both"/>
      </w:pPr>
      <w:r>
        <w:rPr>
          <w:rFonts w:ascii="Times New Roman"/>
          <w:b w:val="false"/>
          <w:i w:val="false"/>
          <w:color w:val="000000"/>
          <w:sz w:val="28"/>
        </w:rPr>
        <w:t>
      В случае поэтапного объединения бизнеса, ранее принадлежавшая Группе доля участия в приобретаемой компании переоценивается по справедливой стоимости на дату приобретения контроля через прибыль или убыток.</w:t>
      </w:r>
    </w:p>
    <w:p>
      <w:pPr>
        <w:spacing w:after="0"/>
        <w:ind w:left="0"/>
        <w:jc w:val="both"/>
      </w:pPr>
      <w:r>
        <w:rPr>
          <w:rFonts w:ascii="Times New Roman"/>
          <w:b w:val="false"/>
          <w:i w:val="false"/>
          <w:color w:val="000000"/>
          <w:sz w:val="28"/>
        </w:rPr>
        <w:t>
      Условное вознаграждение, подлежащее передаче приобретающей стороной, должно признаваться по справедливой стоимости на дату приобретения. Последующие изменения справедливой стоимости условного вознаграждения, которое может быть активом или обязательством, должны признаваться согласно МСБУ 39 либо в составе прибыли или убытка, либо как изменение прочего совокупного дохода. Если условное вознаграждение классифицируется в качестве капитала, оно не должно переоцениваться до момента его полного погашения в составе капитала.</w:t>
      </w:r>
    </w:p>
    <w:p>
      <w:pPr>
        <w:spacing w:after="0"/>
        <w:ind w:left="0"/>
        <w:jc w:val="both"/>
      </w:pPr>
      <w:r>
        <w:rPr>
          <w:rFonts w:ascii="Times New Roman"/>
          <w:b w:val="false"/>
          <w:i w:val="false"/>
          <w:color w:val="000000"/>
          <w:sz w:val="28"/>
        </w:rPr>
        <w:t xml:space="preserve">
      Гудвилл изначально оценивается по первоначальной стоимости, определяемой как превышение суммы переданного вознаграждения и признанной неконтрольной доли участия над суммой чистых идентифицируемых активов, приобретенных Группой, и принятых ею обязательств. Если данное вознаграждение меньше справедливой стоимости чистых активов приобретенной дочерней организации, разница признается в составе прибыли или убытка. </w:t>
      </w:r>
    </w:p>
    <w:p>
      <w:pPr>
        <w:spacing w:after="0"/>
        <w:ind w:left="0"/>
        <w:jc w:val="both"/>
      </w:pPr>
      <w:r>
        <w:rPr>
          <w:rFonts w:ascii="Times New Roman"/>
          <w:b w:val="false"/>
          <w:i w:val="false"/>
          <w:color w:val="000000"/>
          <w:sz w:val="28"/>
        </w:rPr>
        <w:t>
      Впоследствии гудвилл оценивается по первоначальной стоимости за вычетом накопленных убытков от обесценения. Для целей проверки гудвилла, приобретенного при объединении бизнеса, на предмет обесценения, гудвилл, начиная с даты приобретения Группой компании, распределяется на каждое из подразделений Группы, генерирующих денежные потоки, которые, как предполагается, извлекут выгоду от объединения бизнеса, независимо от того, относятся или нет другие активы или обязательства приобретаемой компании к указанным подразделениям.</w:t>
      </w:r>
    </w:p>
    <w:p>
      <w:pPr>
        <w:spacing w:after="0"/>
        <w:ind w:left="0"/>
        <w:jc w:val="both"/>
      </w:pPr>
      <w:r>
        <w:rPr>
          <w:rFonts w:ascii="Times New Roman"/>
          <w:b w:val="false"/>
          <w:i w:val="false"/>
          <w:color w:val="000000"/>
          <w:sz w:val="28"/>
        </w:rPr>
        <w:t>
      Если гудвилл составляет часть подразделения, генерирующего денежные потоки, и часть этого подразделения выбывает, гудвилл, относящийся к выбывающей деятельности, включается в текущую стоимость этой деятельности при определении прибыли или убытка от ее выбытия. В этих обстоятельствах выбывший гудвилл оценивается на основе соотношения стоимости прекращенной деятельности и стоимости оставшейся части подразделения, генерирующего денежные потоки.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дочерних организаций у сторон, находящихся под общим контролем</w:t>
      </w:r>
    </w:p>
    <w:p>
      <w:pPr>
        <w:spacing w:after="0"/>
        <w:ind w:left="0"/>
        <w:jc w:val="both"/>
      </w:pPr>
      <w:r>
        <w:rPr>
          <w:rFonts w:ascii="Times New Roman"/>
          <w:b w:val="false"/>
          <w:i w:val="false"/>
          <w:color w:val="000000"/>
          <w:sz w:val="28"/>
        </w:rPr>
        <w:t xml:space="preserve">
      Учет приобретения дочерних организаций у сторон, находящихся под общим контролем (предприятия, контролируемые Государством), ведется по методу объединения долей. </w:t>
      </w:r>
    </w:p>
    <w:p>
      <w:pPr>
        <w:spacing w:after="0"/>
        <w:ind w:left="0"/>
        <w:jc w:val="both"/>
      </w:pPr>
      <w:r>
        <w:rPr>
          <w:rFonts w:ascii="Times New Roman"/>
          <w:b w:val="false"/>
          <w:i w:val="false"/>
          <w:color w:val="000000"/>
          <w:sz w:val="28"/>
        </w:rPr>
        <w:t>
      Активы и обязательства переданной дочерней организации, находящейся под общим контролем, отражаются в данных консолидированных формах финансовой отчетности по их балансовой стоимости в отчетности передающей компании (предшествующего владельца) на дату передачи. Гудвилл, возникший при первоначальном приобретении организации предшествующим владельцем, также отражается в данных консолидированных формах финансовой отчетности. Разница между общей балансовой стоимостью чистых активов, включая гудвилл предшествующего владельца, и суммой выплаченных средств, учтена в данных консолидированных формах финансовой отчетности как корректировка капитала.</w:t>
      </w:r>
    </w:p>
    <w:p>
      <w:pPr>
        <w:spacing w:after="0"/>
        <w:ind w:left="0"/>
        <w:jc w:val="both"/>
      </w:pPr>
      <w:r>
        <w:rPr>
          <w:rFonts w:ascii="Times New Roman"/>
          <w:b w:val="false"/>
          <w:i w:val="false"/>
          <w:color w:val="000000"/>
          <w:sz w:val="28"/>
        </w:rPr>
        <w:t>
      Данные консолидированные формы финансовой отчетности, составлены так, как если бы дочерняя организация была приобретена Группой на дату ее первоначального приобретения предшествующим владельцем.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Изменение доли участия в имеющихся дочерних организациях</w:t>
      </w:r>
    </w:p>
    <w:p>
      <w:pPr>
        <w:spacing w:after="0"/>
        <w:ind w:left="0"/>
        <w:jc w:val="both"/>
      </w:pPr>
      <w:r>
        <w:rPr>
          <w:rFonts w:ascii="Times New Roman"/>
          <w:b w:val="false"/>
          <w:i w:val="false"/>
          <w:color w:val="000000"/>
          <w:sz w:val="28"/>
        </w:rPr>
        <w:t>
      В сделках, где продается или приобретается часть доли участия в существующей дочерней организации, с сохранением контроля, разница между балансовой стоимостью отчуждаемой или приобретаемой доли в чистых активах дочерней организации и стоимостью реализации или приобретения этой доли отражается как увеличение или уменьшение нераспределенной прибыли.</w:t>
      </w:r>
    </w:p>
    <w:bookmarkStart w:name="z265" w:id="264"/>
    <w:p>
      <w:pPr>
        <w:spacing w:after="0"/>
        <w:ind w:left="0"/>
        <w:jc w:val="both"/>
      </w:pPr>
      <w:r>
        <w:rPr>
          <w:rFonts w:ascii="Times New Roman"/>
          <w:b w:val="false"/>
          <w:i w:val="false"/>
          <w:color w:val="000000"/>
          <w:sz w:val="28"/>
        </w:rPr>
        <w:t xml:space="preserve">
      </w:t>
      </w:r>
      <w:r>
        <w:rPr>
          <w:rFonts w:ascii="Times New Roman"/>
          <w:b/>
          <w:i w:val="false"/>
          <w:color w:val="000000"/>
          <w:sz w:val="28"/>
        </w:rPr>
        <w:t>Активы, классифицированные как предназначенные для продажи, и прекращенная деятельность</w:t>
      </w:r>
    </w:p>
    <w:bookmarkEnd w:id="264"/>
    <w:p>
      <w:pPr>
        <w:spacing w:after="0"/>
        <w:ind w:left="0"/>
        <w:jc w:val="both"/>
      </w:pPr>
      <w:r>
        <w:rPr>
          <w:rFonts w:ascii="Times New Roman"/>
          <w:b w:val="false"/>
          <w:i w:val="false"/>
          <w:color w:val="000000"/>
          <w:sz w:val="28"/>
        </w:rPr>
        <w:t>
      Активы и группы выбытия, классифицированные как предназначенные для продажи, оцениваются по меньшему из двух значений – балансовой стоимости и справедливой стоимости за вычетом затрат на продажу. Активы и группы выбытия классифицируются как предназначенные для продажи, если их балансовая стоимость подлежит возмещению посредством сделки по продаже, а не в результате продолжающегося использования. Данное условие считается соблюденным лишь в том случае, если вероятность продажи высока, а актив или группа выбытия могут быть незамедлительно проданы в своем текущем состоянии. Руководство должно иметь твердое намерение совершить продажу, в отношении которой должно ожидаться соответствие критериям признания в качестве завершенной сделки продажи в течение 1 года с даты классификации.</w:t>
      </w:r>
    </w:p>
    <w:p>
      <w:pPr>
        <w:spacing w:after="0"/>
        <w:ind w:left="0"/>
        <w:jc w:val="both"/>
      </w:pPr>
      <w:r>
        <w:rPr>
          <w:rFonts w:ascii="Times New Roman"/>
          <w:b w:val="false"/>
          <w:i w:val="false"/>
          <w:color w:val="000000"/>
          <w:sz w:val="28"/>
        </w:rPr>
        <w:t>
      В консолидированном отчете о прибылях и убытках за отчетный период, а также за сравнительный период прошлого года, доходы и расходы от прекращенной деятельности учитываются отдельно от обычных доходов и расходов, даже если после продажи Группа сохраняет неконтрольную долю участия в дочерней организации. Прибыль или убыток после учета подоходного налога представляются в консолидированном отчете о прибылях и убытках отдельно.</w:t>
      </w:r>
    </w:p>
    <w:p>
      <w:pPr>
        <w:spacing w:after="0"/>
        <w:ind w:left="0"/>
        <w:jc w:val="both"/>
      </w:pPr>
      <w:r>
        <w:rPr>
          <w:rFonts w:ascii="Times New Roman"/>
          <w:b w:val="false"/>
          <w:i w:val="false"/>
          <w:color w:val="000000"/>
          <w:sz w:val="28"/>
        </w:rPr>
        <w:t>
      Основные средства и нематериальные активы после классификации в качестве предназначенных для продажи не подлежат амортизации.</w:t>
      </w:r>
    </w:p>
    <w:bookmarkStart w:name="z266" w:id="265"/>
    <w:p>
      <w:pPr>
        <w:spacing w:after="0"/>
        <w:ind w:left="0"/>
        <w:jc w:val="both"/>
      </w:pPr>
      <w:r>
        <w:rPr>
          <w:rFonts w:ascii="Times New Roman"/>
          <w:b w:val="false"/>
          <w:i w:val="false"/>
          <w:color w:val="000000"/>
          <w:sz w:val="28"/>
        </w:rPr>
        <w:t xml:space="preserve">
      </w:t>
      </w:r>
      <w:r>
        <w:rPr>
          <w:rFonts w:ascii="Times New Roman"/>
          <w:b/>
          <w:i w:val="false"/>
          <w:color w:val="000000"/>
          <w:sz w:val="28"/>
        </w:rPr>
        <w:t>Активы по разведке и разработке минеральных ресурсов и углеводородов (нефтегазовые и горнорудные активы)</w:t>
      </w:r>
    </w:p>
    <w:bookmarkEnd w:id="265"/>
    <w:p>
      <w:pPr>
        <w:spacing w:after="0"/>
        <w:ind w:left="0"/>
        <w:jc w:val="both"/>
      </w:pPr>
      <w:r>
        <w:rPr>
          <w:rFonts w:ascii="Times New Roman"/>
          <w:b w:val="false"/>
          <w:i w:val="false"/>
          <w:color w:val="000000"/>
          <w:sz w:val="28"/>
        </w:rPr>
        <w:t xml:space="preserve">
      </w:t>
      </w:r>
      <w:r>
        <w:rPr>
          <w:rFonts w:ascii="Times New Roman"/>
          <w:b w:val="false"/>
          <w:i/>
          <w:color w:val="000000"/>
          <w:sz w:val="28"/>
        </w:rPr>
        <w:t>Затраты по приобретению прав на недропользование</w:t>
      </w:r>
    </w:p>
    <w:p>
      <w:pPr>
        <w:spacing w:after="0"/>
        <w:ind w:left="0"/>
        <w:jc w:val="both"/>
      </w:pPr>
      <w:r>
        <w:rPr>
          <w:rFonts w:ascii="Times New Roman"/>
          <w:b w:val="false"/>
          <w:i w:val="false"/>
          <w:color w:val="000000"/>
          <w:sz w:val="28"/>
        </w:rPr>
        <w:t xml:space="preserve">
      Затраты по приобретению прав на недропользование (разведку и добычу) включают подписные бонусы, исторические затраты, обязательные расходы на экологические и социальные программы и капитализируются в составе нематериальных активов, как права на недропользование месторождения в стадии разведки и оценки. </w:t>
      </w:r>
    </w:p>
    <w:p>
      <w:pPr>
        <w:spacing w:after="0"/>
        <w:ind w:left="0"/>
        <w:jc w:val="both"/>
      </w:pPr>
      <w:r>
        <w:rPr>
          <w:rFonts w:ascii="Times New Roman"/>
          <w:b w:val="false"/>
          <w:i w:val="false"/>
          <w:color w:val="000000"/>
          <w:sz w:val="28"/>
        </w:rPr>
        <w:t>
      Учет затрат на приобретение прав на недропользование ведется в разрезе месторождений. Каждое месторождение рассматривается ежегодно на предмет обесценения. В случае, если по объекту не запланированы работы в будущем, оставшееся сальдо затрат на приобретение прав на недропользование списывается. С начала коммерческой добычи на месторождениях права на недропользование (оставшиеся затраты) переводятся в состав основных средств и амортизируются по производственному методу по фактической добыче, исходя из общей суммы доказанных запасов.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Затраты по разведке и оценке (незавершенное строительство)</w:t>
      </w:r>
    </w:p>
    <w:p>
      <w:pPr>
        <w:spacing w:after="0"/>
        <w:ind w:left="0"/>
        <w:jc w:val="both"/>
      </w:pPr>
      <w:r>
        <w:rPr>
          <w:rFonts w:ascii="Times New Roman"/>
          <w:b w:val="false"/>
          <w:i w:val="false"/>
          <w:color w:val="000000"/>
          <w:sz w:val="28"/>
        </w:rPr>
        <w:t xml:space="preserve">
      Затраты по разведке и оценке включают геологические и геофизические расходы; затраты, напрямую относящиеся к разведочным скважинам; вскрышные работы; административные и прочие расходы по оценке, которые можно отнести к конкретному месторождению. Такие затраты включают в себя заработную плату, материалы и горючее, стоимость буровых станков и платежи подрядчикам. Затраты по разведке и оценке за исключением геологических и геофизических расходов, капитализируются в составе основных средств, как незавершенное строительство, учитываются в разрезе контрактов на недропользование и не амортизируются. Если минеральные ресурсы или углеводороды не обнаружены, это может являться свидетельством обесценения. Все капитализированные затраты подлежат технической, коммерческой и управленческой проверке, по крайней мере раз в год, для того, чтобы подтвердить намерение о коммерческой разработке или какого-либо другого способа извлечения пользы из обнаружения. В противном случае затраты списываются на расходы. </w:t>
      </w:r>
    </w:p>
    <w:p>
      <w:pPr>
        <w:spacing w:after="0"/>
        <w:ind w:left="0"/>
        <w:jc w:val="both"/>
      </w:pPr>
      <w:r>
        <w:rPr>
          <w:rFonts w:ascii="Times New Roman"/>
          <w:b w:val="false"/>
          <w:i w:val="false"/>
          <w:color w:val="000000"/>
          <w:sz w:val="28"/>
        </w:rPr>
        <w:t xml:space="preserve">
      Когда запасы минеральных ресурсов или углеводородов доказаны и принимается решение на продолжение разработки, тогда соответствующие затраты переводятся в подклассы нефтегазовых или горнорудных активов.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Затраты на разработку и добычу (нефтегазовые или горнорудные активы)</w:t>
      </w:r>
    </w:p>
    <w:p>
      <w:pPr>
        <w:spacing w:after="0"/>
        <w:ind w:left="0"/>
        <w:jc w:val="both"/>
      </w:pPr>
      <w:r>
        <w:rPr>
          <w:rFonts w:ascii="Times New Roman"/>
          <w:b w:val="false"/>
          <w:i w:val="false"/>
          <w:color w:val="000000"/>
          <w:sz w:val="28"/>
        </w:rPr>
        <w:t xml:space="preserve">
      Затраты на разработку и добычу включают ранее капитализированные (и реклассифицированные в начале разработки) затраты по приобретению прав на недропользование и затраты по разведке и оценке; бурение эксплуатационных скважин вне зависимости от результатов бурения; строительство полигонов; создание наземных технологических сооружений, необходимых для добычи, сбора и подготовки минеральных ресурсов на месторождениях; прочие затраты, понесенные в ходе организации коммерческой добычи на месторождениях; капитализированные дисконтированные затраты на консервацию скважин и восстановление участков. Затраты на разработку и добычу капитализируются в составе основных средств (нефтегазовых и горнорудных активов), учет ведется в разрезе месторождений.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Износ нефтегазовых и горнорудных активов (в составе основных средств и нематериальных активов)</w:t>
      </w:r>
    </w:p>
    <w:p>
      <w:pPr>
        <w:spacing w:after="0"/>
        <w:ind w:left="0"/>
        <w:jc w:val="both"/>
      </w:pPr>
      <w:r>
        <w:rPr>
          <w:rFonts w:ascii="Times New Roman"/>
          <w:b w:val="false"/>
          <w:i w:val="false"/>
          <w:color w:val="000000"/>
          <w:sz w:val="28"/>
        </w:rPr>
        <w:t>
      Нефтегазовые и горнорудные активы амортизируются с использованием производственного метода начисления износа по фактической добыче с начала коммерческой добычи на месторождениях. Некоторые объекты нефтегазовых активов (наземные технологические сооружения и оборудование) со сроком полезной службы, который существенно отличается от срока полезной службы месторождений, амортизируются с использованием прямолинейного метода, в течение срока полезного использования. Затраты на приобретение прав на недропользование, включающие дисконтированные затраты на вывод месторождений из эксплуатации, амортизируются по общей сумме доказанных запасов. Остальные затраты на разработку месторождений амортизируются из расчета доказанных разработанных запасов.</w:t>
      </w:r>
    </w:p>
    <w:bookmarkStart w:name="z267" w:id="266"/>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 средства (кроме нефтегазовых и горнорудных активов)</w:t>
      </w:r>
    </w:p>
    <w:bookmarkEnd w:id="266"/>
    <w:p>
      <w:pPr>
        <w:spacing w:after="0"/>
        <w:ind w:left="0"/>
        <w:jc w:val="both"/>
      </w:pPr>
      <w:r>
        <w:rPr>
          <w:rFonts w:ascii="Times New Roman"/>
          <w:b w:val="false"/>
          <w:i w:val="false"/>
          <w:color w:val="000000"/>
          <w:sz w:val="28"/>
        </w:rPr>
        <w:t>
      При первоначальном признании основные средства оцениваются по первоначальной стоимости. Впоследствии, основные средства учитываются по стоимости, за минусом накопленного износа, истощения и обесценения. Стоимость активов, созданных хозяйственным способом, включает стоимость материалов, прямых трудовых затрат и соответствующей доли производственных накладных расходов. Основные средства, помимо нефтегазовых активов, в основном включают следующие классы основных средств, которые амортизируются прямолинейным методом в течение следующих сроков полезной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7"/>
        <w:gridCol w:w="7913"/>
      </w:tblGrid>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и активы НПЗ</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 лет</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лет</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пути и инфраструктура</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лет</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Горнорудные активы</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и транспортные средства</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лет</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лет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когда объекты основных средств являются предметом крупномасштабного технического осмотра, затраты признаются в балансовой стоимости основных средств как замещение составной части, при условии соблюдения критериев признания, установленных в МСБУ 16.</w:t>
      </w:r>
    </w:p>
    <w:p>
      <w:pPr>
        <w:spacing w:after="0"/>
        <w:ind w:left="0"/>
        <w:jc w:val="both"/>
      </w:pPr>
      <w:r>
        <w:rPr>
          <w:rFonts w:ascii="Times New Roman"/>
          <w:b w:val="false"/>
          <w:i w:val="false"/>
          <w:color w:val="000000"/>
          <w:sz w:val="28"/>
        </w:rPr>
        <w:t>
      Признание объекта основных средств прекращается после его выбытия или в том случае, когда получение будущих экономических выгод от его использования или выбытия больше не ожидается. Любые доходы или расходы, возникающие при прекращении признания актива (рассчитанные как разница между чистыми поступлениями от выбытия и остаточной стоимостью актива), включаются в прибыли и убытки в том отчетном периоде, в котором наступило прекращение признания актива.</w:t>
      </w:r>
    </w:p>
    <w:p>
      <w:pPr>
        <w:spacing w:after="0"/>
        <w:ind w:left="0"/>
        <w:jc w:val="both"/>
      </w:pPr>
      <w:r>
        <w:rPr>
          <w:rFonts w:ascii="Times New Roman"/>
          <w:b w:val="false"/>
          <w:i w:val="false"/>
          <w:color w:val="000000"/>
          <w:sz w:val="28"/>
        </w:rPr>
        <w:t>
      Остаточная стоимость актива, срок полезной службы и методы амортизации пересматриваются и корректируются при необходимости на конец каждого финансового года.</w:t>
      </w:r>
    </w:p>
    <w:bookmarkStart w:name="z268" w:id="267"/>
    <w:p>
      <w:pPr>
        <w:spacing w:after="0"/>
        <w:ind w:left="0"/>
        <w:jc w:val="both"/>
      </w:pPr>
      <w:r>
        <w:rPr>
          <w:rFonts w:ascii="Times New Roman"/>
          <w:b w:val="false"/>
          <w:i w:val="false"/>
          <w:color w:val="000000"/>
          <w:sz w:val="28"/>
        </w:rPr>
        <w:t xml:space="preserve">
      </w:t>
      </w:r>
      <w:r>
        <w:rPr>
          <w:rFonts w:ascii="Times New Roman"/>
          <w:b/>
          <w:i w:val="false"/>
          <w:color w:val="000000"/>
          <w:sz w:val="28"/>
        </w:rPr>
        <w:t>Нематериальные активы</w:t>
      </w:r>
    </w:p>
    <w:bookmarkEnd w:id="267"/>
    <w:p>
      <w:pPr>
        <w:spacing w:after="0"/>
        <w:ind w:left="0"/>
        <w:jc w:val="both"/>
      </w:pPr>
      <w:r>
        <w:rPr>
          <w:rFonts w:ascii="Times New Roman"/>
          <w:b w:val="false"/>
          <w:i w:val="false"/>
          <w:color w:val="000000"/>
          <w:sz w:val="28"/>
        </w:rPr>
        <w:t>
      При первоначальном признании, нематериальные активы, приобретенные отдельно, учитываются по стоимости приобретения. Стоимость нематериальных активов, приобретенных в рамках операций по объединению организаций, представляет собой справедливую стоимость на дату приобретения. После первоначального признания нематериальные активы учитываются по стоимости приобретения, за вычетом любой накопленной амортизации и любого накопленного убытка от обесценения. Нематериальные активы, созданные своими силами, за исключением капитализированных затрат на разработку, не капитализируются, и соответствующие расходы признаются в прибылях и убытках в том периоде, в котором расходы возникли. Срок полезной службы нематериальных активов определяется как ограниченный или неограниченный. Нематериальные активы с ограниченным сроком полезной службы амортизируются в течение данного срока службы и оцениваются на предмет обесценения тогда, когда существует показатель того, что нематериальный актив может быть обесценен. Период амортизации и метод амортизации для нематериальных активов с ограниченным сроком полезной службы пересматриваются, по крайней мере, на конец каждого отчетного года. Изменения в ожидаемом сроке полезной службы или ожидаемом объеме будущих экономических выгод от нематериального актива учитываются посредством изменения периода амортизации или метода амортизации по обстоятельствам и рассматриваются как изменения в бухгалтерских оценках. Расходы по амортизации нематериальных активов с ограниченным сроком службы признаются в консолидированном отчете о прибылях и убытках в составе расходов согласно назначению нематериального актива. Нематериальные активы с ограниченными сроками полезной службы, в основном, включают следующие классы активов, которые амортизируются прямолинейным методом в течение следующих сроков полезной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9445"/>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лет</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лет</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на недропользование</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 лет</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лет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Нематериальные активы с неограниченным сроком службы не амортизируются, но проверяются на обесценение ежегодно или тогда, когда существуют показатели обесценения, и, при необходимости, списываются до возмещаемой величины.</w:t>
      </w:r>
    </w:p>
    <w:bookmarkStart w:name="z269" w:id="268"/>
    <w:p>
      <w:pPr>
        <w:spacing w:after="0"/>
        <w:ind w:left="0"/>
        <w:jc w:val="both"/>
      </w:pPr>
      <w:r>
        <w:rPr>
          <w:rFonts w:ascii="Times New Roman"/>
          <w:b w:val="false"/>
          <w:i w:val="false"/>
          <w:color w:val="000000"/>
          <w:sz w:val="28"/>
        </w:rPr>
        <w:t xml:space="preserve">
      </w:t>
      </w:r>
      <w:r>
        <w:rPr>
          <w:rFonts w:ascii="Times New Roman"/>
          <w:b/>
          <w:i w:val="false"/>
          <w:color w:val="000000"/>
          <w:sz w:val="28"/>
        </w:rPr>
        <w:t>Обесценение нефинансовых активов</w:t>
      </w:r>
    </w:p>
    <w:bookmarkEnd w:id="268"/>
    <w:p>
      <w:pPr>
        <w:spacing w:after="0"/>
        <w:ind w:left="0"/>
        <w:jc w:val="both"/>
      </w:pPr>
      <w:r>
        <w:rPr>
          <w:rFonts w:ascii="Times New Roman"/>
          <w:b w:val="false"/>
          <w:i w:val="false"/>
          <w:color w:val="000000"/>
          <w:sz w:val="28"/>
        </w:rPr>
        <w:t>
      Группа оценивает активы или группы активов на предмет обесценения в тех случаях, когда события или изменения в обстоятельствах указывают на то, что балансовая стоимость актива не может быть возмещена. Отдельные активы группируются для целей оценки на обесценение на самом низком уровне, на котором существуют идентифицируемые денежные потоки, которые, в основном, независимы от денежных потоков, генерируемых другими группами активов. В случае, если существуют такие показатели обесценения или когда требуется ежегодное тестирование группы активов на обесценение, Группа осуществляет оценку возмещаемой стоимости актива.</w:t>
      </w:r>
    </w:p>
    <w:p>
      <w:pPr>
        <w:spacing w:after="0"/>
        <w:ind w:left="0"/>
        <w:jc w:val="both"/>
      </w:pPr>
      <w:r>
        <w:rPr>
          <w:rFonts w:ascii="Times New Roman"/>
          <w:b w:val="false"/>
          <w:i w:val="false"/>
          <w:color w:val="000000"/>
          <w:sz w:val="28"/>
        </w:rPr>
        <w:t>
      Возмещаемая стоимость группы активов является наибольшей из справедливой стоимости за вычетом расходов на ее реализацию и стоимости ее использования. В тех случаях, когда балансовая стоимость группы активов превышает ее возмещаемую стоимость, тогда группа активов подлежит обесценению и создается резерв на снижение актива до стоимости возмещения. При оценке стоимости использования, ожидаемые денежные потоки корректируются на риски, специфичные для группы активов и дисконтируются к текущей стоимости с использованием ставки дисконтирования до налогообложения, которая отражает текущие рыночные оценки временной стоимости денег. Оценка производится на каждую отчетную дату относительно того, имеются ли какие-либо показатели того, что резервы по обесценению признанные ранее, более не существуют или уменьшились. Если такие показатели существуют, тогда оценивается возмещаемая стоимость. Ранее признанный резерв по обесценению сторнируется только, если произошло изменение в оценках, использовавшихся для определения возмещаемой стоимости актива с момента признания последнего резерва по обесценению. В таком случае, остаточная стоимость актива увеличивается до возмещаемой стоимости. Увеличенная стоимость актива не может превышать балансовую стоимость, которая была бы определена, за вычетом износа или амортизации, если бы в предыдущие периоды не был признан резерв по обесценению. Такое сторнирование признается в прибылях и убытках.</w:t>
      </w:r>
    </w:p>
    <w:p>
      <w:pPr>
        <w:spacing w:after="0"/>
        <w:ind w:left="0"/>
        <w:jc w:val="both"/>
      </w:pPr>
      <w:r>
        <w:rPr>
          <w:rFonts w:ascii="Times New Roman"/>
          <w:b w:val="false"/>
          <w:i w:val="false"/>
          <w:color w:val="000000"/>
          <w:sz w:val="28"/>
        </w:rPr>
        <w:t>
      После проведения сторнирующей проводки, в последующих периодах корректируются расходы по амортизации, для распределения пересмотренной балансовой стоимости актива, за вычетом остаточной стоимости, на систематической основе в течение оставшегося срока полезной службы.</w:t>
      </w:r>
    </w:p>
    <w:p>
      <w:pPr>
        <w:spacing w:after="0"/>
        <w:ind w:left="0"/>
        <w:jc w:val="both"/>
      </w:pPr>
      <w:r>
        <w:rPr>
          <w:rFonts w:ascii="Times New Roman"/>
          <w:b w:val="false"/>
          <w:i w:val="false"/>
          <w:color w:val="000000"/>
          <w:sz w:val="28"/>
        </w:rPr>
        <w:t>
      При оценке обесценения гудвилла применяется следующий процесс:</w:t>
      </w:r>
    </w:p>
    <w:p>
      <w:pPr>
        <w:spacing w:after="0"/>
        <w:ind w:left="0"/>
        <w:jc w:val="both"/>
      </w:pPr>
      <w:r>
        <w:rPr>
          <w:rFonts w:ascii="Times New Roman"/>
          <w:b w:val="false"/>
          <w:i w:val="false"/>
          <w:color w:val="000000"/>
          <w:sz w:val="28"/>
        </w:rPr>
        <w:t>
      На каждую отчетную дату Группа оценивает наличие признаков обесценения гудвилла. Гудвилл тестируется на наличие признаков обесценения ежегодно и тогда, когда обстоятельства указывают на то, что балансовая стоимость может быть обесценена.</w:t>
      </w:r>
    </w:p>
    <w:p>
      <w:pPr>
        <w:spacing w:after="0"/>
        <w:ind w:left="0"/>
        <w:jc w:val="both"/>
      </w:pPr>
      <w:r>
        <w:rPr>
          <w:rFonts w:ascii="Times New Roman"/>
          <w:b w:val="false"/>
          <w:i w:val="false"/>
          <w:color w:val="000000"/>
          <w:sz w:val="28"/>
        </w:rPr>
        <w:t xml:space="preserve">
      Обесценение гудвилла определяется посредством оценки возмещаемой суммы единиц, генерирующих денежные потоки, к которым относится гудвилл. Если возмещаемая сумма единиц, генерирующих денежные потоки, к которым относится гудвилл, меньше его балансовой стоимости, то признается убыток от обесценения. Убыток от обесценения не может быть восстановлен в будущих периодах. </w:t>
      </w:r>
    </w:p>
    <w:bookmarkStart w:name="z270" w:id="269"/>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Финансовые активы</w:t>
      </w:r>
    </w:p>
    <w:bookmarkEnd w:id="269"/>
    <w:p>
      <w:pPr>
        <w:spacing w:after="0"/>
        <w:ind w:left="0"/>
        <w:jc w:val="both"/>
      </w:pPr>
      <w:r>
        <w:rPr>
          <w:rFonts w:ascii="Times New Roman"/>
          <w:b w:val="false"/>
          <w:i w:val="false"/>
          <w:color w:val="000000"/>
          <w:sz w:val="28"/>
        </w:rPr>
        <w:t>
      Инвестиции Группы классифицируются либо как финансовые активы, оцениваемые по справедливой стоимости через прибыль или убыток, займы и дебиторская задолженность, инвестиции, удерживаемые до погашения или инвестиции, имеющиеся в наличии для продажи. Первоначально инвестиции оцениваются по справедливой стоимости, в случае если инвестиции не классифицируются как финансовые активы по справедливой стоимости через доход или убыток, то при отражении в формах отчетности к их справедливой стоимости прибавляются непосредственно связанные с ними затраты по сделке. Группа определяет классификацию своих финансовых активов при первоначальном признании. Все приобретения и продажи инвестиций признаются на дату расчетов, т.е. дату, когда инвестиции переданы Группе или Группой.</w:t>
      </w:r>
    </w:p>
    <w:p>
      <w:pPr>
        <w:spacing w:after="0"/>
        <w:ind w:left="0"/>
        <w:jc w:val="both"/>
      </w:pPr>
      <w:r>
        <w:rPr>
          <w:rFonts w:ascii="Times New Roman"/>
          <w:b w:val="false"/>
          <w:i w:val="false"/>
          <w:color w:val="000000"/>
          <w:sz w:val="28"/>
        </w:rPr>
        <w:t xml:space="preserve">
      Непроизводные финансовые активы с фиксированным или поддающимся определению размером платежей и фиксированным сроком погашения классифицируются в качестве удерживаемых до погашения в случае, если Группа намерена и способна удерживать их до срока погашения. </w:t>
      </w:r>
    </w:p>
    <w:p>
      <w:pPr>
        <w:spacing w:after="0"/>
        <w:ind w:left="0"/>
        <w:jc w:val="both"/>
      </w:pPr>
      <w:r>
        <w:rPr>
          <w:rFonts w:ascii="Times New Roman"/>
          <w:b w:val="false"/>
          <w:i w:val="false"/>
          <w:color w:val="000000"/>
          <w:sz w:val="28"/>
        </w:rPr>
        <w:t>
      Займы и дебиторская задолженность являются непроизводными финансовыми активами, не котирующимися на активном рынке, с фиксированным или поддающимся определению размером платежей. Такие активы отражаются по амортизированной стоимости с использованием метода эффективной ставки процента. Прибыли и убытки по таким активам отражаются в прибылях и убытках в момент прекращения признания или в случае обесценения таких активов, а также посредством амортизации.</w:t>
      </w:r>
    </w:p>
    <w:p>
      <w:pPr>
        <w:spacing w:after="0"/>
        <w:ind w:left="0"/>
        <w:jc w:val="both"/>
      </w:pPr>
      <w:r>
        <w:rPr>
          <w:rFonts w:ascii="Times New Roman"/>
          <w:b w:val="false"/>
          <w:i w:val="false"/>
          <w:color w:val="000000"/>
          <w:sz w:val="28"/>
        </w:rPr>
        <w:t>
      Ценные бумаги классифицируются в качестве финансовых активов, оцениваемых по справедливой стоимости через прибыль или убыток, если они приобретены для целей продажи в ближайшем будущем. Производные инструменты также классифицируются как финансовые активы, оцениваемые по справедливой стоимости через прибыль или убыток, за исключением случаев, когда они представляют собой эффективные инструменты хеджирования. Доходы и расходы по финансовым активам, оцениваемым по справедливой стоимости через прибыль или убыток, отражаются в консолидированном отчете о прибылях и убытках.</w:t>
      </w:r>
    </w:p>
    <w:p>
      <w:pPr>
        <w:spacing w:after="0"/>
        <w:ind w:left="0"/>
        <w:jc w:val="both"/>
      </w:pPr>
      <w:r>
        <w:rPr>
          <w:rFonts w:ascii="Times New Roman"/>
          <w:b w:val="false"/>
          <w:i w:val="false"/>
          <w:color w:val="000000"/>
          <w:sz w:val="28"/>
        </w:rPr>
        <w:t>
      Финансовые активы могут быть классифицированы в качестве оцениваемых по справедливой стоимости через прибыль или убыток при первоначальном признании, если это повышает значимость представляемой информации, поскольку такая классификация исключает или существенно уменьшает несоотвествие оценки или признания, которое в противном случае возникало бы при оценке активов или обязательств либо при признании прибылей или убытков по ним на разной основе.</w:t>
      </w:r>
    </w:p>
    <w:p>
      <w:pPr>
        <w:spacing w:after="0"/>
        <w:ind w:left="0"/>
        <w:jc w:val="both"/>
      </w:pPr>
      <w:r>
        <w:rPr>
          <w:rFonts w:ascii="Times New Roman"/>
          <w:b w:val="false"/>
          <w:i w:val="false"/>
          <w:color w:val="000000"/>
          <w:sz w:val="28"/>
        </w:rPr>
        <w:t xml:space="preserve">
      Инвестиции, имеющиеся в наличии для продажи, представляют собой непроизводные финансовые активы, классифицируемые в качестве имеющихся в наличии для продажи, и не включенные в любую из трех вышеназванных категорий. </w:t>
      </w:r>
    </w:p>
    <w:p>
      <w:pPr>
        <w:spacing w:after="0"/>
        <w:ind w:left="0"/>
        <w:jc w:val="both"/>
      </w:pPr>
      <w:r>
        <w:rPr>
          <w:rFonts w:ascii="Times New Roman"/>
          <w:b w:val="false"/>
          <w:i w:val="false"/>
          <w:color w:val="000000"/>
          <w:sz w:val="28"/>
        </w:rPr>
        <w:t>
      После первоначального отражения в учете, инвестиции, имеющиеся в наличии для продажи, оцениваются по справедливой стоимости, при этом прибыли и убытки отражаются в качестве отдельного компонента в составе капитала до момента прекращения признания или обесценения инвестиции. В этом случае совокупная прибыль или убыток, ранее отраженные в составе капитала, включаются в прибыли и убытки. Восстановление убытков от обесценения, связанных с долевыми инструментами, не отражается в прибылях и убытках. Убытки от обесценения, связанные с долговыми инструментами, сторнируются в составе прибыли или убытка, в случае если превышение справедливой стоимости инструмента может быть объективно отнесено к событию, произошедшему после признания убытка от обесценения.</w:t>
      </w:r>
    </w:p>
    <w:p>
      <w:pPr>
        <w:spacing w:after="0"/>
        <w:ind w:left="0"/>
        <w:jc w:val="both"/>
      </w:pPr>
      <w:r>
        <w:rPr>
          <w:rFonts w:ascii="Times New Roman"/>
          <w:b w:val="false"/>
          <w:i w:val="false"/>
          <w:color w:val="000000"/>
          <w:sz w:val="28"/>
        </w:rPr>
        <w:t>
      Справедливая стоимость инвестиций, активно обращающихся на организованных финансовых рынках, определяется по рыночным котировкам на покупку на момент окончания торгов на отчетную дату. Справедливая стоимость инвестиций, не имеющих активного обращения на рынке, определяется с использованием методов оценки, в том числе по аналогии с последними по времени сделками, заключенными на рыночных условиях, а также на основании текущей рыночной стоимости финансового инструмента, практически идентичного рассматриваемому инструменту, или исходя из анализа дисконтированных денежных потоков.</w:t>
      </w:r>
    </w:p>
    <w:bookmarkStart w:name="z271" w:id="270"/>
    <w:p>
      <w:pPr>
        <w:spacing w:after="0"/>
        <w:ind w:left="0"/>
        <w:jc w:val="both"/>
      </w:pPr>
      <w:r>
        <w:rPr>
          <w:rFonts w:ascii="Times New Roman"/>
          <w:b w:val="false"/>
          <w:i w:val="false"/>
          <w:color w:val="000000"/>
          <w:sz w:val="28"/>
        </w:rPr>
        <w:t xml:space="preserve">
      </w:t>
      </w:r>
      <w:r>
        <w:rPr>
          <w:rFonts w:ascii="Times New Roman"/>
          <w:b/>
          <w:i w:val="false"/>
          <w:color w:val="000000"/>
          <w:sz w:val="28"/>
        </w:rPr>
        <w:t>Обесценение финансовых активов</w:t>
      </w:r>
    </w:p>
    <w:bookmarkEnd w:id="270"/>
    <w:p>
      <w:pPr>
        <w:spacing w:after="0"/>
        <w:ind w:left="0"/>
        <w:jc w:val="both"/>
      </w:pPr>
      <w:r>
        <w:rPr>
          <w:rFonts w:ascii="Times New Roman"/>
          <w:b w:val="false"/>
          <w:i w:val="false"/>
          <w:color w:val="000000"/>
          <w:sz w:val="28"/>
        </w:rPr>
        <w:t>
      На каждую отчетную дату Группа определяет, произошло ли обесценение финансового актива или группы финансовых активов.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Активы, учитываемые по амортизированной стоимости</w:t>
      </w:r>
    </w:p>
    <w:p>
      <w:pPr>
        <w:spacing w:after="0"/>
        <w:ind w:left="0"/>
        <w:jc w:val="both"/>
      </w:pPr>
      <w:r>
        <w:rPr>
          <w:rFonts w:ascii="Times New Roman"/>
          <w:b w:val="false"/>
          <w:i w:val="false"/>
          <w:color w:val="000000"/>
          <w:sz w:val="28"/>
        </w:rPr>
        <w:t>
      Если существует объективное свидетельство появления убытков от обесценения по активам, которые учитываются по амортизированной стоимости, сумма убытка оценивается как разница между балансовой стоимостью актива и текущей стоимостью ожидаемых будущих денежных потоков (за исключением будущих кредитных потерь, которые еще не возникли), дисконтированных по первоначальной эффективной ставке процента по финансовому активу (то есть по эффективной процентной ставке, рассчитанной при первоначальном признании). Балансовая стоимость актива должна быть снижена с использованием резерва. Сумма убытка признается в прибылях или убытках.</w:t>
      </w:r>
    </w:p>
    <w:p>
      <w:pPr>
        <w:spacing w:after="0"/>
        <w:ind w:left="0"/>
        <w:jc w:val="both"/>
      </w:pPr>
      <w:r>
        <w:rPr>
          <w:rFonts w:ascii="Times New Roman"/>
          <w:b w:val="false"/>
          <w:i w:val="false"/>
          <w:color w:val="000000"/>
          <w:sz w:val="28"/>
        </w:rPr>
        <w:t xml:space="preserve">
      Если в последующий период сумма убытка от обесценения уменьшается, и такое уменьшение может быть объективно связано с событием, произошедшим после того, как было признано обесценение, ранее признанный убыток от обесценения восстанавливается. Любое последующее восстановление убытка от обесценения признается в прибылях и убытках в таком объеме, чтобы балансовая стоимость актива не превышала амортизированную стоимость этого актива на дату восстановления. </w:t>
      </w:r>
    </w:p>
    <w:p>
      <w:pPr>
        <w:spacing w:after="0"/>
        <w:ind w:left="0"/>
        <w:jc w:val="both"/>
      </w:pPr>
      <w:r>
        <w:rPr>
          <w:rFonts w:ascii="Times New Roman"/>
          <w:b w:val="false"/>
          <w:i w:val="false"/>
          <w:color w:val="000000"/>
          <w:sz w:val="28"/>
        </w:rPr>
        <w:t>
      По торговой дебиторской задолженности создается резерв по сомнительной задолженности в том случае, если существует объективное свидетельство (например, вероятность неплатежеспособности или других существенных финансовых затруднений дебитора) того, что Группа не получит все суммы, причитающиеся ей в соответствии с первоначальными условиями счета-фактуры. Балансовая стоимость дебиторской задолженности уменьшается посредством использования счета резерва. Обесцененные задолженности прекращают признаваться, если они считаются безнадежными.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инвестиции, имеющиеся в наличии для продажи</w:t>
      </w:r>
    </w:p>
    <w:p>
      <w:pPr>
        <w:spacing w:after="0"/>
        <w:ind w:left="0"/>
        <w:jc w:val="both"/>
      </w:pPr>
      <w:r>
        <w:rPr>
          <w:rFonts w:ascii="Times New Roman"/>
          <w:b w:val="false"/>
          <w:i w:val="false"/>
          <w:color w:val="000000"/>
          <w:sz w:val="28"/>
        </w:rPr>
        <w:t xml:space="preserve">
      При наличии объективных свидетельств того, что первоначальная стоимость может не быть возмещена, долевая ценная бумага, имеющаяся в наличии для продажи, считается обесцененной. Объективные свидетельства того, что первоначальная стоимость может не быть возмещена, в дополнение к качественным критериям обесценения, включают значительное или продолжительное снижение справедливой стоимости ниже величины первоначальной стоимости. </w:t>
      </w:r>
    </w:p>
    <w:p>
      <w:pPr>
        <w:spacing w:after="0"/>
        <w:ind w:left="0"/>
        <w:jc w:val="both"/>
      </w:pPr>
      <w:r>
        <w:rPr>
          <w:rFonts w:ascii="Times New Roman"/>
          <w:b w:val="false"/>
          <w:i w:val="false"/>
          <w:color w:val="000000"/>
          <w:sz w:val="28"/>
        </w:rPr>
        <w:t xml:space="preserve">
      Если долевая ценная бумага, имеющаяся в наличии для продажи, обесценивается согласно качественным или количественным критериям обесценения, установленным Фондом, последующее снижение справедливой стоимости на последующие отчетные даты признается как обесценение. Таким образом, в каждом отчетном периоде в отношении долевой ценной бумаги, которая была определена как подвергнувшаяся обесценению согласно критериям обесценения Фонда, обесценение признается в размере разницы между справедливой стоимостью и первоначальной стоимостью за вычетом ранее признанного обесценения. </w:t>
      </w:r>
    </w:p>
    <w:bookmarkStart w:name="z272" w:id="271"/>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Производные финансовые инструменты</w:t>
      </w:r>
    </w:p>
    <w:bookmarkEnd w:id="271"/>
    <w:p>
      <w:pPr>
        <w:spacing w:after="0"/>
        <w:ind w:left="0"/>
        <w:jc w:val="both"/>
      </w:pPr>
      <w:r>
        <w:rPr>
          <w:rFonts w:ascii="Times New Roman"/>
          <w:b w:val="false"/>
          <w:i w:val="false"/>
          <w:color w:val="000000"/>
          <w:sz w:val="28"/>
        </w:rPr>
        <w:t>
      В ходе своей обычной деятельности Группа осуществляет операции с различными производными финансовыми инструментами, включая фьючерсы, форварды, свопы и опционы, на валютных рынках и рынках капитала, форвардные и своп контракты по сырой нефти, для хеджирования своих рисков, связанных с колебаниями цен на сырьевые товары. Такие финансовые инструменты в основном удерживаются для торговых целей и первоначально признаются в соответствии с политикой признания финансовых инструментов, а впоследствии оцениваются по их справедливой стоимости. Справедливая стоимость рассчитывается на основе зарегистрированной биржевой цены или ценовых моделях, которые принимают во внимание текущие рыночные и контрактные цены соответствующих инструментов и другие факторы. Производные финансовые инструменты учитываются как активы (нереализованный доход), когда справедливая стоимость является положительной, и как обязательства (нереализованный убыток), когда справедливая стоимость является отрицательной. Прибыли и убытки от операций с указанными инструментами отражаются в консолидированном отчете о прибылях и убытках.</w:t>
      </w:r>
    </w:p>
    <w:bookmarkStart w:name="z273" w:id="272"/>
    <w:p>
      <w:pPr>
        <w:spacing w:after="0"/>
        <w:ind w:left="0"/>
        <w:jc w:val="both"/>
      </w:pPr>
      <w:r>
        <w:rPr>
          <w:rFonts w:ascii="Times New Roman"/>
          <w:b w:val="false"/>
          <w:i w:val="false"/>
          <w:color w:val="000000"/>
          <w:sz w:val="28"/>
        </w:rPr>
        <w:t xml:space="preserve">
      </w:t>
      </w:r>
      <w:r>
        <w:rPr>
          <w:rFonts w:ascii="Times New Roman"/>
          <w:b/>
          <w:i w:val="false"/>
          <w:color w:val="000000"/>
          <w:sz w:val="28"/>
        </w:rPr>
        <w:t>Запасы</w:t>
      </w:r>
    </w:p>
    <w:bookmarkEnd w:id="272"/>
    <w:p>
      <w:pPr>
        <w:spacing w:after="0"/>
        <w:ind w:left="0"/>
        <w:jc w:val="both"/>
      </w:pPr>
      <w:r>
        <w:rPr>
          <w:rFonts w:ascii="Times New Roman"/>
          <w:b w:val="false"/>
          <w:i w:val="false"/>
          <w:color w:val="000000"/>
          <w:sz w:val="28"/>
        </w:rPr>
        <w:t>
      Запасы оценены по наименьшему из значений себестоимости или чистой стоимости реализации. Себестоимость включает в себя затраты, понесенные в связи с доставкой и приведением запасов в текущее состояние. Чистая стоимость реализации представляет собой оценку цены реализации запасов в ходе обычной деятельности за вычетом затрат на завершение и расчетных затрат на реализацию. Аналогичная формула вычисления затрат используется для всех запасов, имеющих аналогичные характеристики и назначение. Запасы операционного Нефтегазового и Энергетического сегментов оцениваются на основе метода ФИФО. Все остальные запасы оцениваются на основе средневзвешенной стоимости.</w:t>
      </w:r>
    </w:p>
    <w:bookmarkStart w:name="z274" w:id="273"/>
    <w:p>
      <w:pPr>
        <w:spacing w:after="0"/>
        <w:ind w:left="0"/>
        <w:jc w:val="both"/>
      </w:pPr>
      <w:r>
        <w:rPr>
          <w:rFonts w:ascii="Times New Roman"/>
          <w:b w:val="false"/>
          <w:i w:val="false"/>
          <w:color w:val="000000"/>
          <w:sz w:val="28"/>
        </w:rPr>
        <w:t xml:space="preserve">
      </w:t>
      </w:r>
      <w:r>
        <w:rPr>
          <w:rFonts w:ascii="Times New Roman"/>
          <w:b/>
          <w:i w:val="false"/>
          <w:color w:val="000000"/>
          <w:sz w:val="28"/>
        </w:rPr>
        <w:t>Денежные средства и их эквиваленты</w:t>
      </w:r>
    </w:p>
    <w:bookmarkEnd w:id="273"/>
    <w:p>
      <w:pPr>
        <w:spacing w:after="0"/>
        <w:ind w:left="0"/>
        <w:jc w:val="both"/>
      </w:pPr>
      <w:r>
        <w:rPr>
          <w:rFonts w:ascii="Times New Roman"/>
          <w:b w:val="false"/>
          <w:i w:val="false"/>
          <w:color w:val="000000"/>
          <w:sz w:val="28"/>
        </w:rPr>
        <w:t>
      Денежные средства и их эквиваленты включают наличность в кассе, срочные вклады, краткосрочные и высоколиквидные инвестиции со сроком погашения не более трех месяцев, которые свободно конвертируются в заранее оговоренные суммы денежных средств, и которые подвержены незначительному уровню риска, связанного с изменением их стоимости.</w:t>
      </w:r>
    </w:p>
    <w:bookmarkStart w:name="z275" w:id="274"/>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Финансовые обязательства</w:t>
      </w:r>
    </w:p>
    <w:bookmarkEnd w:id="274"/>
    <w:p>
      <w:pPr>
        <w:spacing w:after="0"/>
        <w:ind w:left="0"/>
        <w:jc w:val="both"/>
      </w:pPr>
      <w:r>
        <w:rPr>
          <w:rFonts w:ascii="Times New Roman"/>
          <w:b w:val="false"/>
          <w:i w:val="false"/>
          <w:color w:val="000000"/>
          <w:sz w:val="28"/>
        </w:rPr>
        <w:t xml:space="preserve">
      </w:t>
      </w:r>
      <w:r>
        <w:rPr>
          <w:rFonts w:ascii="Times New Roman"/>
          <w:b w:val="false"/>
          <w:i/>
          <w:color w:val="000000"/>
          <w:sz w:val="28"/>
        </w:rPr>
        <w:t>Займы и привлеченные средства</w:t>
      </w:r>
    </w:p>
    <w:p>
      <w:pPr>
        <w:spacing w:after="0"/>
        <w:ind w:left="0"/>
        <w:jc w:val="both"/>
      </w:pPr>
      <w:r>
        <w:rPr>
          <w:rFonts w:ascii="Times New Roman"/>
          <w:b w:val="false"/>
          <w:i w:val="false"/>
          <w:color w:val="000000"/>
          <w:sz w:val="28"/>
        </w:rPr>
        <w:t xml:space="preserve">
      Займы, первоначально признаются по справедливой стоимости, за вычетом расходов по сделке. В последующих периодах займы отражаются по амортизированной стоимости; разница между справедливой стоимостью полученных средств (за вычетом расходов по сделке) и суммой к погашению отражается в консолидированном отчете о прибылях и убытках в течение срока, на который выдан займ с использованием метода эффективной ставки процента. Займы классифицируются как текущие обязательства, если только Группа не обладает безусловным правом отсрочить выплату как минимум на 12 (двенадцать) месяцев после отчетной даты. </w:t>
      </w:r>
    </w:p>
    <w:p>
      <w:pPr>
        <w:spacing w:after="0"/>
        <w:ind w:left="0"/>
        <w:jc w:val="both"/>
      </w:pPr>
      <w:r>
        <w:rPr>
          <w:rFonts w:ascii="Times New Roman"/>
          <w:b w:val="false"/>
          <w:i w:val="false"/>
          <w:color w:val="000000"/>
          <w:sz w:val="28"/>
        </w:rPr>
        <w:t>
      Выпущенные финансовые инструменты или их компоненты, классифицируются как займы, если в результате договорного соглашения Группа имеет обязательство либо поставить денежные средства или иные финансовые активы, либо исполнить обязательство иным образом, чем посредством обмена фиксированной суммы денежных средств или других финансовых активов на фиксированное число собственных долевых инструментов. Такие инструменты включают средства Правительства и займы полученные от кредитных учреждений, которые первоначально учитываются по справедливой стоимости полученных средств за вычетом затрат, непосредственно связанных со сделкой. Впоследствии, полученные средства отражаются по амортизированной стоимости.</w:t>
      </w:r>
    </w:p>
    <w:p>
      <w:pPr>
        <w:spacing w:after="0"/>
        <w:ind w:left="0"/>
        <w:jc w:val="both"/>
      </w:pPr>
      <w:r>
        <w:rPr>
          <w:rFonts w:ascii="Times New Roman"/>
          <w:b w:val="false"/>
          <w:i w:val="false"/>
          <w:color w:val="000000"/>
          <w:sz w:val="28"/>
        </w:rPr>
        <w:t xml:space="preserve">
      Затраты по займам, которые непосредственно относятся к приобретению, строительству или производству квалифицируемого актива, капитализируются как часть стоимости такого актива. Прочие затраты по займам признаются как расходы в момент возникновения.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Конвертируемые долговые инструменты</w:t>
      </w:r>
    </w:p>
    <w:p>
      <w:pPr>
        <w:spacing w:after="0"/>
        <w:ind w:left="0"/>
        <w:jc w:val="both"/>
      </w:pPr>
      <w:r>
        <w:rPr>
          <w:rFonts w:ascii="Times New Roman"/>
          <w:b w:val="false"/>
          <w:i w:val="false"/>
          <w:color w:val="000000"/>
          <w:sz w:val="28"/>
        </w:rPr>
        <w:t>
      Компонент конвертируемого долгового инструмента, который имеет характеристики обязательства, признается в бухгалтерском балансе как обязательство, за вычетом затрат по сделке. Справедливая стоимость компонента обязательства определяется по рыночной ставке, применяемой для аналогичных неконвертируемых обязательств; и эта сумма классифицируется как финансовое обязательство, оцениваемое по амортизированной стоимости до погашения при конвертации или выкупе.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Опционы по оставшейся неконтрольной доле участия, возникающие при объединении предприятий</w:t>
      </w:r>
    </w:p>
    <w:p>
      <w:pPr>
        <w:spacing w:after="0"/>
        <w:ind w:left="0"/>
        <w:jc w:val="both"/>
      </w:pPr>
      <w:r>
        <w:rPr>
          <w:rFonts w:ascii="Times New Roman"/>
          <w:b w:val="false"/>
          <w:i w:val="false"/>
          <w:color w:val="000000"/>
          <w:sz w:val="28"/>
        </w:rPr>
        <w:t xml:space="preserve">
      Если при объединении предприятий Группа становится стороной опциона пут по оставшейся неконтрольной доле участия в приобретенном предприятии, Группа оценивает, дает ли участие в таком опционе доступ к выгодам и рискам, связанным с правом собственности на такую неконтрольную долю участия. </w:t>
      </w:r>
    </w:p>
    <w:p>
      <w:pPr>
        <w:spacing w:after="0"/>
        <w:ind w:left="0"/>
        <w:jc w:val="both"/>
      </w:pPr>
      <w:r>
        <w:rPr>
          <w:rFonts w:ascii="Times New Roman"/>
          <w:b w:val="false"/>
          <w:i w:val="false"/>
          <w:color w:val="000000"/>
          <w:sz w:val="28"/>
        </w:rPr>
        <w:t xml:space="preserve">
      Когда установлено, что опцион пут по оставшимся акциям дает доступ к выгодам и рискам долевого владения, объединение предприятий учитывается на основании того, что акции, обусловленные опционом пут, были приобретены. Справедливая стоимость обязательства для акционеров неконтрольной доли по опциону пут, признается как часть стоимости объединения предприятий. Любая разница между такой стоимостью и долей в чистых активах, которая в ином случае рассматривалась бы как относящаяся к неконтрольной доле участия, отражается в составе гудвилла. Любые дивиденды, впоследствии объявленные и выплаченные таким неконтролирующим акционерам, до исполнения опциона, напрямую отражаются в прибылях и убытках. </w:t>
      </w:r>
    </w:p>
    <w:p>
      <w:pPr>
        <w:spacing w:after="0"/>
        <w:ind w:left="0"/>
        <w:jc w:val="both"/>
      </w:pPr>
      <w:r>
        <w:rPr>
          <w:rFonts w:ascii="Times New Roman"/>
          <w:b w:val="false"/>
          <w:i w:val="false"/>
          <w:color w:val="000000"/>
          <w:sz w:val="28"/>
        </w:rPr>
        <w:t>
      Впоследствии, финансовое обязательство оценивается в соответствии с требованиями МСБУ 39. Изменения в справедливой стоимости финансового обязательства, а также любые финансовые выплаты напрямую учитываются в консолидированном отчете о прибылях и убытках.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Опционы по приобретенной доле, возникающие при приобретении инвестиций в ассоциированные компании и активов, предназначенных для продажи</w:t>
      </w:r>
    </w:p>
    <w:p>
      <w:pPr>
        <w:spacing w:after="0"/>
        <w:ind w:left="0"/>
        <w:jc w:val="both"/>
      </w:pPr>
      <w:r>
        <w:rPr>
          <w:rFonts w:ascii="Times New Roman"/>
          <w:b w:val="false"/>
          <w:i w:val="false"/>
          <w:color w:val="000000"/>
          <w:sz w:val="28"/>
        </w:rPr>
        <w:t xml:space="preserve">
      Если при приобретении инвестиций Фонд наделяет третью сторону опционом колл по приобретенной доле в предприятии, Фонд оценивает, дает ли участие в таком опционе третьей стороне доступ к выгодам и рискам, связанным с правом собственности на такую долю. </w:t>
      </w:r>
    </w:p>
    <w:p>
      <w:pPr>
        <w:spacing w:after="0"/>
        <w:ind w:left="0"/>
        <w:jc w:val="both"/>
      </w:pPr>
      <w:r>
        <w:rPr>
          <w:rFonts w:ascii="Times New Roman"/>
          <w:b w:val="false"/>
          <w:i w:val="false"/>
          <w:color w:val="000000"/>
          <w:sz w:val="28"/>
        </w:rPr>
        <w:t xml:space="preserve">
      В случае если опцион колл по приобретенной доле не дает доступа третьей стороне к выгодам и рискам долевого владения, данный опцион не учитывается при определении существенного влияния Фонда. </w:t>
      </w:r>
    </w:p>
    <w:p>
      <w:pPr>
        <w:spacing w:after="0"/>
        <w:ind w:left="0"/>
        <w:jc w:val="both"/>
      </w:pPr>
      <w:r>
        <w:rPr>
          <w:rFonts w:ascii="Times New Roman"/>
          <w:b w:val="false"/>
          <w:i w:val="false"/>
          <w:color w:val="000000"/>
          <w:sz w:val="28"/>
        </w:rPr>
        <w:t>
      Справедливая стоимость обязательства для Фонда по опциону признается как часть стоимости приобретенных инвестиций. Впоследствии, финансовое обязательство оценивается в соответствии с требованиями МСБУ 39 "Финансовые инструменты: признание и оценка". Изменения в справедливой стоимости финансового обязательства, а также любые доходы или расходы связанные с реализацией данных опционов учитываются в консолидированном отчете о прибылях и убытках.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Торговая и прочая кредиторская задолженность</w:t>
      </w:r>
    </w:p>
    <w:p>
      <w:pPr>
        <w:spacing w:after="0"/>
        <w:ind w:left="0"/>
        <w:jc w:val="both"/>
      </w:pPr>
      <w:r>
        <w:rPr>
          <w:rFonts w:ascii="Times New Roman"/>
          <w:b w:val="false"/>
          <w:i w:val="false"/>
          <w:color w:val="000000"/>
          <w:sz w:val="28"/>
        </w:rPr>
        <w:t>
      Обязательства по торговой и прочей кредиторской задолженности учитываются по первоначальной стоимости, которая является справедливой стоимостью суммы, которая должна быть уплачена в будущем за полученные товары и услуги, независимо от того были ли выставлены счета Группе.</w:t>
      </w:r>
    </w:p>
    <w:bookmarkStart w:name="z276" w:id="275"/>
    <w:p>
      <w:pPr>
        <w:spacing w:after="0"/>
        <w:ind w:left="0"/>
        <w:jc w:val="both"/>
      </w:pPr>
      <w:r>
        <w:rPr>
          <w:rFonts w:ascii="Times New Roman"/>
          <w:b w:val="false"/>
          <w:i w:val="false"/>
          <w:color w:val="000000"/>
          <w:sz w:val="28"/>
        </w:rPr>
        <w:t xml:space="preserve">
      </w:t>
      </w:r>
      <w:r>
        <w:rPr>
          <w:rFonts w:ascii="Times New Roman"/>
          <w:b/>
          <w:i w:val="false"/>
          <w:color w:val="000000"/>
          <w:sz w:val="28"/>
        </w:rPr>
        <w:t>Прекращение признания финансовых активов и обязательств</w:t>
      </w:r>
    </w:p>
    <w:bookmarkEnd w:id="275"/>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активы</w:t>
      </w:r>
    </w:p>
    <w:p>
      <w:pPr>
        <w:spacing w:after="0"/>
        <w:ind w:left="0"/>
        <w:jc w:val="both"/>
      </w:pPr>
      <w:r>
        <w:rPr>
          <w:rFonts w:ascii="Times New Roman"/>
          <w:b w:val="false"/>
          <w:i w:val="false"/>
          <w:color w:val="000000"/>
          <w:sz w:val="28"/>
        </w:rPr>
        <w:t>
      Финансовый актив (или, где применимо – часть финансового актива или часть группы аналогичных финансовых активов) прекращает учитываться в бухгалтерском балансе, если:</w:t>
      </w:r>
    </w:p>
    <w:p>
      <w:pPr>
        <w:spacing w:after="0"/>
        <w:ind w:left="0"/>
        <w:jc w:val="both"/>
      </w:pPr>
      <w:r>
        <w:rPr>
          <w:rFonts w:ascii="Times New Roman"/>
          <w:b w:val="false"/>
          <w:i w:val="false"/>
          <w:color w:val="000000"/>
          <w:sz w:val="28"/>
        </w:rPr>
        <w:t>
      - срок действия прав на получение денежных потоков от актива истек;</w:t>
      </w:r>
    </w:p>
    <w:p>
      <w:pPr>
        <w:spacing w:after="0"/>
        <w:ind w:left="0"/>
        <w:jc w:val="both"/>
      </w:pPr>
      <w:r>
        <w:rPr>
          <w:rFonts w:ascii="Times New Roman"/>
          <w:b w:val="false"/>
          <w:i w:val="false"/>
          <w:color w:val="000000"/>
          <w:sz w:val="28"/>
        </w:rPr>
        <w:t>
      - Группа сохраняет за собой право получать денежные потоки от актива, но приняла на себя обязательство передать их полностью без существенной задержки третьей стороне в соответствии с соглашением о перераспределении; или</w:t>
      </w:r>
    </w:p>
    <w:p>
      <w:pPr>
        <w:spacing w:after="0"/>
        <w:ind w:left="0"/>
        <w:jc w:val="both"/>
      </w:pPr>
      <w:r>
        <w:rPr>
          <w:rFonts w:ascii="Times New Roman"/>
          <w:b w:val="false"/>
          <w:i w:val="false"/>
          <w:color w:val="000000"/>
          <w:sz w:val="28"/>
        </w:rPr>
        <w:t>
      - Группа передала свои права на получение денежных потоков от актива и либо (a) передала все существенные риски и вознаграждения от актива, либо (б) не передала, но и не сохраняет за собой, все существенные риски и вознаграждения от актива, но передала контроль над данным активом.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обязательства</w:t>
      </w:r>
    </w:p>
    <w:p>
      <w:pPr>
        <w:spacing w:after="0"/>
        <w:ind w:left="0"/>
        <w:jc w:val="both"/>
      </w:pPr>
      <w:r>
        <w:rPr>
          <w:rFonts w:ascii="Times New Roman"/>
          <w:b w:val="false"/>
          <w:i w:val="false"/>
          <w:color w:val="000000"/>
          <w:sz w:val="28"/>
        </w:rPr>
        <w:t>
      Финансовое обязательство прекращает признаваться в бухгалтерском балансе, если обязательство погашено, аннулировано, или срок его действия истек.</w:t>
      </w:r>
    </w:p>
    <w:bookmarkStart w:name="z277" w:id="276"/>
    <w:p>
      <w:pPr>
        <w:spacing w:after="0"/>
        <w:ind w:left="0"/>
        <w:jc w:val="both"/>
      </w:pPr>
      <w:r>
        <w:rPr>
          <w:rFonts w:ascii="Times New Roman"/>
          <w:b w:val="false"/>
          <w:i w:val="false"/>
          <w:color w:val="000000"/>
          <w:sz w:val="28"/>
        </w:rPr>
        <w:t xml:space="preserve">
      </w:t>
      </w:r>
      <w:r>
        <w:rPr>
          <w:rFonts w:ascii="Times New Roman"/>
          <w:b/>
          <w:i w:val="false"/>
          <w:color w:val="000000"/>
          <w:sz w:val="28"/>
        </w:rPr>
        <w:t>Взаимозачет финансовых инструментов</w:t>
      </w:r>
    </w:p>
    <w:bookmarkEnd w:id="276"/>
    <w:p>
      <w:pPr>
        <w:spacing w:after="0"/>
        <w:ind w:left="0"/>
        <w:jc w:val="both"/>
      </w:pPr>
      <w:r>
        <w:rPr>
          <w:rFonts w:ascii="Times New Roman"/>
          <w:b w:val="false"/>
          <w:i w:val="false"/>
          <w:color w:val="000000"/>
          <w:sz w:val="28"/>
        </w:rPr>
        <w:t>
      Финансовые активы и финансовые обязательства подлежат взаимозачету, а нетто-сумма представлению в консолидированном бухгалтерском балансе тогда и только тогда:</w:t>
      </w:r>
    </w:p>
    <w:p>
      <w:pPr>
        <w:spacing w:after="0"/>
        <w:ind w:left="0"/>
        <w:jc w:val="both"/>
      </w:pPr>
      <w:r>
        <w:rPr>
          <w:rFonts w:ascii="Times New Roman"/>
          <w:b w:val="false"/>
          <w:i w:val="false"/>
          <w:color w:val="000000"/>
          <w:sz w:val="28"/>
        </w:rPr>
        <w:t>
      - когда имеется осуществимое в настоящий момент юридическое право на взаимозачет признанных сумм;</w:t>
      </w:r>
    </w:p>
    <w:p>
      <w:pPr>
        <w:spacing w:after="0"/>
        <w:ind w:left="0"/>
        <w:jc w:val="both"/>
      </w:pPr>
      <w:r>
        <w:rPr>
          <w:rFonts w:ascii="Times New Roman"/>
          <w:b w:val="false"/>
          <w:i w:val="false"/>
          <w:color w:val="000000"/>
          <w:sz w:val="28"/>
        </w:rPr>
        <w:t>
      - когда имеется намерение произвести расчет на нетто-основе, либо реализовать активы и одновременно с этим погасить обязательства.</w:t>
      </w:r>
    </w:p>
    <w:bookmarkStart w:name="z278" w:id="277"/>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Справедливая стоимость финансовых инструментов</w:t>
      </w:r>
    </w:p>
    <w:bookmarkEnd w:id="277"/>
    <w:p>
      <w:pPr>
        <w:spacing w:after="0"/>
        <w:ind w:left="0"/>
        <w:jc w:val="both"/>
      </w:pPr>
      <w:r>
        <w:rPr>
          <w:rFonts w:ascii="Times New Roman"/>
          <w:b w:val="false"/>
          <w:i w:val="false"/>
          <w:color w:val="000000"/>
          <w:sz w:val="28"/>
        </w:rPr>
        <w:t>
      Справедливая стоимость финансовых инструментов, торговля которыми осуществляется на активных рынках на каждую отчетную дату, определяется исходя из рыночных котировок или котировок дилеров (котировки на покупку для длинных позиций и котировки на продажу для коротких позиций), без вычета затрат по сделке.</w:t>
      </w:r>
    </w:p>
    <w:p>
      <w:pPr>
        <w:spacing w:after="0"/>
        <w:ind w:left="0"/>
        <w:jc w:val="both"/>
      </w:pPr>
      <w:r>
        <w:rPr>
          <w:rFonts w:ascii="Times New Roman"/>
          <w:b w:val="false"/>
          <w:i w:val="false"/>
          <w:color w:val="000000"/>
          <w:sz w:val="28"/>
        </w:rPr>
        <w:t>
      Для финансовых инструментов, торговля которыми не осуществляется на активном рынке, справедливая стоимость определяется путем применения соответствующих методик оценки. Такие методики могут включать:</w:t>
      </w:r>
    </w:p>
    <w:p>
      <w:pPr>
        <w:spacing w:after="0"/>
        <w:ind w:left="0"/>
        <w:jc w:val="both"/>
      </w:pPr>
      <w:r>
        <w:rPr>
          <w:rFonts w:ascii="Times New Roman"/>
          <w:b w:val="false"/>
          <w:i w:val="false"/>
          <w:color w:val="000000"/>
          <w:sz w:val="28"/>
        </w:rPr>
        <w:t>
      - использование цен недавно проведенных на коммерческой основе сделок;</w:t>
      </w:r>
    </w:p>
    <w:p>
      <w:pPr>
        <w:spacing w:after="0"/>
        <w:ind w:left="0"/>
        <w:jc w:val="both"/>
      </w:pPr>
      <w:r>
        <w:rPr>
          <w:rFonts w:ascii="Times New Roman"/>
          <w:b w:val="false"/>
          <w:i w:val="false"/>
          <w:color w:val="000000"/>
          <w:sz w:val="28"/>
        </w:rPr>
        <w:t>
      - использование текущей справедливой стоимости аналогичных инструментов;</w:t>
      </w:r>
    </w:p>
    <w:p>
      <w:pPr>
        <w:spacing w:after="0"/>
        <w:ind w:left="0"/>
        <w:jc w:val="both"/>
      </w:pPr>
      <w:r>
        <w:rPr>
          <w:rFonts w:ascii="Times New Roman"/>
          <w:b w:val="false"/>
          <w:i w:val="false"/>
          <w:color w:val="000000"/>
          <w:sz w:val="28"/>
        </w:rPr>
        <w:t>
      - анализ дисконтированных денежных потоков, либо другие модели оценки.</w:t>
      </w:r>
    </w:p>
    <w:p>
      <w:pPr>
        <w:spacing w:after="0"/>
        <w:ind w:left="0"/>
        <w:jc w:val="both"/>
      </w:pPr>
      <w:r>
        <w:rPr>
          <w:rFonts w:ascii="Times New Roman"/>
          <w:b w:val="false"/>
          <w:i w:val="false"/>
          <w:color w:val="000000"/>
          <w:sz w:val="28"/>
        </w:rPr>
        <w:t xml:space="preserve">
      Анализ справедливой стоимости финансовых инструментов и дополнительная информация о методах ее определения приводится в </w:t>
      </w:r>
      <w:r>
        <w:rPr>
          <w:rFonts w:ascii="Times New Roman"/>
          <w:b w:val="false"/>
          <w:i/>
          <w:color w:val="000000"/>
          <w:sz w:val="28"/>
        </w:rPr>
        <w:t>Примечании 12</w:t>
      </w:r>
      <w:r>
        <w:rPr>
          <w:rFonts w:ascii="Times New Roman"/>
          <w:b w:val="false"/>
          <w:i w:val="false"/>
          <w:color w:val="000000"/>
          <w:sz w:val="28"/>
        </w:rPr>
        <w:t>.</w:t>
      </w:r>
    </w:p>
    <w:bookmarkStart w:name="z279" w:id="278"/>
    <w:p>
      <w:pPr>
        <w:spacing w:after="0"/>
        <w:ind w:left="0"/>
        <w:jc w:val="both"/>
      </w:pPr>
      <w:r>
        <w:rPr>
          <w:rFonts w:ascii="Times New Roman"/>
          <w:b w:val="false"/>
          <w:i w:val="false"/>
          <w:color w:val="000000"/>
          <w:sz w:val="28"/>
        </w:rPr>
        <w:t xml:space="preserve">
      </w:t>
      </w:r>
      <w:r>
        <w:rPr>
          <w:rFonts w:ascii="Times New Roman"/>
          <w:b/>
          <w:i w:val="false"/>
          <w:color w:val="000000"/>
          <w:sz w:val="28"/>
        </w:rPr>
        <w:t>Аренда</w:t>
      </w:r>
    </w:p>
    <w:bookmarkEnd w:id="278"/>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Операционная аренда</w:t>
      </w:r>
    </w:p>
    <w:p>
      <w:pPr>
        <w:spacing w:after="0"/>
        <w:ind w:left="0"/>
        <w:jc w:val="both"/>
      </w:pPr>
      <w:r>
        <w:rPr>
          <w:rFonts w:ascii="Times New Roman"/>
          <w:b w:val="false"/>
          <w:i w:val="false"/>
          <w:color w:val="000000"/>
          <w:sz w:val="28"/>
        </w:rPr>
        <w:t>
      Аренда имущества, при которой арендодатель фактически сохраняет за собой риски и выгоды, связанные с правом собственности на объект аренды, классифицируется как операционная аренда. Платежи по договору операционной аренды равномерно списываются на расходы в консолидированном отчете о прибылях и убытках в течение срока аренды.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Финансовая аренда</w:t>
      </w:r>
    </w:p>
    <w:p>
      <w:pPr>
        <w:spacing w:after="0"/>
        <w:ind w:left="0"/>
        <w:jc w:val="both"/>
      </w:pPr>
      <w:r>
        <w:rPr>
          <w:rFonts w:ascii="Times New Roman"/>
          <w:b w:val="false"/>
          <w:i w:val="false"/>
          <w:color w:val="000000"/>
          <w:sz w:val="28"/>
        </w:rPr>
        <w:t xml:space="preserve">
      Группа признает договоры финансовой аренды в составе активов и обязательств в консолидированном бухгалтерском балансе на дату начала срока аренды в сумме, равной справедливой стоимости арендованного имущества, или по текущей стоимости минимальных арендных платежей, если эта сумма ниже справедливой стоимости. При расчете текущей стоимости минимальных арендных платежей в качестве коэффициента дисконтирования используется внутренняя ставка процента по договору аренды, если определение такой ставки является возможным. В прочих случаях используется приростная ставка по заемным средствам Группы. Первоначальные прямые затраты учитываются в составе актива. </w:t>
      </w:r>
    </w:p>
    <w:p>
      <w:pPr>
        <w:spacing w:after="0"/>
        <w:ind w:left="0"/>
        <w:jc w:val="both"/>
      </w:pPr>
      <w:r>
        <w:rPr>
          <w:rFonts w:ascii="Times New Roman"/>
          <w:b w:val="false"/>
          <w:i w:val="false"/>
          <w:color w:val="000000"/>
          <w:sz w:val="28"/>
        </w:rPr>
        <w:t xml:space="preserve">
      Арендные платежи распределяются между расходами по финансированию и погашениям обязательства. Расходы по финансированию в течение срока аренды относятся на отчетные периоды таким образом, чтобы обеспечить отражение расходов по постоянной периодической процентной ставке, начисляемой на остаток обязательств, за каждый отчетный период. </w:t>
      </w:r>
    </w:p>
    <w:p>
      <w:pPr>
        <w:spacing w:after="0"/>
        <w:ind w:left="0"/>
        <w:jc w:val="both"/>
      </w:pPr>
      <w:r>
        <w:rPr>
          <w:rFonts w:ascii="Times New Roman"/>
          <w:b w:val="false"/>
          <w:i w:val="false"/>
          <w:color w:val="000000"/>
          <w:sz w:val="28"/>
        </w:rPr>
        <w:t xml:space="preserve">
      Финансовая аренда приводит к увеличению расхода по амортизации в отношении актива, а также к финансовым расходам за каждый отчетный период. Политика амортизации в отношении арендуемого актива соответствует политике по амортизации собственных активов. </w:t>
      </w:r>
    </w:p>
    <w:bookmarkStart w:name="z280" w:id="279"/>
    <w:p>
      <w:pPr>
        <w:spacing w:after="0"/>
        <w:ind w:left="0"/>
        <w:jc w:val="both"/>
      </w:pPr>
      <w:r>
        <w:rPr>
          <w:rFonts w:ascii="Times New Roman"/>
          <w:b w:val="false"/>
          <w:i w:val="false"/>
          <w:color w:val="000000"/>
          <w:sz w:val="28"/>
        </w:rPr>
        <w:t xml:space="preserve">
      </w:t>
      </w:r>
      <w:r>
        <w:rPr>
          <w:rFonts w:ascii="Times New Roman"/>
          <w:b/>
          <w:i w:val="false"/>
          <w:color w:val="000000"/>
          <w:sz w:val="28"/>
        </w:rPr>
        <w:t>Резервы</w:t>
      </w:r>
    </w:p>
    <w:bookmarkEnd w:id="279"/>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Обязательство по выбытию актива (вывод из эксплуатации)</w:t>
      </w:r>
    </w:p>
    <w:p>
      <w:pPr>
        <w:spacing w:after="0"/>
        <w:ind w:left="0"/>
        <w:jc w:val="both"/>
      </w:pPr>
      <w:r>
        <w:rPr>
          <w:rFonts w:ascii="Times New Roman"/>
          <w:b w:val="false"/>
          <w:i w:val="false"/>
          <w:color w:val="000000"/>
          <w:sz w:val="28"/>
        </w:rPr>
        <w:t xml:space="preserve">
      Резервы на вывод из эксплуатации признаются в полном объеме на дисконтированной основе тогда, когда у Группы имеется обязательство по демонтажу и переносу оборудования или механизма и по восстановлению участка, на котором находилось оборудование, а также тогда, когда можно осуществить разумную оценку такого резерва. </w:t>
      </w:r>
    </w:p>
    <w:p>
      <w:pPr>
        <w:spacing w:after="0"/>
        <w:ind w:left="0"/>
        <w:jc w:val="both"/>
      </w:pPr>
      <w:r>
        <w:rPr>
          <w:rFonts w:ascii="Times New Roman"/>
          <w:b w:val="false"/>
          <w:i w:val="false"/>
          <w:color w:val="000000"/>
          <w:sz w:val="28"/>
        </w:rPr>
        <w:t>
      Признаваемая сумма представляет собой текущую стоимость оцененных будущих расходов, определенных в соответствии с местными условиями и требованиями. Также создается соответствующее основное средство, сумма которого эквивалентна размеру резерва. Впоследствии, данный актив амортизируется в рамках капитальных затрат по производственным средствам и средствам транспортировки на основе производственного метода.</w:t>
      </w:r>
    </w:p>
    <w:p>
      <w:pPr>
        <w:spacing w:after="0"/>
        <w:ind w:left="0"/>
        <w:jc w:val="both"/>
      </w:pPr>
      <w:r>
        <w:rPr>
          <w:rFonts w:ascii="Times New Roman"/>
          <w:b w:val="false"/>
          <w:i w:val="false"/>
          <w:color w:val="000000"/>
          <w:sz w:val="28"/>
        </w:rPr>
        <w:t>
      Изменения в оценке существующего резерва по выводу из эксплуатации, которые явились результатом изменений в расчетном сроке или сумме оттока ресурсов, лежащих в основе экономических выгод, необходимых для погашения обязательства, или изменение в ставке дисконтирования, учитывается таким образом, что:</w:t>
      </w:r>
    </w:p>
    <w:p>
      <w:pPr>
        <w:spacing w:after="0"/>
        <w:ind w:left="0"/>
        <w:jc w:val="both"/>
      </w:pPr>
      <w:r>
        <w:rPr>
          <w:rFonts w:ascii="Times New Roman"/>
          <w:b w:val="false"/>
          <w:i w:val="false"/>
          <w:color w:val="000000"/>
          <w:sz w:val="28"/>
        </w:rPr>
        <w:t>
      - изменения в резерве прибавляются или вычитаются из стоимости соответствующего актива в текущем периоде;</w:t>
      </w:r>
    </w:p>
    <w:p>
      <w:pPr>
        <w:spacing w:after="0"/>
        <w:ind w:left="0"/>
        <w:jc w:val="both"/>
      </w:pPr>
      <w:r>
        <w:rPr>
          <w:rFonts w:ascii="Times New Roman"/>
          <w:b w:val="false"/>
          <w:i w:val="false"/>
          <w:color w:val="000000"/>
          <w:sz w:val="28"/>
        </w:rPr>
        <w:t>
      - сумма, вычтенная из стоимости актива, не должна превышать его балансовую стоимость. Если снижение в резерве превышает балансовую стоимость актива, тогда превышение незамедлительно признается в отчетах о прибылях и убытках; и</w:t>
      </w:r>
    </w:p>
    <w:p>
      <w:pPr>
        <w:spacing w:after="0"/>
        <w:ind w:left="0"/>
        <w:jc w:val="both"/>
      </w:pPr>
      <w:r>
        <w:rPr>
          <w:rFonts w:ascii="Times New Roman"/>
          <w:b w:val="false"/>
          <w:i w:val="false"/>
          <w:color w:val="000000"/>
          <w:sz w:val="28"/>
        </w:rPr>
        <w:t>
      - если корректировка приводит к увеличению стоимости актива, Группа рассматривает, является ли это показателем того, что новая балансовая стоимость актива не может быть полностью возмещена. Если это является таким показателем, Группа осуществляет тестирование актива на обесценение посредством оценки его возмещаемой стоимости и учитывает любой убыток по обесценению в соответствии с МСБУ 36.</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Резерв под банковские аккредитивы и гарантии</w:t>
      </w:r>
    </w:p>
    <w:p>
      <w:pPr>
        <w:spacing w:after="0"/>
        <w:ind w:left="0"/>
        <w:jc w:val="both"/>
      </w:pPr>
      <w:r>
        <w:rPr>
          <w:rFonts w:ascii="Times New Roman"/>
          <w:b w:val="false"/>
          <w:i w:val="false"/>
          <w:color w:val="000000"/>
          <w:sz w:val="28"/>
        </w:rPr>
        <w:t>
      В ходе осуществления обычной деятельности Группа предоставляет финансовые гарантии в форме аккредитивов, гарантий и акцептов. Договоры финансовой гарантии первоначально признаются в формах финансовой отчетности по справедливой стоимости по статье "Прочие обязательства" в размере полученной комиссии. После первоначального признания обязательство Группы по каждому договору гарантии оценивается по наибольшей из двух величин: сумма амортизированной комиссии или наилучшая оценка затрат, необходимых для урегулирования финансового обязательства, возникающего по гарантии.</w:t>
      </w:r>
    </w:p>
    <w:p>
      <w:pPr>
        <w:spacing w:after="0"/>
        <w:ind w:left="0"/>
        <w:jc w:val="both"/>
      </w:pPr>
      <w:r>
        <w:rPr>
          <w:rFonts w:ascii="Times New Roman"/>
          <w:b w:val="false"/>
          <w:i w:val="false"/>
          <w:color w:val="000000"/>
          <w:sz w:val="28"/>
        </w:rPr>
        <w:t>
      Увеличение обязательства, связанное с договорами финансовой гарантии, учитывается в отчете о прибылях и убытках. Полученная комиссия признается в прибылях и убытках на линейной основе в течение срока действия договора гарантии.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резервы</w:t>
      </w:r>
    </w:p>
    <w:p>
      <w:pPr>
        <w:spacing w:after="0"/>
        <w:ind w:left="0"/>
        <w:jc w:val="both"/>
      </w:pPr>
      <w:r>
        <w:rPr>
          <w:rFonts w:ascii="Times New Roman"/>
          <w:b w:val="false"/>
          <w:i w:val="false"/>
          <w:color w:val="000000"/>
          <w:sz w:val="28"/>
        </w:rPr>
        <w:t>
      Резервы отражаются в формах финансовой отчетности тогда, когда Группа имеет текущее (правовое или вытекающее из практики) обязательство в результате событий, произошедших в прошлом, а также существует вероятность того, что произойдет отток средств, связанных с экономическими выгодами, для погашения обязательства, и может быть произведена соответствующая достоверная оценка этого обязательства. Если Группа ожидает, что резерв будет возмещен, к примеру, по страховому договору, возмещение отражается как отдельный актив, но только тогда, когда возмещение является практически гарантированным.</w:t>
      </w:r>
    </w:p>
    <w:p>
      <w:pPr>
        <w:spacing w:after="0"/>
        <w:ind w:left="0"/>
        <w:jc w:val="both"/>
      </w:pPr>
      <w:r>
        <w:rPr>
          <w:rFonts w:ascii="Times New Roman"/>
          <w:b w:val="false"/>
          <w:i w:val="false"/>
          <w:color w:val="000000"/>
          <w:sz w:val="28"/>
        </w:rPr>
        <w:t xml:space="preserve">
      Если влияние временной стоимости денежных средств является существенным, резервы рассчитываются посредством дисконтирования ожидаемого будущего движения денежных средств по ставке до уплаты налогов, которая отражает текущую рыночную оценку временной стоимости денежных средств и, там где это уместно, риски, присущие обязательству. При использовании дисконтирования увеличение резерва вследствие истечения времени признается как финансовые затраты. </w:t>
      </w:r>
    </w:p>
    <w:bookmarkStart w:name="z281" w:id="280"/>
    <w:p>
      <w:pPr>
        <w:spacing w:after="0"/>
        <w:ind w:left="0"/>
        <w:jc w:val="both"/>
      </w:pPr>
      <w:r>
        <w:rPr>
          <w:rFonts w:ascii="Times New Roman"/>
          <w:b w:val="false"/>
          <w:i w:val="false"/>
          <w:color w:val="000000"/>
          <w:sz w:val="28"/>
        </w:rPr>
        <w:t xml:space="preserve">
      </w:t>
      </w:r>
      <w:r>
        <w:rPr>
          <w:rFonts w:ascii="Times New Roman"/>
          <w:b/>
          <w:i w:val="false"/>
          <w:color w:val="000000"/>
          <w:sz w:val="28"/>
        </w:rPr>
        <w:t>Вознаграждения работникам</w:t>
      </w:r>
    </w:p>
    <w:bookmarkEnd w:id="280"/>
    <w:p>
      <w:pPr>
        <w:spacing w:after="0"/>
        <w:ind w:left="0"/>
        <w:jc w:val="both"/>
      </w:pPr>
      <w:r>
        <w:rPr>
          <w:rFonts w:ascii="Times New Roman"/>
          <w:b w:val="false"/>
          <w:i w:val="false"/>
          <w:color w:val="000000"/>
          <w:sz w:val="28"/>
        </w:rPr>
        <w:t xml:space="preserve">
      </w:t>
      </w:r>
      <w:r>
        <w:rPr>
          <w:rFonts w:ascii="Times New Roman"/>
          <w:b w:val="false"/>
          <w:i/>
          <w:color w:val="000000"/>
          <w:sz w:val="28"/>
        </w:rPr>
        <w:t>Пенсионный план с установленными взносами</w:t>
      </w:r>
    </w:p>
    <w:p>
      <w:pPr>
        <w:spacing w:after="0"/>
        <w:ind w:left="0"/>
        <w:jc w:val="both"/>
      </w:pPr>
      <w:r>
        <w:rPr>
          <w:rFonts w:ascii="Times New Roman"/>
          <w:b w:val="false"/>
          <w:i w:val="false"/>
          <w:color w:val="000000"/>
          <w:sz w:val="28"/>
        </w:rPr>
        <w:t>
      Группа удерживает 10% от заработной платы своих сотрудников в качестве отчислений в их пенсионные фонды. В соответствии с законодательством, работники сами несут ответственность за свои пенсионные выплаты, и Группа не имеет ни текущего, ни будущего обязательства по выплатам работникам после их выхода на пенсию.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Социальный налог</w:t>
      </w:r>
    </w:p>
    <w:p>
      <w:pPr>
        <w:spacing w:after="0"/>
        <w:ind w:left="0"/>
        <w:jc w:val="both"/>
      </w:pPr>
      <w:r>
        <w:rPr>
          <w:rFonts w:ascii="Times New Roman"/>
          <w:b w:val="false"/>
          <w:i w:val="false"/>
          <w:color w:val="000000"/>
          <w:sz w:val="28"/>
        </w:rPr>
        <w:t>
      Группа уплачивает социальный налог в соответствии с действующим законодательством Республики Казахстан. Социальный налог относится на расходы по мере начисления.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Пенсионный план с установленным размером выплат</w:t>
      </w:r>
    </w:p>
    <w:p>
      <w:pPr>
        <w:spacing w:after="0"/>
        <w:ind w:left="0"/>
        <w:jc w:val="both"/>
      </w:pPr>
      <w:r>
        <w:rPr>
          <w:rFonts w:ascii="Times New Roman"/>
          <w:b w:val="false"/>
          <w:i w:val="false"/>
          <w:color w:val="000000"/>
          <w:sz w:val="28"/>
        </w:rPr>
        <w:t>
      В соответствии с коллективными договорами и прочими положениями о вознаграждениях Группа выплачивает определенные вознаграждения своим работникам по окончании трудовой деятельности ("Пенсионный план с установленным размером выплат").</w:t>
      </w:r>
    </w:p>
    <w:p>
      <w:pPr>
        <w:spacing w:after="0"/>
        <w:ind w:left="0"/>
        <w:jc w:val="both"/>
      </w:pPr>
      <w:r>
        <w:rPr>
          <w:rFonts w:ascii="Times New Roman"/>
          <w:b w:val="false"/>
          <w:i w:val="false"/>
          <w:color w:val="000000"/>
          <w:sz w:val="28"/>
        </w:rPr>
        <w:t xml:space="preserve">
      Группа признает актуарные доходы и убытки, возникающие от переоценки обязательств по выплате вознаграждения работникам в том периоде, когда они выявлены в составе прибылей и убытков, и признает расходы по вознаграждению и обязательства согласно оценке, определенной МСБУ 19 "Вознаграждения работникам". </w:t>
      </w:r>
    </w:p>
    <w:p>
      <w:pPr>
        <w:spacing w:after="0"/>
        <w:ind w:left="0"/>
        <w:jc w:val="both"/>
      </w:pPr>
      <w:r>
        <w:rPr>
          <w:rFonts w:ascii="Times New Roman"/>
          <w:b w:val="false"/>
          <w:i w:val="false"/>
          <w:color w:val="000000"/>
          <w:sz w:val="28"/>
        </w:rPr>
        <w:t>
      Обязательства и расходы по вознаграждению согласно пенсионному плану с установленным размером выплат определяются с помощью метода прогнозируемой условной единицы. Этот метод рассматривает каждый проработанный год как повышающий на дополнительную единицу права на получение вознаграждения, и измеряет каждую единицу отдельно для отражения итогового обязательства. Расходы по предоставлению вознаграждений отражаются в прибылях и убытках с тем, чтобы распределить итоговые вознаграждения в течение рабочего стажа работников согласно формуле вознаграждения по Пенсионному плану с установленным размером выплат. Это обязательство измеряется по текущей стоимости расчетного будущего движения денег с применением ставки дисконта, сходной со ставкой вознаграждения по государственным облигациям, валюта и условия по которым сопоставимы с валютой и оцененными условиями обязательств по Пенсионному плану с установленным размером выплат.</w:t>
      </w:r>
    </w:p>
    <w:p>
      <w:pPr>
        <w:spacing w:after="0"/>
        <w:ind w:left="0"/>
        <w:jc w:val="both"/>
      </w:pPr>
      <w:r>
        <w:rPr>
          <w:rFonts w:ascii="Times New Roman"/>
          <w:b w:val="false"/>
          <w:i w:val="false"/>
          <w:color w:val="000000"/>
          <w:sz w:val="28"/>
        </w:rPr>
        <w:t>
      Пенсионный план с установленным размером выплат является нефинансируемым.</w:t>
      </w:r>
    </w:p>
    <w:bookmarkStart w:name="z282" w:id="281"/>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w:t>
      </w:r>
    </w:p>
    <w:bookmarkEnd w:id="281"/>
    <w:p>
      <w:pPr>
        <w:spacing w:after="0"/>
        <w:ind w:left="0"/>
        <w:jc w:val="both"/>
      </w:pPr>
      <w:r>
        <w:rPr>
          <w:rFonts w:ascii="Times New Roman"/>
          <w:b w:val="false"/>
          <w:i w:val="false"/>
          <w:color w:val="000000"/>
          <w:sz w:val="28"/>
        </w:rPr>
        <w:t xml:space="preserve">
      </w:t>
      </w:r>
      <w:r>
        <w:rPr>
          <w:rFonts w:ascii="Times New Roman"/>
          <w:b w:val="false"/>
          <w:i/>
          <w:color w:val="000000"/>
          <w:sz w:val="28"/>
        </w:rPr>
        <w:t>Уставный капитал</w:t>
      </w:r>
    </w:p>
    <w:p>
      <w:pPr>
        <w:spacing w:after="0"/>
        <w:ind w:left="0"/>
        <w:jc w:val="both"/>
      </w:pPr>
      <w:r>
        <w:rPr>
          <w:rFonts w:ascii="Times New Roman"/>
          <w:b w:val="false"/>
          <w:i w:val="false"/>
          <w:color w:val="000000"/>
          <w:sz w:val="28"/>
        </w:rPr>
        <w:t>
      Простые акции классифицируются как капитал. Внешние затраты, напрямую относящиеся к выпуску новых акций, помимо случаев объединения организаций, показаны как вычет из суммы поступлений капитала. Любое превышение справедливой стоимости полученных средств над номинальной стоимостью выпущенных акций признается как увеличение нераспределенного дохода.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Неконтрольная доля участия</w:t>
      </w:r>
    </w:p>
    <w:p>
      <w:pPr>
        <w:spacing w:after="0"/>
        <w:ind w:left="0"/>
        <w:jc w:val="both"/>
      </w:pPr>
      <w:r>
        <w:rPr>
          <w:rFonts w:ascii="Times New Roman"/>
          <w:b w:val="false"/>
          <w:i w:val="false"/>
          <w:color w:val="000000"/>
          <w:sz w:val="28"/>
        </w:rPr>
        <w:t>
      Неконтрольные доли участия представлены в консолидированном бухгалтерском балансе в составе собственного капитала отдельно от капитала, относящегося к акционеру Фонда. Убытки дочерней компании относятся на неконтрольную долю участия даже в том случае, если это приводит к отрицательному сальдо.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w:t>
      </w:r>
    </w:p>
    <w:p>
      <w:pPr>
        <w:spacing w:after="0"/>
        <w:ind w:left="0"/>
        <w:jc w:val="both"/>
      </w:pPr>
      <w:r>
        <w:rPr>
          <w:rFonts w:ascii="Times New Roman"/>
          <w:b w:val="false"/>
          <w:i w:val="false"/>
          <w:color w:val="000000"/>
          <w:sz w:val="28"/>
        </w:rPr>
        <w:t>
      Дивиденды признаются как обязательства и вычитаются из суммы капитала на отчетную дату только в том случае, если они были объявлены до отчетной даты включительно. Информация о дивидендах раскрывается в формах отчетности, если они были рекомендованы до отчетной даты, а также рекомендованы или объявлены после отчетной даты, но до даты утверждения консолидированных форм финансовой отчетности к выпуску.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Выплаты, основанные на акциях</w:t>
      </w:r>
    </w:p>
    <w:p>
      <w:pPr>
        <w:spacing w:after="0"/>
        <w:ind w:left="0"/>
        <w:jc w:val="both"/>
      </w:pPr>
      <w:r>
        <w:rPr>
          <w:rFonts w:ascii="Times New Roman"/>
          <w:b w:val="false"/>
          <w:i w:val="false"/>
          <w:color w:val="000000"/>
          <w:sz w:val="28"/>
        </w:rPr>
        <w:t>
      Работники Группы получают вознаграждение в форме выплат, основанных на операциях по долевым инструментам. Работники предоставляют услуги, за которые они получают вознаграждение долевыми инструментами дочерней организации, в которой они работают ("сделки, расчеты по которым осуществляются долевыми инструментами").</w:t>
      </w:r>
    </w:p>
    <w:p>
      <w:pPr>
        <w:spacing w:after="0"/>
        <w:ind w:left="0"/>
        <w:jc w:val="both"/>
      </w:pPr>
      <w:r>
        <w:rPr>
          <w:rFonts w:ascii="Times New Roman"/>
          <w:b w:val="false"/>
          <w:i w:val="false"/>
          <w:color w:val="000000"/>
          <w:sz w:val="28"/>
        </w:rPr>
        <w:t>
      Стоимость сделок с работниками, расчеты по которым осуществляются долевыми инструментами, оценивается, исходя из справедливой стоимости таких инструментов на дату предоставления вознаграждения. Справедливая стоимость определяется при помощи соответствующей модели оценки.</w:t>
      </w:r>
    </w:p>
    <w:p>
      <w:pPr>
        <w:spacing w:after="0"/>
        <w:ind w:left="0"/>
        <w:jc w:val="both"/>
      </w:pPr>
      <w:r>
        <w:rPr>
          <w:rFonts w:ascii="Times New Roman"/>
          <w:b w:val="false"/>
          <w:i w:val="false"/>
          <w:color w:val="000000"/>
          <w:sz w:val="28"/>
        </w:rPr>
        <w:t>
      Расходы по операциям по выплатам на основе долевых инструментов признаются одновременно с соответствующим увеличением в резервах по прочему капиталу в течение периода, в котором выполняются условия достижения результатов деятельности и/или условия выслуги определенного срока, и заканчивающегося на дату, когда работники получают полное право на вознаграждение (дата перехода права на получение вознаграждения). Совокупные расходы по данным сделкам признаются на каждую отчетную дату до погашения обязательства пропорционально истекшему периоду на основании оптимальной оценки Группы в отношении количества долевых инструментов, которые будут переданы в качестве вознаграждения. Расход или доход в отчете о прибылях и убытках за период представляет собой изменение суммарного расхода, признанного на начало и конец периода.</w:t>
      </w:r>
    </w:p>
    <w:p>
      <w:pPr>
        <w:spacing w:after="0"/>
        <w:ind w:left="0"/>
        <w:jc w:val="both"/>
      </w:pPr>
      <w:r>
        <w:rPr>
          <w:rFonts w:ascii="Times New Roman"/>
          <w:b w:val="false"/>
          <w:i w:val="false"/>
          <w:color w:val="000000"/>
          <w:sz w:val="28"/>
        </w:rPr>
        <w:t xml:space="preserve">
      По вознаграждению долевыми инструментами, право на которое окончательно не переходит сотрудникам, расход не признается. </w:t>
      </w:r>
    </w:p>
    <w:p>
      <w:pPr>
        <w:spacing w:after="0"/>
        <w:ind w:left="0"/>
        <w:jc w:val="both"/>
      </w:pPr>
      <w:r>
        <w:rPr>
          <w:rFonts w:ascii="Times New Roman"/>
          <w:b w:val="false"/>
          <w:i w:val="false"/>
          <w:color w:val="000000"/>
          <w:sz w:val="28"/>
        </w:rPr>
        <w:t>
      Если условия вознаграждения, выплачиваемого долевыми инструментами, изменены, расход признается, как минимум, в том размере, как если бы условия не были изменены. Кроме того, признается дополнительный расход по изменению, которое увеличивает общую справедливую стоимость вознаграждения долевыми инструментами, либо которое иным образом выгодно для работника, согласно оценке, произведенной на дату такого изменения.</w:t>
      </w:r>
    </w:p>
    <w:p>
      <w:pPr>
        <w:spacing w:after="0"/>
        <w:ind w:left="0"/>
        <w:jc w:val="both"/>
      </w:pPr>
      <w:r>
        <w:rPr>
          <w:rFonts w:ascii="Times New Roman"/>
          <w:b w:val="false"/>
          <w:i w:val="false"/>
          <w:color w:val="000000"/>
          <w:sz w:val="28"/>
        </w:rPr>
        <w:t>
      Если вознаграждение, выплачиваемое долевыми инструментами, аннулируется, оно учитывается, как если бы право на него перешло на дату аннулирования. При этом все расходы, еще не признанные, признаются немедленно. Однако если аннулированное вознаграждение замещается новым, и новое вознаграждение рассматривается как замещение аннулированного вознаграждения на дату его предоставления, аннулированное и новое вознаграждение учитываются так, как если бы произошло изменение первоначального вознаграждения, как описано в предыдущем абзаце.</w:t>
      </w:r>
    </w:p>
    <w:bookmarkStart w:name="z283" w:id="282"/>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Признание выручки</w:t>
      </w:r>
    </w:p>
    <w:bookmarkEnd w:id="282"/>
    <w:p>
      <w:pPr>
        <w:spacing w:after="0"/>
        <w:ind w:left="0"/>
        <w:jc w:val="both"/>
      </w:pPr>
      <w:r>
        <w:rPr>
          <w:rFonts w:ascii="Times New Roman"/>
          <w:b w:val="false"/>
          <w:i w:val="false"/>
          <w:color w:val="000000"/>
          <w:sz w:val="28"/>
        </w:rPr>
        <w:t>
      Выручка признается, если существует вероятность того, что Группа получит экономические выгоды, и если выручка может быть надежно оценена.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Продажа товаров</w:t>
      </w:r>
    </w:p>
    <w:p>
      <w:pPr>
        <w:spacing w:after="0"/>
        <w:ind w:left="0"/>
        <w:jc w:val="both"/>
      </w:pPr>
      <w:r>
        <w:rPr>
          <w:rFonts w:ascii="Times New Roman"/>
          <w:b w:val="false"/>
          <w:i w:val="false"/>
          <w:color w:val="000000"/>
          <w:sz w:val="28"/>
        </w:rPr>
        <w:t xml:space="preserve">
      Доходы от реализации сырой нефти, нефтепродуктов, газа, урановой продукции и прочих товаров признаются тогда, когда произошла поставка товара, и риски и право собственности были переданы покупателю.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Предоставление услуг</w:t>
      </w:r>
    </w:p>
    <w:p>
      <w:pPr>
        <w:spacing w:after="0"/>
        <w:ind w:left="0"/>
        <w:jc w:val="both"/>
      </w:pPr>
      <w:r>
        <w:rPr>
          <w:rFonts w:ascii="Times New Roman"/>
          <w:b w:val="false"/>
          <w:i w:val="false"/>
          <w:color w:val="000000"/>
          <w:sz w:val="28"/>
        </w:rPr>
        <w:t>
      Доходы от предоставления услуг признаются в момент оказания услуг.</w:t>
      </w:r>
    </w:p>
    <w:p>
      <w:pPr>
        <w:spacing w:after="0"/>
        <w:ind w:left="0"/>
        <w:jc w:val="both"/>
      </w:pPr>
      <w:r>
        <w:rPr>
          <w:rFonts w:ascii="Times New Roman"/>
          <w:b w:val="false"/>
          <w:i w:val="false"/>
          <w:color w:val="000000"/>
          <w:sz w:val="28"/>
        </w:rPr>
        <w:t>
      В отношении услуг, относящихся к перевозке, доход признается по степени завершения транспортировки на дату консолидированного бухгалтерского баланса, при условии, что степень завершения и сумма дохода могут быть определены достаточно точно. Суммы предоплаты, полученной от заказчиков за еще не оказанные транспортные услуги, отражаются в составе авансов, полученных от заказчиков, на момент получения. Авансы, полученные от заказчиков, приблизительно равные ожидаемому расчетному доходу от уже оказываемых услуг, переносятся в доходы будущих периодов в составе прочих текущих обязательств в консолидированном бухгалтерском балансе. Доходы будущих периодов относятся на доходы по мере оказания услуг.</w:t>
      </w:r>
    </w:p>
    <w:p>
      <w:pPr>
        <w:spacing w:after="0"/>
        <w:ind w:left="0"/>
        <w:jc w:val="both"/>
      </w:pPr>
      <w:r>
        <w:rPr>
          <w:rFonts w:ascii="Times New Roman"/>
          <w:b w:val="false"/>
          <w:i w:val="false"/>
          <w:color w:val="000000"/>
          <w:sz w:val="28"/>
        </w:rPr>
        <w:t>
      Реализация авиабилетов, по которой покупатели получают дополнительные баллы по программе лояльности клиентов, учитываются как множественный элемент доходных операций по их справедливой стоимости, соотнесенной между указанными услугами и предполагаемой наградой. Предполагаемая награда оценивается по справедливой стоимости – стоимости отдельной продажи данной награды. Данная оценка не признается доходом на момент продажи товара/оказания услуги, а отражается как доход будущего периода, и признается доходом, когда данная награда использована, и обязательства Группы полностью выполнены.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Установление тарифов</w:t>
      </w:r>
    </w:p>
    <w:p>
      <w:pPr>
        <w:spacing w:after="0"/>
        <w:ind w:left="0"/>
        <w:jc w:val="both"/>
      </w:pPr>
      <w:r>
        <w:rPr>
          <w:rFonts w:ascii="Times New Roman"/>
          <w:b w:val="false"/>
          <w:i w:val="false"/>
          <w:color w:val="000000"/>
          <w:sz w:val="28"/>
        </w:rPr>
        <w:t xml:space="preserve">
      Ряд дочерних организаций Группы являются объектами регулирования со стороны Агентства по регулированию естественных монополий Республики Казахстан (далее по тексту "АРЕМ"). АРЕМ отвечает за утверждение методики расчета тарифов и тарифных ставок, на основании которых дочерние организации получают существенную часть своих доходов. </w:t>
      </w:r>
    </w:p>
    <w:bookmarkStart w:name="z284" w:id="283"/>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Государственные субсидии</w:t>
      </w:r>
    </w:p>
    <w:bookmarkEnd w:id="283"/>
    <w:p>
      <w:pPr>
        <w:spacing w:after="0"/>
        <w:ind w:left="0"/>
        <w:jc w:val="both"/>
      </w:pPr>
      <w:r>
        <w:rPr>
          <w:rFonts w:ascii="Times New Roman"/>
          <w:b w:val="false"/>
          <w:i w:val="false"/>
          <w:color w:val="000000"/>
          <w:sz w:val="28"/>
        </w:rPr>
        <w:t xml:space="preserve">
      В связи с тем, что Правительство Республики Казахстан является единственным акционером Фонда, Группа анализирует все транзакции с Правительством, оценивая в каких случаях Правительство действует главным образом в качестве Акционера. Если определено, что при конкретной транзакции Правительство действует в качестве акционера, любые прибыли или убытки, понесенные Группой в результате такой транзакции, признаются напрямую в капитале как взнос или изъятие капитала Акционера. </w:t>
      </w:r>
    </w:p>
    <w:p>
      <w:pPr>
        <w:spacing w:after="0"/>
        <w:ind w:left="0"/>
        <w:jc w:val="both"/>
      </w:pPr>
      <w:r>
        <w:rPr>
          <w:rFonts w:ascii="Times New Roman"/>
          <w:b w:val="false"/>
          <w:i w:val="false"/>
          <w:color w:val="000000"/>
          <w:sz w:val="28"/>
        </w:rPr>
        <w:t>
      Если же специфическая транзакция Правительства не определяется как действие в качестве Акционера, такие транзакции учитываются в соответствии с положениями МСБУ 20 "Учет государственных субсидий и раскрытие информации о государственной помощи". В таких случаях, государственные субсидии признаются по их справедливой стоимости, когда есть разумная уверенность в том, что субсидии будут получены и все необходимые условия, связанные с ними, будут выполнены. В случае если субсидия относится к статье расхода, она признается в качестве дохода за период, необходимый для соотнесения с соответствующими расходами, которые она должна компенсировать, на систематической основе. Тогда, когда субсидия относится к активу, справедливая стоимость кредитуется на счет отсроченного дохода и отражается в отчете о прибылях и убытках в течение ожидаемого срока полезного использования соответствующего актива ежегодно равномерными частями. Субсидии, относящиеся к доходу, представлены в консолидированном отчете о прибылях и убытках, в составе доходов от операционной деятельности.</w:t>
      </w:r>
    </w:p>
    <w:bookmarkStart w:name="z285" w:id="284"/>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Признание расходов</w:t>
      </w:r>
    </w:p>
    <w:bookmarkEnd w:id="284"/>
    <w:p>
      <w:pPr>
        <w:spacing w:after="0"/>
        <w:ind w:left="0"/>
        <w:jc w:val="both"/>
      </w:pPr>
      <w:r>
        <w:rPr>
          <w:rFonts w:ascii="Times New Roman"/>
          <w:b w:val="false"/>
          <w:i w:val="false"/>
          <w:color w:val="000000"/>
          <w:sz w:val="28"/>
        </w:rPr>
        <w:t>
      Расходы признаются по мере возникновения и отражаются в консолидированных формах отчетности в том периоде, к которому они относятся на основе метода начисления.</w:t>
      </w:r>
    </w:p>
    <w:bookmarkStart w:name="z286" w:id="285"/>
    <w:p>
      <w:pPr>
        <w:spacing w:after="0"/>
        <w:ind w:left="0"/>
        <w:jc w:val="both"/>
      </w:pPr>
      <w:r>
        <w:rPr>
          <w:rFonts w:ascii="Times New Roman"/>
          <w:b w:val="false"/>
          <w:i w:val="false"/>
          <w:color w:val="000000"/>
          <w:sz w:val="28"/>
        </w:rPr>
        <w:t xml:space="preserve">
      </w:t>
      </w:r>
      <w:r>
        <w:rPr>
          <w:rFonts w:ascii="Times New Roman"/>
          <w:b/>
          <w:i w:val="false"/>
          <w:color w:val="000000"/>
          <w:sz w:val="28"/>
        </w:rPr>
        <w:t>Подоходный налог</w:t>
      </w:r>
    </w:p>
    <w:bookmarkEnd w:id="285"/>
    <w:p>
      <w:pPr>
        <w:spacing w:after="0"/>
        <w:ind w:left="0"/>
        <w:jc w:val="both"/>
      </w:pPr>
      <w:r>
        <w:rPr>
          <w:rFonts w:ascii="Times New Roman"/>
          <w:b w:val="false"/>
          <w:i w:val="false"/>
          <w:color w:val="000000"/>
          <w:sz w:val="28"/>
        </w:rPr>
        <w:t>
      Подоходный налог за год включает текущий и отсроченный налог. Подоходный налог отражается в прибылях и убытках, за исключением тех сумм, которые относятся к статьям, отражаемым в прочем совокупном доходе или капитале, в этом случае он признается в прочем совокупном доходе или капитале, соответственно. Текущие расходы по налогу - это ожидаемый налог к уплате по налогооблагаемому доходу за год и любые корректировки в отношении налога к уплате в отношении предыдущих лет.</w:t>
      </w:r>
    </w:p>
    <w:p>
      <w:pPr>
        <w:spacing w:after="0"/>
        <w:ind w:left="0"/>
        <w:jc w:val="both"/>
      </w:pPr>
      <w:r>
        <w:rPr>
          <w:rFonts w:ascii="Times New Roman"/>
          <w:b w:val="false"/>
          <w:i w:val="false"/>
          <w:color w:val="000000"/>
          <w:sz w:val="28"/>
        </w:rPr>
        <w:t>
      Налог на сверхприбыль рассматривается как подоходный налог и образует часть расходов по подоходному налогу. В соответствии с контрактами на недропользование, Группа начисляет и уплачивает налог на сверхприбыль по указанным ставкам от суммы прибыли после налогообложения, которая подлежит корректировке, на сумму определенных вычетов в соответствие с применяемым контрактом на недропользование, при внутренней норме прибыли, превышающей определенные значения.</w:t>
      </w:r>
    </w:p>
    <w:p>
      <w:pPr>
        <w:spacing w:after="0"/>
        <w:ind w:left="0"/>
        <w:jc w:val="both"/>
      </w:pPr>
      <w:r>
        <w:rPr>
          <w:rFonts w:ascii="Times New Roman"/>
          <w:b w:val="false"/>
          <w:i w:val="false"/>
          <w:color w:val="000000"/>
          <w:sz w:val="28"/>
        </w:rPr>
        <w:t>
      Внутренняя норма прибыли рассчитывается на основе денежных потоков по каждому контракту на недропользование и корректируется на национальный уровень инфляции. Отсроченный налог рассчитывается как для корпоративного подоходного налога, так и для налога на сверхприбыль. Отсроченный налог на сверхприбыль рассчитывается по временным разницам для активов, отнесенным к контрактам на недропользование, по ожидаемой ставке налога на сверхприбыль, подлежащей уплате по контракту.</w:t>
      </w:r>
    </w:p>
    <w:p>
      <w:pPr>
        <w:spacing w:after="0"/>
        <w:ind w:left="0"/>
        <w:jc w:val="both"/>
      </w:pPr>
      <w:r>
        <w:rPr>
          <w:rFonts w:ascii="Times New Roman"/>
          <w:b w:val="false"/>
          <w:i w:val="false"/>
          <w:color w:val="000000"/>
          <w:sz w:val="28"/>
        </w:rPr>
        <w:t>
      Отсроченный налог учитывается по методу обязательств по балансу по временным разницам между балансовой стоимостью активов и обязательств для целей форм финансовой отчетности и суммами, использованными для целей налогообложения. Не признаются следующие временные разницы:</w:t>
      </w:r>
    </w:p>
    <w:p>
      <w:pPr>
        <w:spacing w:after="0"/>
        <w:ind w:left="0"/>
        <w:jc w:val="both"/>
      </w:pPr>
      <w:r>
        <w:rPr>
          <w:rFonts w:ascii="Times New Roman"/>
          <w:b w:val="false"/>
          <w:i w:val="false"/>
          <w:color w:val="000000"/>
          <w:sz w:val="28"/>
        </w:rPr>
        <w:t>
      - первоначальное признание актива или обязательства в сделке, которая не является объединением компаний и, на момент сделки, не оказывает влияние ни на бухгалтерский доход, ни на налогооблагаемый доход или убыток; и</w:t>
      </w:r>
    </w:p>
    <w:p>
      <w:pPr>
        <w:spacing w:after="0"/>
        <w:ind w:left="0"/>
        <w:jc w:val="both"/>
      </w:pPr>
      <w:r>
        <w:rPr>
          <w:rFonts w:ascii="Times New Roman"/>
          <w:b w:val="false"/>
          <w:i w:val="false"/>
          <w:color w:val="000000"/>
          <w:sz w:val="28"/>
        </w:rPr>
        <w:t>
      - в отношении налогооблагаемых временных разниц, связанных с инвестициями в дочерние компании, ассоциированные компании, а также с долями участия в совместной деятельности, если можно контролировать распределение во времени уменьшения временной разницы, и существует значительная вероятность того, что временная разница не будет уменьшена в обозримом будущем</w:t>
      </w:r>
    </w:p>
    <w:p>
      <w:pPr>
        <w:spacing w:after="0"/>
        <w:ind w:left="0"/>
        <w:jc w:val="both"/>
      </w:pPr>
      <w:r>
        <w:rPr>
          <w:rFonts w:ascii="Times New Roman"/>
          <w:b w:val="false"/>
          <w:i w:val="false"/>
          <w:color w:val="000000"/>
          <w:sz w:val="28"/>
        </w:rPr>
        <w:t>
      Отсроченные активы и обязательства по подоходному налогу рассчитываются по налоговым ставкам, которые применимы к периоду, когда получен актив или оплачено обязательство, основываясь на налоговых ставках (и налоговом законодательстве), которые действовали или практически были введены в действие на дату составления бухгалтерского баланса.</w:t>
      </w:r>
    </w:p>
    <w:p>
      <w:pPr>
        <w:spacing w:after="0"/>
        <w:ind w:left="0"/>
        <w:jc w:val="both"/>
      </w:pPr>
      <w:r>
        <w:rPr>
          <w:rFonts w:ascii="Times New Roman"/>
          <w:b w:val="false"/>
          <w:i w:val="false"/>
          <w:color w:val="000000"/>
          <w:sz w:val="28"/>
        </w:rPr>
        <w:t>
      Отложенный налоговый актив признается только в том объеме, в котором существует вероятность получения налогооблагаемой прибыли, в счет которой актив может быть реализован. Отложенные активы по подоходному налогу уменьшаются в том объеме, в котором более не существует вероятности реализации соответствующей налоговой льготы.</w:t>
      </w:r>
    </w:p>
    <w:bookmarkStart w:name="z287" w:id="286"/>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 на добавленную стоимость (НДС)</w:t>
      </w:r>
    </w:p>
    <w:bookmarkEnd w:id="286"/>
    <w:p>
      <w:pPr>
        <w:spacing w:after="0"/>
        <w:ind w:left="0"/>
        <w:jc w:val="both"/>
      </w:pPr>
      <w:r>
        <w:rPr>
          <w:rFonts w:ascii="Times New Roman"/>
          <w:b w:val="false"/>
          <w:i w:val="false"/>
          <w:color w:val="000000"/>
          <w:sz w:val="28"/>
        </w:rPr>
        <w:t>
      Налоговые органы позволяют производить погашение НДС по продажам и приобретениям на нетто основе. НДС к возмещению представляет собой НДС по приобретениям на внутреннем рынке, за вычетом НДС по продажам на внутреннем рынке. Продажи на экспорт имеют нулевую ставку.</w:t>
      </w:r>
    </w:p>
    <w:bookmarkStart w:name="z288" w:id="287"/>
    <w:p>
      <w:pPr>
        <w:spacing w:after="0"/>
        <w:ind w:left="0"/>
        <w:jc w:val="both"/>
      </w:pPr>
      <w:r>
        <w:rPr>
          <w:rFonts w:ascii="Times New Roman"/>
          <w:b w:val="false"/>
          <w:i w:val="false"/>
          <w:color w:val="000000"/>
          <w:sz w:val="28"/>
        </w:rPr>
        <w:t xml:space="preserve">
      </w:t>
      </w:r>
      <w:r>
        <w:rPr>
          <w:rFonts w:ascii="Times New Roman"/>
          <w:b/>
          <w:i w:val="false"/>
          <w:color w:val="000000"/>
          <w:sz w:val="28"/>
        </w:rPr>
        <w:t>Связанные стороны</w:t>
      </w:r>
    </w:p>
    <w:bookmarkEnd w:id="287"/>
    <w:p>
      <w:pPr>
        <w:spacing w:after="0"/>
        <w:ind w:left="0"/>
        <w:jc w:val="both"/>
      </w:pPr>
      <w:r>
        <w:rPr>
          <w:rFonts w:ascii="Times New Roman"/>
          <w:b w:val="false"/>
          <w:i w:val="false"/>
          <w:color w:val="000000"/>
          <w:sz w:val="28"/>
        </w:rPr>
        <w:t>
      Связанные стороны включают акционера Группы, ключевой управленческий персонал, ассоциированные организации и организации, в которых значительная доля голосующих акций прямо или косвенно принадлежит акционерам или ключевому управленческому персоналу Группы.</w:t>
      </w:r>
    </w:p>
    <w:bookmarkStart w:name="z289" w:id="288"/>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Условные обязательства и условные активы</w:t>
      </w:r>
    </w:p>
    <w:bookmarkEnd w:id="288"/>
    <w:p>
      <w:pPr>
        <w:spacing w:after="0"/>
        <w:ind w:left="0"/>
        <w:jc w:val="both"/>
      </w:pPr>
      <w:r>
        <w:rPr>
          <w:rFonts w:ascii="Times New Roman"/>
          <w:b w:val="false"/>
          <w:i w:val="false"/>
          <w:color w:val="000000"/>
          <w:sz w:val="28"/>
        </w:rPr>
        <w:t xml:space="preserve">
      Условные обязательства не признаются в консолидированных формах финансовой отчетности. Данные о таких обязательствах раскрываются в примечаниях к консолидированным формам финансовой отчетности </w:t>
      </w:r>
      <w:r>
        <w:rPr>
          <w:rFonts w:ascii="Times New Roman"/>
          <w:b w:val="false"/>
          <w:i/>
          <w:color w:val="000000"/>
          <w:sz w:val="28"/>
        </w:rPr>
        <w:t>(Примечание 13)</w:t>
      </w:r>
      <w:r>
        <w:rPr>
          <w:rFonts w:ascii="Times New Roman"/>
          <w:b w:val="false"/>
          <w:i w:val="false"/>
          <w:color w:val="000000"/>
          <w:sz w:val="28"/>
        </w:rPr>
        <w:t xml:space="preserve"> за исключением случаев, когда отток ресурсов, составляющих экономические выгоды, является маловероятным.</w:t>
      </w:r>
    </w:p>
    <w:p>
      <w:pPr>
        <w:spacing w:after="0"/>
        <w:ind w:left="0"/>
        <w:jc w:val="both"/>
      </w:pPr>
      <w:r>
        <w:rPr>
          <w:rFonts w:ascii="Times New Roman"/>
          <w:b w:val="false"/>
          <w:i w:val="false"/>
          <w:color w:val="000000"/>
          <w:sz w:val="28"/>
        </w:rPr>
        <w:t>
      Условные активы не отражаются в консолидированных формах финансовой отчетности. В случае если существует достаточная вероятность получения экономических выгод, связанных с такими активами, данные об указанных активах раскрываются в примечаниях.</w:t>
      </w:r>
    </w:p>
    <w:bookmarkStart w:name="z290" w:id="289"/>
    <w:p>
      <w:pPr>
        <w:spacing w:after="0"/>
        <w:ind w:left="0"/>
        <w:jc w:val="both"/>
      </w:pPr>
      <w:r>
        <w:rPr>
          <w:rFonts w:ascii="Times New Roman"/>
          <w:b w:val="false"/>
          <w:i w:val="false"/>
          <w:color w:val="000000"/>
          <w:sz w:val="28"/>
        </w:rPr>
        <w:t xml:space="preserve">
      </w:t>
      </w:r>
      <w:r>
        <w:rPr>
          <w:rFonts w:ascii="Times New Roman"/>
          <w:b/>
          <w:i w:val="false"/>
          <w:color w:val="000000"/>
          <w:sz w:val="28"/>
        </w:rPr>
        <w:t>Последующие события</w:t>
      </w:r>
    </w:p>
    <w:bookmarkEnd w:id="289"/>
    <w:p>
      <w:pPr>
        <w:spacing w:after="0"/>
        <w:ind w:left="0"/>
        <w:jc w:val="both"/>
      </w:pPr>
      <w:r>
        <w:rPr>
          <w:rFonts w:ascii="Times New Roman"/>
          <w:b w:val="false"/>
          <w:i w:val="false"/>
          <w:color w:val="000000"/>
          <w:sz w:val="28"/>
        </w:rPr>
        <w:t>
      События, наступившие по окончании отчетного года и содержащие дополнительную информацию о финансовом положении Группы на отчетную дату (корректирующие события), отражаются в консолидированных формах финансовой отчетности. События, наступившие по окончании отчетного года и не являющиеся корректирующими событиями, раскрываются в примечаниях к консолидированным формам финансовой отчетности, если они являются существенными.</w:t>
      </w:r>
    </w:p>
    <w:bookmarkStart w:name="z291" w:id="290"/>
    <w:p>
      <w:pPr>
        <w:spacing w:after="0"/>
        <w:ind w:left="0"/>
        <w:jc w:val="both"/>
      </w:pPr>
      <w:r>
        <w:rPr>
          <w:rFonts w:ascii="Times New Roman"/>
          <w:b w:val="false"/>
          <w:i w:val="false"/>
          <w:color w:val="000000"/>
          <w:sz w:val="28"/>
        </w:rPr>
        <w:t xml:space="preserve">
      </w:t>
      </w:r>
      <w:r>
        <w:rPr>
          <w:rFonts w:ascii="Times New Roman"/>
          <w:b/>
          <w:i w:val="false"/>
          <w:color w:val="000000"/>
          <w:sz w:val="28"/>
        </w:rPr>
        <w:t>4. СУЩЕСТВЕННЫЕ БУХГАЛТЕРСКИЕ ОЦЕНКИ И СУЖДЕНИЯ</w:t>
      </w:r>
    </w:p>
    <w:bookmarkEnd w:id="290"/>
    <w:p>
      <w:pPr>
        <w:spacing w:after="0"/>
        <w:ind w:left="0"/>
        <w:jc w:val="both"/>
      </w:pPr>
      <w:r>
        <w:rPr>
          <w:rFonts w:ascii="Times New Roman"/>
          <w:b w:val="false"/>
          <w:i w:val="false"/>
          <w:color w:val="000000"/>
          <w:sz w:val="28"/>
        </w:rPr>
        <w:t>
      Подготовка консолидированных форм финансовой отчетности в соответствие с МСФО требует от руководства использования оценок и допущений, которые влияют на отраженные в формах отчетности активы, обязательства и условные активы и обязательства на дату подготовки консолидированных форм финансовой отчетности, а также отраженные в формах отчетности активы, обязательства, доходы, расходы и условные активы и обязательства за отчетный период. Фактические результаты могут отличаться от этих оценок.</w:t>
      </w:r>
    </w:p>
    <w:p>
      <w:pPr>
        <w:spacing w:after="0"/>
        <w:ind w:left="0"/>
        <w:jc w:val="both"/>
      </w:pPr>
      <w:r>
        <w:rPr>
          <w:rFonts w:ascii="Times New Roman"/>
          <w:b w:val="false"/>
          <w:i w:val="false"/>
          <w:color w:val="000000"/>
          <w:sz w:val="28"/>
        </w:rPr>
        <w:t>
      Основные допущения о будущем и прочие основные источники неопределенности в оценках на отчетную дату, которые могут послужить причиной существенных корректировок балансовой стоимости активов и обязательств в течение следующего финансового года, рассматриваются ниже:</w:t>
      </w:r>
    </w:p>
    <w:bookmarkStart w:name="z292" w:id="291"/>
    <w:p>
      <w:pPr>
        <w:spacing w:after="0"/>
        <w:ind w:left="0"/>
        <w:jc w:val="both"/>
      </w:pPr>
      <w:r>
        <w:rPr>
          <w:rFonts w:ascii="Times New Roman"/>
          <w:b w:val="false"/>
          <w:i w:val="false"/>
          <w:color w:val="000000"/>
          <w:sz w:val="28"/>
        </w:rPr>
        <w:t xml:space="preserve">
      </w:t>
      </w:r>
      <w:r>
        <w:rPr>
          <w:rFonts w:ascii="Times New Roman"/>
          <w:b/>
          <w:i w:val="false"/>
          <w:color w:val="000000"/>
          <w:sz w:val="28"/>
        </w:rPr>
        <w:t>Запасы нефти и газа</w:t>
      </w:r>
    </w:p>
    <w:bookmarkEnd w:id="291"/>
    <w:p>
      <w:pPr>
        <w:spacing w:after="0"/>
        <w:ind w:left="0"/>
        <w:jc w:val="both"/>
      </w:pPr>
      <w:r>
        <w:rPr>
          <w:rFonts w:ascii="Times New Roman"/>
          <w:b w:val="false"/>
          <w:i w:val="false"/>
          <w:color w:val="000000"/>
          <w:sz w:val="28"/>
        </w:rPr>
        <w:t>
      Запасы нефти и газа являются существенным фактором в расчетах Группы по износу, истощению и амортизации. Группа оценивает свои запасы нефти и газа в соответствии с методикой Общества нефтегазовых инженеров. При оценке запасов по методике Общества нефтегазовых инженеров, Группа использует долгосрочные плановые цены, которые также используются руководством для принятия инвестиционных решений относительно разработки месторождения. Использование плановых цен для оценки доказанных запасов устраняет влияние нестабильности, присущей использованию цен спот на конец года. Руководство считает, что допущения по долгосрочным плановым ценам больше соответствуют долгосрочному характеру деятельности по добыче и предоставляют наиболее подходящую основу для оценки запасов нефти и газа.</w:t>
      </w:r>
    </w:p>
    <w:p>
      <w:pPr>
        <w:spacing w:after="0"/>
        <w:ind w:left="0"/>
        <w:jc w:val="both"/>
      </w:pPr>
      <w:r>
        <w:rPr>
          <w:rFonts w:ascii="Times New Roman"/>
          <w:b w:val="false"/>
          <w:i w:val="false"/>
          <w:color w:val="000000"/>
          <w:sz w:val="28"/>
        </w:rPr>
        <w:t xml:space="preserve">
      Все оценки запасов подразумевают некоторую степень неопределенности. Неопределенность в основном зависит от объема надежных геологических и инженерных данных, доступных на момент оценки и интерпретации таких данных. </w:t>
      </w:r>
    </w:p>
    <w:p>
      <w:pPr>
        <w:spacing w:after="0"/>
        <w:ind w:left="0"/>
        <w:jc w:val="both"/>
      </w:pPr>
      <w:r>
        <w:rPr>
          <w:rFonts w:ascii="Times New Roman"/>
          <w:b w:val="false"/>
          <w:i w:val="false"/>
          <w:color w:val="000000"/>
          <w:sz w:val="28"/>
        </w:rPr>
        <w:t xml:space="preserve">
      Относительная степень неопределенности может быть выражена посредством отнесения запасов в одну из двух основных категорий: доказанные или недоказанные запасы. Существует большая определенность в извлечении доказанных запасов в сравнении с недоказанными запасами и доказанные запасы могут быть далее подразделены на разработанные и неразработанные запасы для обозначения прогрессивно возрастающей неопределенности в отношении возможности их извлечения. Ежегодно оценки анализируются и корректируются. Корректировки возникают вследствие оценки или переоценки уже имеющихся геологических данных, промысловых параметров или данных о добыче; наличии новых данных; или изменениях в допущениях по ценам. Оценки запасов также могут быть пересмотрены вследствие действия проектов для повышения отдачи, изменений в производительности пласта или изменений в стратегии разработки. Доказанные разработанные запасы используются для расчета ставок амортизации пропорционально объему добычи для начисления износа, истощения и амортизации. Группа включила в доказанные запасы только такие объемы, которые, как ожидается, будут добыты в течение первоначального периода по контракту на недропользование. </w:t>
      </w:r>
    </w:p>
    <w:p>
      <w:pPr>
        <w:spacing w:after="0"/>
        <w:ind w:left="0"/>
        <w:jc w:val="both"/>
      </w:pPr>
      <w:r>
        <w:rPr>
          <w:rFonts w:ascii="Times New Roman"/>
          <w:b w:val="false"/>
          <w:i w:val="false"/>
          <w:color w:val="000000"/>
          <w:sz w:val="28"/>
        </w:rPr>
        <w:t>
      Это вызвано неопределенностью, относящейся к результату процедуры по продлению, так как продление лицензий, в конечном счете, осуществляется по усмотрению Правительства. Увеличение в периодах по контрактам на недропользование Группы и соответствующее увеличение в указанных размерах запасов обычно приводит к более низким расходам по износу и может оказать существенное влияние на доходы. Снижение в доказанных разработанных запасах приведет к увеличению отчислений на износ, истощение и амортизацию (при постоянном уровне добычи), к снижению дохода и также может привести к прямому снижению балансовой стоимости имущества. При относительно небольшом количестве эксплуатируемых месторождений, существует возможность того, что любые изменения в оценке запасов по сравнению с предыдущим годом, могут оказать существенное влияние на отчисления на износ, истощение и амортизацию.</w:t>
      </w:r>
    </w:p>
    <w:bookmarkStart w:name="z293" w:id="292"/>
    <w:p>
      <w:pPr>
        <w:spacing w:after="0"/>
        <w:ind w:left="0"/>
        <w:jc w:val="both"/>
      </w:pPr>
      <w:r>
        <w:rPr>
          <w:rFonts w:ascii="Times New Roman"/>
          <w:b w:val="false"/>
          <w:i w:val="false"/>
          <w:color w:val="000000"/>
          <w:sz w:val="28"/>
        </w:rPr>
        <w:t xml:space="preserve">
      </w:t>
      </w:r>
      <w:r>
        <w:rPr>
          <w:rFonts w:ascii="Times New Roman"/>
          <w:b/>
          <w:i w:val="false"/>
          <w:color w:val="000000"/>
          <w:sz w:val="28"/>
        </w:rPr>
        <w:t>Запасы урана</w:t>
      </w:r>
    </w:p>
    <w:bookmarkEnd w:id="292"/>
    <w:p>
      <w:pPr>
        <w:spacing w:after="0"/>
        <w:ind w:left="0"/>
        <w:jc w:val="both"/>
      </w:pPr>
      <w:r>
        <w:rPr>
          <w:rFonts w:ascii="Times New Roman"/>
          <w:b w:val="false"/>
          <w:i w:val="false"/>
          <w:color w:val="000000"/>
          <w:sz w:val="28"/>
        </w:rPr>
        <w:t>
      Запасы урана являются основным компонентом оценок прогнозируемого движения денежных средств Группы, которые используются для оценки возмещаемой стоимости соответствующих долгосрочных активов и для определения отчислений по износу и амортизации. При оценке суммы запасов урана Группа получает отчеты от специалистов геологов, которые проводят оценку запасов на основе методики подсчетов, определенной Государственной Комиссией Республики Казахстан по минеральным запасам (ГКЗ), для интерпретации геологических и разведочных данных и определения разведанных запасов (доказанных) и оцененных запасов (вероятных). Оценка запасов основана на экспертных оценках и опыте. Оценка запасов включает некоторую степень неопределенности. Неопределенность в основном связана с полнотой достоверной геологической и технической информации. Кроме того, наличие запасов не означает, что все запасы могут быть извлечены на экономически эффективной основе. Оценки запасов анализируются и корректируются на ежегодной основе. Количество урана, планируемого к добыче, может пересматриваться в результате осуществления проектов по увеличению добычи, изменений в производственных мощностях или изменений в стратегии разработки. Любые изменения в оценке запасов по сравнению с предыдущим годом, могут оказать существенное влияние на отчисления на износ, истощение и амортизацию.</w:t>
      </w:r>
    </w:p>
    <w:bookmarkStart w:name="z294" w:id="293"/>
    <w:p>
      <w:pPr>
        <w:spacing w:after="0"/>
        <w:ind w:left="0"/>
        <w:jc w:val="both"/>
      </w:pPr>
      <w:r>
        <w:rPr>
          <w:rFonts w:ascii="Times New Roman"/>
          <w:b w:val="false"/>
          <w:i w:val="false"/>
          <w:color w:val="000000"/>
          <w:sz w:val="28"/>
        </w:rPr>
        <w:t xml:space="preserve">
      </w:t>
      </w:r>
      <w:r>
        <w:rPr>
          <w:rFonts w:ascii="Times New Roman"/>
          <w:b/>
          <w:i w:val="false"/>
          <w:color w:val="000000"/>
          <w:sz w:val="28"/>
        </w:rPr>
        <w:t>Обесценение нефинансовых активов</w:t>
      </w:r>
    </w:p>
    <w:bookmarkEnd w:id="293"/>
    <w:p>
      <w:pPr>
        <w:spacing w:after="0"/>
        <w:ind w:left="0"/>
        <w:jc w:val="both"/>
      </w:pPr>
      <w:r>
        <w:rPr>
          <w:rFonts w:ascii="Times New Roman"/>
          <w:b w:val="false"/>
          <w:i w:val="false"/>
          <w:color w:val="000000"/>
          <w:sz w:val="28"/>
        </w:rPr>
        <w:t xml:space="preserve">
      Обесценение имеет место, если балансовая стоимость актива или подразделения, генерирующего денежные потоки, превышает его возмещаемую стоимость, которая является наибольшей из следующих величин: справедливая стоимость за вычетом затрат на продажу и ценность от использования. Расчет справедливой стоимости за вычетом затрат на продажу основан на имеющейся информации по имеющим обязательную силу коммерческим сделкам продажи аналогичных активов или на наблюдаемых рыночных ценах за вычетом дополнительных затрат, понесенных в связи с выбытием актива. Расчет ценности от использования основан на модели дисконтированных денежных потоков. Денежные потоки строятся на основании бюджета на следующие 5 (пять) лет и не включают в себя деятельность по реструктуризации, по проведению которой у Группы еще не имеется обязательств, или существенные инвестиции в будущем, которые улучшат результаты активов проверяемого на предмет обесценения подразделения, генерирующего денежные потоки. </w:t>
      </w:r>
    </w:p>
    <w:p>
      <w:pPr>
        <w:spacing w:after="0"/>
        <w:ind w:left="0"/>
        <w:jc w:val="both"/>
      </w:pPr>
      <w:r>
        <w:rPr>
          <w:rFonts w:ascii="Times New Roman"/>
          <w:b w:val="false"/>
          <w:i w:val="false"/>
          <w:color w:val="000000"/>
          <w:sz w:val="28"/>
        </w:rPr>
        <w:t xml:space="preserve">
      Возмещаемая стоимость наиболее чувствительна к ставке дисконтирования, используемой в модели дисконтированных денежных потоков, а также к ожидаемым притокам денежных средств и темпам роста, использованным в целях экстраполяции. </w:t>
      </w:r>
    </w:p>
    <w:p>
      <w:pPr>
        <w:spacing w:after="0"/>
        <w:ind w:left="0"/>
        <w:jc w:val="both"/>
      </w:pPr>
      <w:r>
        <w:rPr>
          <w:rFonts w:ascii="Times New Roman"/>
          <w:b w:val="false"/>
          <w:i w:val="false"/>
          <w:color w:val="000000"/>
          <w:sz w:val="28"/>
        </w:rPr>
        <w:t>
      В каждом отчетном периоде Группа оценивает каждый актив или группу активов, генерирующих денежные средства ("генерирующая единица"), для определения наличия индикаторов обесценения. Если такой индикатор существует, проводится надлежащая оценка возмещаемой стоимости, которая рассматривается как более высокое значение из справедливой стоимости за минусом расходов на реализацию и стоимости от использования. Эти расчеты требуют использования оценок и допущений, таких как долгосрочные цены на нефть, уран и металлы, (учитывая текущие и исторические цены, тенденции в изменениях цен и сопутствующие факторы), ставки дисконта, операционные затраты, будущая потребность в капитале, затраты на вывод из эксплуатации и эксплуатационные характеристики, резервы и операционная деятельность (что включает объемы добычи и продажи).</w:t>
      </w:r>
    </w:p>
    <w:p>
      <w:pPr>
        <w:spacing w:after="0"/>
        <w:ind w:left="0"/>
        <w:jc w:val="both"/>
      </w:pPr>
      <w:r>
        <w:rPr>
          <w:rFonts w:ascii="Times New Roman"/>
          <w:b w:val="false"/>
          <w:i w:val="false"/>
          <w:color w:val="000000"/>
          <w:sz w:val="28"/>
        </w:rPr>
        <w:t xml:space="preserve">
      Эти оценки и допущения подвержены рискам и неопределенности. Таким образом, существует вероятность того, что изменения в обстоятельствах окажут влияние на эти прогнозы, что может оказать влияние на возмещаемую стоимость активов и /или генерирующей единицы. Справедливая стоимость определяется как сумма, которая может быть получена от продажи актива и/или генерирующей единицы на рыночных условиях в сделке между осведомленными и готовыми совершить такую сделку сторонами. Справедливая стоимость нефтегазовых и горнорудных активов определяется, обычно, как текущая стоимость расчетных будущих денежных потоков, возникающих от продолжающегося использования активов, которая включает такие оценки, как стоимость планов расширения в будущем и потенциальное выбытие, использование допущений, которые может принять во внимание независимый участник рынка. Будущие денежные потоки дисконтируются до приведенной стоимости по ставке дисконтирования, которая отражает текущую рыночную оценку временной стоимости денег и риски, присущие активу. </w:t>
      </w:r>
    </w:p>
    <w:p>
      <w:pPr>
        <w:spacing w:after="0"/>
        <w:ind w:left="0"/>
        <w:jc w:val="both"/>
      </w:pPr>
      <w:r>
        <w:rPr>
          <w:rFonts w:ascii="Times New Roman"/>
          <w:b w:val="false"/>
          <w:i w:val="false"/>
          <w:color w:val="000000"/>
          <w:sz w:val="28"/>
        </w:rPr>
        <w:t>
      Разведочные и оценочные активы тестируются на предмет наличия обесценения в момент перевода в материальные и нематериальные производственные активы или при наличии индикаторов обесценения.</w:t>
      </w:r>
    </w:p>
    <w:p>
      <w:pPr>
        <w:spacing w:after="0"/>
        <w:ind w:left="0"/>
        <w:jc w:val="both"/>
      </w:pPr>
      <w:r>
        <w:rPr>
          <w:rFonts w:ascii="Times New Roman"/>
          <w:b w:val="false"/>
          <w:i w:val="false"/>
          <w:color w:val="000000"/>
          <w:sz w:val="28"/>
        </w:rPr>
        <w:t>
      В 2013 году Группа признала убыток от обесценения основных средств в размере 67.179.000 тысяч тенге (2012: 86.143.000 тысячи тенге) в консолидированном отчете о прибылях и убытках, который в основном относится к обесценению долгосрочных активов АО "Озенмунайгаз".</w:t>
      </w:r>
    </w:p>
    <w:p>
      <w:pPr>
        <w:spacing w:after="0"/>
        <w:ind w:left="0"/>
        <w:jc w:val="both"/>
      </w:pPr>
      <w:r>
        <w:rPr>
          <w:rFonts w:ascii="Times New Roman"/>
          <w:b w:val="false"/>
          <w:i w:val="false"/>
          <w:color w:val="000000"/>
          <w:sz w:val="28"/>
        </w:rPr>
        <w:t>
      Руководство Группы провело оценку возмещаемой стоимости активов АО "Озенмунайгаз" (далее "ОМГ") (дочерняя организация АО "Национальная Компания "КазМунайГаз" (далее - "НК КМГ")), ввиду наличия индикаторов обесценения. Основными индикаторами обесценения являются существенное снижение объемов производства по сравнению с запланированными объемами на протяжении последних двух лет и увеличивающиеся операционные и капитальные затраты. Результаты оценки показали, что текущая стоимость долгосрочных активов ОМГ превышает оценочную возмещаемую стоимость на 75 миллиардов тенге, что привело к признанию убытка от обесценения в 2012 году. Оценка возмещаемой стоимости была основана на оценке справедливой стоимости руководством Группы, полученной методом дисконтированных денежных потоков.</w:t>
      </w:r>
    </w:p>
    <w:p>
      <w:pPr>
        <w:spacing w:after="0"/>
        <w:ind w:left="0"/>
        <w:jc w:val="both"/>
      </w:pPr>
      <w:r>
        <w:rPr>
          <w:rFonts w:ascii="Times New Roman"/>
          <w:b w:val="false"/>
          <w:i w:val="false"/>
          <w:color w:val="000000"/>
          <w:sz w:val="28"/>
        </w:rPr>
        <w:t xml:space="preserve">
      В апреле 2013 года руководство Группы обновило оценку возмещаемой стоимости долгосрочных активов ОМГ и признало дополнительное обесценение на 56 миллиардов тенге в консолидированных формах финансовой отчетности за 2013 год. Дополнительное обесценение, в первую очередь, связано с увеличением экспортной таможенной пошлины с 40 долларов США за тонну до 60 долларов США за тонну, которое произошло 12 апреля 2013 года. </w:t>
      </w:r>
    </w:p>
    <w:p>
      <w:pPr>
        <w:spacing w:after="0"/>
        <w:ind w:left="0"/>
        <w:jc w:val="both"/>
      </w:pPr>
      <w:r>
        <w:rPr>
          <w:rFonts w:ascii="Times New Roman"/>
          <w:b w:val="false"/>
          <w:i w:val="false"/>
          <w:color w:val="000000"/>
          <w:sz w:val="28"/>
        </w:rPr>
        <w:t xml:space="preserve">
      За год, закончившийся 31 декабря 2013 года, руководство Группы снова провело оценку возмещаемой стоимости долгосрочных активов ОМГ. Результаты оценки показали, что балансовая стоимость долгосрочных активов ОМГ не отличалась существенно от оцененной возмещаемой стоимости, и, таким образом, руководство не сторнировало ранее начисленное обесценение и не начисляло какие-либо дополнительные суммы по обесценению за год, закончившийся 31 декабря 2013 года. Результаты оценки наиболее чувствительны к допущениям, относящимся к объемам добычи, цене реализации сырой нефти и обменному курсу тенге к доллару США. </w:t>
      </w:r>
    </w:p>
    <w:p>
      <w:pPr>
        <w:spacing w:after="0"/>
        <w:ind w:left="0"/>
        <w:jc w:val="both"/>
      </w:pPr>
      <w:r>
        <w:rPr>
          <w:rFonts w:ascii="Times New Roman"/>
          <w:b w:val="false"/>
          <w:i w:val="false"/>
          <w:color w:val="000000"/>
          <w:sz w:val="28"/>
        </w:rPr>
        <w:t>
      Использованный профиль добычи основан на данных последнего бизнес плана Группы, и предусматривает рост добычи на 7% в течение ближайших 5 (пяти) лет. Если бы профиль добычи был на 5% выше или ниже той, что была использована в ходе оценки, это бы привело к увеличению оцененной возмещаемой стоимости более чем на 65 миллиардов тенге или к уменьшению оцененной возмещаемой стоимости более чем на 65 миллиардов тенге, соответственно. Если бы предполагалось, что добыча не изменялась и оставалась на уровне 2013 года, тогда оцененная возмещаемая стоимость уменьшилась бы на более чем 65 миллиардов тенге.</w:t>
      </w:r>
    </w:p>
    <w:p>
      <w:pPr>
        <w:spacing w:after="0"/>
        <w:ind w:left="0"/>
        <w:jc w:val="both"/>
      </w:pPr>
      <w:r>
        <w:rPr>
          <w:rFonts w:ascii="Times New Roman"/>
          <w:b w:val="false"/>
          <w:i w:val="false"/>
          <w:color w:val="000000"/>
          <w:sz w:val="28"/>
        </w:rPr>
        <w:t xml:space="preserve">
      Принятые допущения о цене сырой нефти Brent были основаны на рыночных ожиданиях в совокупности с прогнозами независимой отраслевой исследовательской организации, скорректированными на средний исторический дисконт цены на нефть. Если бы предполагаемая цена сырой нефти Brent была на 5% выше или ниже той, что была использована в ходе оценки, это привело бы к уменьшению обесценения более чем на 40 миллиардов тенге или увеличению обесценения более чем на 45 миллиардов тенге, соответственно. Если бы предполагаемая цена сырой нефти Brent не изменялась и оставалась на уровне 108,3 доллара США за баррель, что является ценой сырой нефти на дату оценки, это бы привело к увеличению оцененной возмещаемой стоимости более чем на 40 миллиардов тенге. </w:t>
      </w:r>
    </w:p>
    <w:p>
      <w:pPr>
        <w:spacing w:after="0"/>
        <w:ind w:left="0"/>
        <w:jc w:val="both"/>
      </w:pPr>
      <w:r>
        <w:rPr>
          <w:rFonts w:ascii="Times New Roman"/>
          <w:b w:val="false"/>
          <w:i w:val="false"/>
          <w:color w:val="000000"/>
          <w:sz w:val="28"/>
        </w:rPr>
        <w:t>
      Для пересчета реализации нефти, деноминированной в долларах США, был использован обменный курс 185 тенге к доллару США. Данный курс был основан на заявлении, опубликованном Национальным Банком Республики Казахстан 11 февраля 2014 года о том, что будет установлен новый валютный коридор обменного курса на уровне 185 тенге за доллар плюс/минус 3 тенге. Если бы предполагаемый обменный курс тенге к доллару США был бы на 5% выше или ниже того, что был использован в ходе оценки, это бы привело к увеличению оцененной возмещаемой стоимости более чем на 35 миллиардов тенге или к уменьшению оцененной возмещаемой стоимости более чем на 35 миллиардов тенге, соответственно. Предполагаемые денежные потоки были ограничены датой истечения контракта на недропользование ОМГ в 2021 году. Затраты до 2018 года были включены на основе утвержденного бюджета и бизнес плана и текущих оценок руководства о возможных изменениях в операционных и капитальных затратах после девальвации тенге в феврале 2014 года. Большая часть денежных потоков после этого периода была спрогнозирована путем применения предполагаемой ставки инфляции Казахстана, за исключением капитальных затрат, которые были основаны на наилучшей оценке руководства, имеющейся на дату проведения оценки. Для целей оценки предполагалось, что руководство не сможет существенно уменьшить операционные и капитальные затраты в последние годы перед истечением срока контракта на недропользование с целью сокращения расходов. Все полученные денежные потоки были дисконтированы с использованием средневзвешенной стоимости капитала после налогообложения ("WACC") в размере 13,09%.</w:t>
      </w:r>
    </w:p>
    <w:p>
      <w:pPr>
        <w:spacing w:after="0"/>
        <w:ind w:left="0"/>
        <w:jc w:val="both"/>
      </w:pPr>
      <w:r>
        <w:rPr>
          <w:rFonts w:ascii="Times New Roman"/>
          <w:b w:val="false"/>
          <w:i w:val="false"/>
          <w:color w:val="000000"/>
          <w:sz w:val="28"/>
        </w:rPr>
        <w:t>
      Руководство считает, что расходы по обесценению долгосрочных активов АО "Озенмунайгаз" могут быть сторнированы в будущих периодах при условии, что фактическое производство в будущих периодах превысит ожидания, использованные в текущей оценке обесценения, или при появлении индикаторов значительного увеличения рыночной цены сырой нефти.</w:t>
      </w:r>
    </w:p>
    <w:bookmarkStart w:name="z295" w:id="294"/>
    <w:p>
      <w:pPr>
        <w:spacing w:after="0"/>
        <w:ind w:left="0"/>
        <w:jc w:val="both"/>
      </w:pPr>
      <w:r>
        <w:rPr>
          <w:rFonts w:ascii="Times New Roman"/>
          <w:b w:val="false"/>
          <w:i w:val="false"/>
          <w:color w:val="000000"/>
          <w:sz w:val="28"/>
        </w:rPr>
        <w:t xml:space="preserve">
      </w:t>
      </w:r>
      <w:r>
        <w:rPr>
          <w:rFonts w:ascii="Times New Roman"/>
          <w:b/>
          <w:i w:val="false"/>
          <w:color w:val="000000"/>
          <w:sz w:val="28"/>
        </w:rPr>
        <w:t>Возмещаемость гудвилла</w:t>
      </w:r>
    </w:p>
    <w:bookmarkEnd w:id="294"/>
    <w:p>
      <w:pPr>
        <w:spacing w:after="0"/>
        <w:ind w:left="0"/>
        <w:jc w:val="both"/>
      </w:pPr>
      <w:r>
        <w:rPr>
          <w:rFonts w:ascii="Times New Roman"/>
          <w:b w:val="false"/>
          <w:i w:val="false"/>
          <w:color w:val="000000"/>
          <w:sz w:val="28"/>
        </w:rPr>
        <w:t xml:space="preserve">
      </w:t>
      </w:r>
      <w:r>
        <w:rPr>
          <w:rFonts w:ascii="Times New Roman"/>
          <w:b w:val="false"/>
          <w:i/>
          <w:color w:val="000000"/>
          <w:sz w:val="28"/>
        </w:rPr>
        <w:t>Rompetrol Group N.V., Downstream Romania, Dyneff</w:t>
      </w:r>
    </w:p>
    <w:p>
      <w:pPr>
        <w:spacing w:after="0"/>
        <w:ind w:left="0"/>
        <w:jc w:val="both"/>
      </w:pPr>
      <w:r>
        <w:rPr>
          <w:rFonts w:ascii="Times New Roman"/>
          <w:b w:val="false"/>
          <w:i w:val="false"/>
          <w:color w:val="000000"/>
          <w:sz w:val="28"/>
        </w:rPr>
        <w:t>
      Возмещаемая стоимость подразделений "Нефтепереработка" и "Downstream Romania" была определена на основании ценности от использования с применением дисконтированных денежных потоков от финансовых планов, одобренных руководством на пятилетний период. Ставка дисконтирования, применимая к прогнозу денежных потоков в 2013 году, равна 9,7% (2012: 10,1%), а денежные потоки в течение данного пятилетнего периода экстраполировались с применением 1,5% ставки роста (2012: 1,5%), что совпадает со средней ставкой долгосрочного роста в данной промышленности. Ставка капитализации для остаточной стоимости составляет 8,2% (2012: 8,6%).</w:t>
      </w:r>
    </w:p>
    <w:p>
      <w:pPr>
        <w:spacing w:after="0"/>
        <w:ind w:left="0"/>
        <w:jc w:val="both"/>
      </w:pPr>
      <w:r>
        <w:rPr>
          <w:rFonts w:ascii="Times New Roman"/>
          <w:b w:val="false"/>
          <w:i w:val="false"/>
          <w:color w:val="000000"/>
          <w:sz w:val="28"/>
        </w:rPr>
        <w:t>
      Возмещаемая стоимость подразделения Dyneff была определена на основании ценности от использования с применением дисконтированных денежных потоков от финансовых планов, одобренных руководством на пятилетний период. Ставка дисконтирования, применимая к прогнозу движения денежных потоков в 2013 году, равна 8% (2012: 6,6%), а денежные потоки в течение данного пятилетнего периода экстраполировались с применением 1,5% ставки роста (2012: 1,5%), что совпадает со средней ставкой долгосрочного роста в данной промышленности. Ставка капитализации для остаточной стоимости в 2013 году составляет 6,5% (2012: 5,1%).</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Основные допущения, применявшиеся при расчете справедливой стоимости за вычетом затрат на реализацию "Нефтепереработка", "Downstream Romania" и "Dyneff"</w:t>
      </w:r>
    </w:p>
    <w:p>
      <w:pPr>
        <w:spacing w:after="0"/>
        <w:ind w:left="0"/>
        <w:jc w:val="both"/>
      </w:pPr>
      <w:r>
        <w:rPr>
          <w:rFonts w:ascii="Times New Roman"/>
          <w:b w:val="false"/>
          <w:i w:val="false"/>
          <w:color w:val="000000"/>
          <w:sz w:val="28"/>
        </w:rPr>
        <w:t>
      Основные допущения, применявшиеся при расчете ценности от использования за вычетом расходов на реализацию, представлены следующим образом:</w:t>
      </w:r>
    </w:p>
    <w:p>
      <w:pPr>
        <w:spacing w:after="0"/>
        <w:ind w:left="0"/>
        <w:jc w:val="both"/>
      </w:pPr>
      <w:r>
        <w:rPr>
          <w:rFonts w:ascii="Times New Roman"/>
          <w:b w:val="false"/>
          <w:i w:val="false"/>
          <w:color w:val="000000"/>
          <w:sz w:val="28"/>
        </w:rPr>
        <w:t>
      - Операционная прибыль;</w:t>
      </w:r>
    </w:p>
    <w:p>
      <w:pPr>
        <w:spacing w:after="0"/>
        <w:ind w:left="0"/>
        <w:jc w:val="both"/>
      </w:pPr>
      <w:r>
        <w:rPr>
          <w:rFonts w:ascii="Times New Roman"/>
          <w:b w:val="false"/>
          <w:i w:val="false"/>
          <w:color w:val="000000"/>
          <w:sz w:val="28"/>
        </w:rPr>
        <w:t>
      - Ставки дисконтирования;</w:t>
      </w:r>
    </w:p>
    <w:p>
      <w:pPr>
        <w:spacing w:after="0"/>
        <w:ind w:left="0"/>
        <w:jc w:val="both"/>
      </w:pPr>
      <w:r>
        <w:rPr>
          <w:rFonts w:ascii="Times New Roman"/>
          <w:b w:val="false"/>
          <w:i w:val="false"/>
          <w:color w:val="000000"/>
          <w:sz w:val="28"/>
        </w:rPr>
        <w:t>
      - Темпы роста, использованные для экстраполяции денежных потоков за пределами планового периода.</w:t>
      </w:r>
    </w:p>
    <w:p>
      <w:pPr>
        <w:spacing w:after="0"/>
        <w:ind w:left="0"/>
        <w:jc w:val="both"/>
      </w:pPr>
      <w:r>
        <w:rPr>
          <w:rFonts w:ascii="Times New Roman"/>
          <w:b w:val="false"/>
          <w:i w:val="false"/>
          <w:color w:val="000000"/>
          <w:sz w:val="28"/>
        </w:rPr>
        <w:t xml:space="preserve">
      Операционная прибыль – операционная прибыль, которая основывается на чистых доходах подразделений, генерирующих денежные средства. </w:t>
      </w:r>
    </w:p>
    <w:p>
      <w:pPr>
        <w:spacing w:after="0"/>
        <w:ind w:left="0"/>
        <w:jc w:val="both"/>
      </w:pPr>
      <w:r>
        <w:rPr>
          <w:rFonts w:ascii="Times New Roman"/>
          <w:b w:val="false"/>
          <w:i w:val="false"/>
          <w:color w:val="000000"/>
          <w:sz w:val="28"/>
        </w:rPr>
        <w:t>
      Ставки дисконтирования – ставки дисконтирования, которые отражают текущие рыночные оценки рисков, характерных для каждого подразделения, генерирующего денежные потоки. Ставка дисконтирования была вычислена на основании расчета средневзвешенной стоимости капитала в отрасли. В дальнейшем, данная ставка была откорректирована для отражения оценки рынка на какой-либо конкретный риск, относящийся к подразделению, генерирующему денежные потоки, для которой будущие прогнозы не были откорректированы.</w:t>
      </w:r>
    </w:p>
    <w:p>
      <w:pPr>
        <w:spacing w:after="0"/>
        <w:ind w:left="0"/>
        <w:jc w:val="both"/>
      </w:pPr>
      <w:r>
        <w:rPr>
          <w:rFonts w:ascii="Times New Roman"/>
          <w:b w:val="false"/>
          <w:i w:val="false"/>
          <w:color w:val="000000"/>
          <w:sz w:val="28"/>
        </w:rPr>
        <w:t>
      Оценка темпа роста – нормы, которые основаны на опубликованных исследованиях по данной отрасли.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Чувствительность к изменениям в допущениях "Нефтепереработка", "Downstream Romania", и "Dyneff"</w:t>
      </w:r>
    </w:p>
    <w:p>
      <w:pPr>
        <w:spacing w:after="0"/>
        <w:ind w:left="0"/>
        <w:jc w:val="both"/>
      </w:pPr>
      <w:r>
        <w:rPr>
          <w:rFonts w:ascii="Times New Roman"/>
          <w:b w:val="false"/>
          <w:i w:val="false"/>
          <w:color w:val="000000"/>
          <w:sz w:val="28"/>
        </w:rPr>
        <w:t xml:space="preserve">
      По мнению руководства, в отношении оценки ценности от использования для единиц, генерирующих денежные потоки, никакое приемлемое изменение в любом из указанных выше основных допущений не вызовет значительного превышения текущей стоимости единицы над ее возмещаемой стоимостью, кроме случаев раскрытых в следующем абзаце. На 31 декабря 2013 года порог рентабельности по текущей модели достигается при уменьшении прибыли от операционной деятельности на 67% для подразделения "Нефтепереработка", 72,3% для подразделения "Downstream Romania" и 66% для подразделения "Dyneff". </w:t>
      </w:r>
    </w:p>
    <w:bookmarkStart w:name="z296" w:id="295"/>
    <w:p>
      <w:pPr>
        <w:spacing w:after="0"/>
        <w:ind w:left="0"/>
        <w:jc w:val="both"/>
      </w:pPr>
      <w:r>
        <w:rPr>
          <w:rFonts w:ascii="Times New Roman"/>
          <w:b w:val="false"/>
          <w:i w:val="false"/>
          <w:color w:val="000000"/>
          <w:sz w:val="28"/>
        </w:rPr>
        <w:t xml:space="preserve">
      </w:t>
      </w:r>
      <w:r>
        <w:rPr>
          <w:rFonts w:ascii="Times New Roman"/>
          <w:b w:val="false"/>
          <w:i/>
          <w:color w:val="000000"/>
          <w:sz w:val="28"/>
        </w:rPr>
        <w:t>ПНХЗ</w:t>
      </w:r>
    </w:p>
    <w:bookmarkEnd w:id="295"/>
    <w:p>
      <w:pPr>
        <w:spacing w:after="0"/>
        <w:ind w:left="0"/>
        <w:jc w:val="both"/>
      </w:pPr>
      <w:r>
        <w:rPr>
          <w:rFonts w:ascii="Times New Roman"/>
          <w:b w:val="false"/>
          <w:i w:val="false"/>
          <w:color w:val="000000"/>
          <w:sz w:val="28"/>
        </w:rPr>
        <w:t>
      Возмещаемая стоимость ПНХЗ была определена на основании ценности от использования с применением дисконтированных денежных потоков, основанных на финансовых планах, утвержденных руководством на пятилетний срок. Ставка дисконтирования, применяемая к прогнозируемым денежным потокам, составила 11,34% (2012: 11,8%), а денежные потоки за пределами пятилетнего срока были экстраполированы с учетом темпа роста, равного 4,3% (2012: 3,67%). Ставка капитализации для остаточной стоимости составляет 7% (2012: 8,1%).</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Основные допущения, применявшиеся при расчете ценности от использования</w:t>
      </w:r>
    </w:p>
    <w:p>
      <w:pPr>
        <w:spacing w:after="0"/>
        <w:ind w:left="0"/>
        <w:jc w:val="both"/>
      </w:pPr>
      <w:r>
        <w:rPr>
          <w:rFonts w:ascii="Times New Roman"/>
          <w:b w:val="false"/>
          <w:i w:val="false"/>
          <w:color w:val="000000"/>
          <w:sz w:val="28"/>
        </w:rPr>
        <w:t>
      - Объем выработки сырой нефти и нефтепродуктов;</w:t>
      </w:r>
    </w:p>
    <w:p>
      <w:pPr>
        <w:spacing w:after="0"/>
        <w:ind w:left="0"/>
        <w:jc w:val="both"/>
      </w:pPr>
      <w:r>
        <w:rPr>
          <w:rFonts w:ascii="Times New Roman"/>
          <w:b w:val="false"/>
          <w:i w:val="false"/>
          <w:color w:val="000000"/>
          <w:sz w:val="28"/>
        </w:rPr>
        <w:t>
      - Запланированное значение EBITDA;</w:t>
      </w:r>
    </w:p>
    <w:p>
      <w:pPr>
        <w:spacing w:after="0"/>
        <w:ind w:left="0"/>
        <w:jc w:val="both"/>
      </w:pPr>
      <w:r>
        <w:rPr>
          <w:rFonts w:ascii="Times New Roman"/>
          <w:b w:val="false"/>
          <w:i w:val="false"/>
          <w:color w:val="000000"/>
          <w:sz w:val="28"/>
        </w:rPr>
        <w:t>
      - Капитальные затраты в 2013-2017 годах;</w:t>
      </w:r>
    </w:p>
    <w:p>
      <w:pPr>
        <w:spacing w:after="0"/>
        <w:ind w:left="0"/>
        <w:jc w:val="both"/>
      </w:pPr>
      <w:r>
        <w:rPr>
          <w:rFonts w:ascii="Times New Roman"/>
          <w:b w:val="false"/>
          <w:i w:val="false"/>
          <w:color w:val="000000"/>
          <w:sz w:val="28"/>
        </w:rPr>
        <w:t>
      - Ставки дисконтирования</w:t>
      </w:r>
    </w:p>
    <w:p>
      <w:pPr>
        <w:spacing w:after="0"/>
        <w:ind w:left="0"/>
        <w:jc w:val="both"/>
      </w:pPr>
      <w:r>
        <w:rPr>
          <w:rFonts w:ascii="Times New Roman"/>
          <w:b w:val="false"/>
          <w:i w:val="false"/>
          <w:color w:val="000000"/>
          <w:sz w:val="28"/>
        </w:rPr>
        <w:t xml:space="preserve">
      Объем выработки сырой нефти и нефтепродуктов – являются прогнозами Группы по выходу нефтепродуктов при переработке 1 тонны сырой нефти до и после модернизации ПНХЗ. </w:t>
      </w:r>
    </w:p>
    <w:p>
      <w:pPr>
        <w:spacing w:after="0"/>
        <w:ind w:left="0"/>
        <w:jc w:val="both"/>
      </w:pPr>
      <w:r>
        <w:rPr>
          <w:rFonts w:ascii="Times New Roman"/>
          <w:b w:val="false"/>
          <w:i w:val="false"/>
          <w:color w:val="000000"/>
          <w:sz w:val="28"/>
        </w:rPr>
        <w:t>
      Запланированное значение EBITDA – является запланированным значением EBITDA, определенным на основе прошлого опыта, которое скорректировано с учетом того, что выручка от реализации нефтепродуктов возрастет вследствие введения в действие модернизированных производственных мощностей ПНХЗ в 2016 и 2017 годах.</w:t>
      </w:r>
    </w:p>
    <w:p>
      <w:pPr>
        <w:spacing w:after="0"/>
        <w:ind w:left="0"/>
        <w:jc w:val="both"/>
      </w:pPr>
      <w:r>
        <w:rPr>
          <w:rFonts w:ascii="Times New Roman"/>
          <w:b w:val="false"/>
          <w:i w:val="false"/>
          <w:color w:val="000000"/>
          <w:sz w:val="28"/>
        </w:rPr>
        <w:t>
      Капитальные затраты – капитальные затраты представляют собой затраты: а) по реконструкции и модернизации ПНХЗ; б) затраты, необходимые для поддержания текущего состояния актива.</w:t>
      </w:r>
    </w:p>
    <w:p>
      <w:pPr>
        <w:spacing w:after="0"/>
        <w:ind w:left="0"/>
        <w:jc w:val="both"/>
      </w:pPr>
      <w:r>
        <w:rPr>
          <w:rFonts w:ascii="Times New Roman"/>
          <w:b w:val="false"/>
          <w:i w:val="false"/>
          <w:color w:val="000000"/>
          <w:sz w:val="28"/>
        </w:rPr>
        <w:t>
      Ставки дисконтирования – ставки дисконтирования, которые отражают текущие рыночные оценки рисков, характерных для каждого подразделения, генерирующего денежные средства. Ставка дисконтирования была вычислена на основании расчета средневзвешенной стоимости капитала в отрасли. В дальнейшем, данная ставка была откорректирована для отражения оценки рынка на какой-либо конкретный риск, относящийся к подразделению, генерирующему денежные потоки, для которой будущие оценочные денежные потоки не были откорректированы.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Чувствительность к изменениям в допущениях</w:t>
      </w:r>
    </w:p>
    <w:p>
      <w:pPr>
        <w:spacing w:after="0"/>
        <w:ind w:left="0"/>
        <w:jc w:val="both"/>
      </w:pPr>
      <w:r>
        <w:rPr>
          <w:rFonts w:ascii="Times New Roman"/>
          <w:b w:val="false"/>
          <w:i w:val="false"/>
          <w:color w:val="000000"/>
          <w:sz w:val="28"/>
        </w:rPr>
        <w:t xml:space="preserve">
      Результаты оценки возмещаемой стоимости гудвилла ПНХЗ являются чувствительными к изменению основных допущений, в частности, допущений, связанных с изменением ставки дисконтирования WACC, а также запланированного значения EBITDA в терминальном периоде. Повышения ставки дисконтирования на 1% с 11,3% до 12.3%, приведет к тому, что балансовая стоимость гудвилла превысит возмещаемую стоимость на 9.508.000 тысяч тенге. Понижение запланированного в терминальном периоде значения EBITDA на 3% с 15,1% до 12,1% приведет к обесценению гудвилла на 52.673.000 тысячи тенге, при таких обстоятельствах возмещаемая стоимость гудвилла будет равна 35.880.000 тысяч тенге. </w:t>
      </w:r>
    </w:p>
    <w:p>
      <w:pPr>
        <w:spacing w:after="0"/>
        <w:ind w:left="0"/>
        <w:jc w:val="both"/>
      </w:pPr>
      <w:r>
        <w:rPr>
          <w:rFonts w:ascii="Times New Roman"/>
          <w:b w:val="false"/>
          <w:i w:val="false"/>
          <w:color w:val="000000"/>
          <w:sz w:val="28"/>
        </w:rPr>
        <w:t xml:space="preserve">
      Понижение курса тенге по отношению к доллару США на 5% приведет к полному обесценению гудвилла и к обесценению долгосрочных активов ПНХЗ на 78.510.000 тысяч тенге. В таком случае возмещаемая стоимость долгосрочных активов ПНХЗ будет равна 13.009.000 тысяч тенге.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Горнорудная промышленность:</w:t>
      </w:r>
    </w:p>
    <w:p>
      <w:pPr>
        <w:spacing w:after="0"/>
        <w:ind w:left="0"/>
        <w:jc w:val="both"/>
      </w:pPr>
      <w:r>
        <w:rPr>
          <w:rFonts w:ascii="Times New Roman"/>
          <w:b w:val="false"/>
          <w:i w:val="false"/>
          <w:color w:val="000000"/>
          <w:sz w:val="28"/>
        </w:rPr>
        <w:t>
      Группа использует следующие ставки и периоды для расчета возмещаемой стоимости гудвилла по горнорудному сегменту: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6848"/>
        <w:gridCol w:w="3963"/>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дисконтирования</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темп роста</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лет</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Прогнозирование денежных потоков определено на основе утвержденных объемов разведанных запасов, прогнозируемых денежных потоков, основанных на величине расчетного объема добычи на месторождении исходя из срока продолжительности месторождения, утвержденного руководством. Объемы производства согласованы с утвержденными государством стратегиями, и основаны на производственной мощности генерирующей единицы с учетом будущих приобретений активов и оттока денежных средств от инвестиций. Долгосрочные темпы роста основаны на макроэкономических и отраслевых прогнозах, полученных из Global Insight. Цены, используемые в расчете прогнозных денежных потоков определяются с использованием независимого официального источника "Ux Consulting LLC". В 2013 г., в результате снижения рыночных цен на уран, Группа признала убыток от обесценения в сумме 4.945.000 тысячи тенге (2012: ноль).</w:t>
      </w:r>
    </w:p>
    <w:bookmarkStart w:name="z297" w:id="296"/>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выбытию активов</w:t>
      </w:r>
    </w:p>
    <w:bookmarkEnd w:id="296"/>
    <w:p>
      <w:pPr>
        <w:spacing w:after="0"/>
        <w:ind w:left="0"/>
        <w:jc w:val="both"/>
      </w:pPr>
      <w:r>
        <w:rPr>
          <w:rFonts w:ascii="Times New Roman"/>
          <w:b w:val="false"/>
          <w:i w:val="false"/>
          <w:color w:val="000000"/>
          <w:sz w:val="28"/>
        </w:rPr>
        <w:t xml:space="preserve">
      </w:t>
      </w:r>
      <w:r>
        <w:rPr>
          <w:rFonts w:ascii="Times New Roman"/>
          <w:b w:val="false"/>
          <w:i/>
          <w:color w:val="000000"/>
          <w:sz w:val="28"/>
        </w:rPr>
        <w:t>Нефтегазовые производственные активы</w:t>
      </w:r>
    </w:p>
    <w:p>
      <w:pPr>
        <w:spacing w:after="0"/>
        <w:ind w:left="0"/>
        <w:jc w:val="both"/>
      </w:pPr>
      <w:r>
        <w:rPr>
          <w:rFonts w:ascii="Times New Roman"/>
          <w:b w:val="false"/>
          <w:i w:val="false"/>
          <w:color w:val="000000"/>
          <w:sz w:val="28"/>
        </w:rPr>
        <w:t xml:space="preserve">
      По условиям определенных контрактов на недропользование, в соответствии с законодательством и нормативно-правовыми актами, Группа несет юридические обязательства по демонтажу и ликвидации основных средств и восстановлению земельных участков на каждом из месторождений. В частности, к обязательствам Группы относятся постепенное закрытие всех непродуктивных скважин и действия по окончательному прекращению деятельности, такие как демонтаж трубопроводов, зданий и рекультивация контрактной территории, а также выводу из эксплуатации и обязательств по загрязнению окружающей среды на каждом производственном участке. Так как срок действия контрактов на недропользование не может быть продлен по усмотрению Группы, допускается, что расчетным сроком погашения обязательств на месторождении по окончательному закрытию является дата окончания каждого контракта на недропользование. </w:t>
      </w:r>
    </w:p>
    <w:p>
      <w:pPr>
        <w:spacing w:after="0"/>
        <w:ind w:left="0"/>
        <w:jc w:val="both"/>
      </w:pPr>
      <w:r>
        <w:rPr>
          <w:rFonts w:ascii="Times New Roman"/>
          <w:b w:val="false"/>
          <w:i w:val="false"/>
          <w:color w:val="000000"/>
          <w:sz w:val="28"/>
        </w:rPr>
        <w:t>
      Если бы обязательства по ликвидации активов должны были бы погашаться по истечении экономически обоснованного окончания эксплуатации месторождений, то отраженное обязательство значительно возросло бы вследствие включения всех расходов по ликвидации скважин и конечных расходов по закрытию. Объем обязательств Группы по финансированию ликвидации скважин и затрат по окончательному закрытию зависит от условий соответствующих контрактов на недропользование и действующего законодательства.</w:t>
      </w:r>
    </w:p>
    <w:p>
      <w:pPr>
        <w:spacing w:after="0"/>
        <w:ind w:left="0"/>
        <w:jc w:val="both"/>
      </w:pPr>
      <w:r>
        <w:rPr>
          <w:rFonts w:ascii="Times New Roman"/>
          <w:b w:val="false"/>
          <w:i w:val="false"/>
          <w:color w:val="000000"/>
          <w:sz w:val="28"/>
        </w:rPr>
        <w:t xml:space="preserve">
      Обязательства не признаются в тех случаях, когда ни контракт на недропользование, ни законодательство не подразумевают определенного обязательства по финансированию таких расходов по окончательной ликвидации и окончательному закрытию в конце срока контракта на недропользование. Принятие такого решения сопровождается некоторой неопределенностью и существенными суждениями. Оценки руководства касательно наличия или отсутствия таких обязательств могут измениться вместе с изменениями в политике и практике Правительства или в местной отраслевой практике. </w:t>
      </w:r>
    </w:p>
    <w:p>
      <w:pPr>
        <w:spacing w:after="0"/>
        <w:ind w:left="0"/>
        <w:jc w:val="both"/>
      </w:pPr>
      <w:r>
        <w:rPr>
          <w:rFonts w:ascii="Times New Roman"/>
          <w:b w:val="false"/>
          <w:i w:val="false"/>
          <w:color w:val="000000"/>
          <w:sz w:val="28"/>
        </w:rPr>
        <w:t xml:space="preserve">
      Группа рассчитывает обязательства по выбытию активов отдельно по каждому контракту. Сумма обязательства является текущей стоимостью оцененных затрат, которые как ожидаются, потребуются для погашения обязательства, скорректированных на ожидаемый уровень инфляции и дисконтированных с использованием средних безрисковых процентных ставок по государственному долгу стран с переходной экономикой, скорректированных на риски, присущие казахстанскому рынку. </w:t>
      </w:r>
    </w:p>
    <w:p>
      <w:pPr>
        <w:spacing w:after="0"/>
        <w:ind w:left="0"/>
        <w:jc w:val="both"/>
      </w:pPr>
      <w:r>
        <w:rPr>
          <w:rFonts w:ascii="Times New Roman"/>
          <w:b w:val="false"/>
          <w:i w:val="false"/>
          <w:color w:val="000000"/>
          <w:sz w:val="28"/>
        </w:rPr>
        <w:t xml:space="preserve">
      Обязательство по выбытию активов пересматривается на каждую отчетную дату и корректируется для отражения наилучшей оценки согласно КИМСФО 1 "Изменения в обязательствах по выводу из эксплуатации объекта основных средств, восстановлению природных ресурсов на занимаемом им участке и иных аналогичных обязательствах". </w:t>
      </w:r>
    </w:p>
    <w:p>
      <w:pPr>
        <w:spacing w:after="0"/>
        <w:ind w:left="0"/>
        <w:jc w:val="both"/>
      </w:pPr>
      <w:r>
        <w:rPr>
          <w:rFonts w:ascii="Times New Roman"/>
          <w:b w:val="false"/>
          <w:i w:val="false"/>
          <w:color w:val="000000"/>
          <w:sz w:val="28"/>
        </w:rPr>
        <w:t xml:space="preserve">
      При оценке будущих затрат на закрытие и выбытие активов использовались существенные оценки и суждения, сделанные руководством. Большинство этих обязательств относятся к отдаленному будущему и помимо неясности в законодательных требованиях, на оценки Группы могут оказать влияние изменения в технологии демонтажа активов, затратах и отраслевой практике. Неопределенности, относящиеся к затратам на окончательное закрытие и выбытие активов, уменьшаются за счет влияния дисконтирования ожидаемых денежных потоков. Группа оценивает стоимость будущей ликвидации скважин, используя цены текущего года и среднее значение долгосрочного уровня инфляции. </w:t>
      </w:r>
    </w:p>
    <w:p>
      <w:pPr>
        <w:spacing w:after="0"/>
        <w:ind w:left="0"/>
        <w:jc w:val="both"/>
      </w:pPr>
      <w:r>
        <w:rPr>
          <w:rFonts w:ascii="Times New Roman"/>
          <w:b w:val="false"/>
          <w:i w:val="false"/>
          <w:color w:val="000000"/>
          <w:sz w:val="28"/>
        </w:rPr>
        <w:t>
      Долгосрочная инфляция и ставки дисконтирования, использованные для определения обязательства в консолидированном бухгалтерском балансе по предприятиям Группы, на 31 декабря 2013 года были в интервале от 2% до 5,6% и от 6% до 8%, соответственно (2012: от 1,9% до 5,0% и от 4,94% до 7,9%, соответственно).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Магистральные нефте-газопроводы</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магистральном трубопроводе", вступившим в силу 4 июля 2012 года, АО "КазТрансОйл" (далее "КТО"), дочерняя организация НК КМГ, имеет юридическое обязательство по ликвидации магистрального трубопровода (нефтепровода) после окончания эксплуатации и последующему проведению мероприятий по восстановлению окружающей среды, в том числе по рекультивации земель. Это возможно в случае, если полностью истощены запасы нефти недропользователей, транспортирующих нефть по трубопроводам Группы. </w:t>
      </w:r>
    </w:p>
    <w:p>
      <w:pPr>
        <w:spacing w:after="0"/>
        <w:ind w:left="0"/>
        <w:jc w:val="both"/>
      </w:pPr>
      <w:r>
        <w:rPr>
          <w:rFonts w:ascii="Times New Roman"/>
          <w:b w:val="false"/>
          <w:i w:val="false"/>
          <w:color w:val="000000"/>
          <w:sz w:val="28"/>
        </w:rPr>
        <w:t>
      Резерв под обязательство по ликвидации трубопроводов и рекультивации земель оценивается на основе рассчитанной Группой стоимости проведения работ по демонтажу и рекультивации в соответствии с действующими в Республике Казахстан техническими правилами и нормами (сумма затрат по демонтажу трубопровода за 1 км составляет 2.891 тысяча тенге). Сумма резерва была определена на конец отчетного периода с применением прогнозируемой ставки инфляции за ожидаемый срок исполнения обязательства (17 лет), и ставки дисконта на конец отчетного периода, представленных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4384"/>
        <w:gridCol w:w="4385"/>
      </w:tblGrid>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процентном выражении:</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дисконтирования на 31 декабря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инфляции на 31 декабря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ставки дисконтирования основывается на безрисковых ставках по государственным облигациям Республики Казахстан.</w:t>
      </w:r>
    </w:p>
    <w:p>
      <w:pPr>
        <w:spacing w:after="0"/>
        <w:ind w:left="0"/>
        <w:jc w:val="both"/>
      </w:pPr>
      <w:r>
        <w:rPr>
          <w:rFonts w:ascii="Times New Roman"/>
          <w:b w:val="false"/>
          <w:i w:val="false"/>
          <w:color w:val="000000"/>
          <w:sz w:val="28"/>
        </w:rPr>
        <w:t>
      По состоянию на 31 декабря 2013 года балансовая стоимость резерва по обязательству по ликвидации трубопроводов и рекультивации земель составила 16.668.000 тысячи тенге (2012: 15.531.000 тысячи тенге).</w:t>
      </w:r>
    </w:p>
    <w:p>
      <w:pPr>
        <w:spacing w:after="0"/>
        <w:ind w:left="0"/>
        <w:jc w:val="both"/>
      </w:pPr>
      <w:r>
        <w:rPr>
          <w:rFonts w:ascii="Times New Roman"/>
          <w:b w:val="false"/>
          <w:i w:val="false"/>
          <w:color w:val="000000"/>
          <w:sz w:val="28"/>
        </w:rPr>
        <w:t>
      Оценки затрат по устранению ущерба подвержены потенциальным изменениям в природоохранных требованиях и интерпретациях законодательства. Кроме того, неопределенности в оценках таких затрат включают потенциальные изменения в альтернативах, методах ликвидации, восстановления нарушенных земель, уровней дисконта и ставки инфляции и периода, в течение которого данное обязательство наступит.</w:t>
      </w:r>
    </w:p>
    <w:p>
      <w:pPr>
        <w:spacing w:after="0"/>
        <w:ind w:left="0"/>
        <w:jc w:val="both"/>
      </w:pPr>
      <w:r>
        <w:rPr>
          <w:rFonts w:ascii="Times New Roman"/>
          <w:b w:val="false"/>
          <w:i w:val="false"/>
          <w:color w:val="000000"/>
          <w:sz w:val="28"/>
        </w:rPr>
        <w:t>
      В отношении обязательств АО "Интергаз Центральная Азия" ("ИЦА"), другой дочерней организации НК КМГ, руководство считает, что вышеуказанный закон к ней не применим, так как ИЦА не является собственником магистрального газопровода, а осуществляет свою деятельность на основе Договора Концессии между ИЦА и Правительством. Согласно условиям Договора Концессии ИЦА обязуется управлять сетью газопроводов до 14 июня 2017 года, с возможностью продления срока на дополнительные 10 (десять) лет, после которых газопроводы будут переданы в собственность Государства. Следовательно, никакие суммы по ликвидации газопроводов ИЦА не были признаны по состоянию на 31 декабря 2013 года.</w:t>
      </w:r>
    </w:p>
    <w:bookmarkStart w:name="z298" w:id="297"/>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Экологическая реабилитация</w:t>
      </w:r>
    </w:p>
    <w:bookmarkEnd w:id="297"/>
    <w:p>
      <w:pPr>
        <w:spacing w:after="0"/>
        <w:ind w:left="0"/>
        <w:jc w:val="both"/>
      </w:pPr>
      <w:r>
        <w:rPr>
          <w:rFonts w:ascii="Times New Roman"/>
          <w:b w:val="false"/>
          <w:i w:val="false"/>
          <w:color w:val="000000"/>
          <w:sz w:val="28"/>
        </w:rPr>
        <w:t>
      Группа также делает оценки и выносит суждения по формированию резервов по обязательствам на экологические очистительные работы и реабилитацию. Затраты на охрану окружающей среды капитализируются или относятся на расходы в зависимости от их будущей экономической выгоды. Затраты, которые относятся к существующему состоянию, вызванному прошлой деятельностью и не имеющие будущей экономической выгоды, относятся на расходы периода.</w:t>
      </w:r>
    </w:p>
    <w:p>
      <w:pPr>
        <w:spacing w:after="0"/>
        <w:ind w:left="0"/>
        <w:jc w:val="both"/>
      </w:pPr>
      <w:r>
        <w:rPr>
          <w:rFonts w:ascii="Times New Roman"/>
          <w:b w:val="false"/>
          <w:i w:val="false"/>
          <w:color w:val="000000"/>
          <w:sz w:val="28"/>
        </w:rPr>
        <w:t xml:space="preserve">
      Обязательства определяются на основании текущей информации о затратах и ожидаемых планах по рекультивации и учитываются на не дисконтированной основе, если сроки процедур не согласованы с соответствующими органами. Резерв Группы на экологическую реабилитацию представляет собой наилучшие оценки руководства, основанные на независимой оценке ожидаемых затрат, необходимых для того, чтобы Группа соблюдала требования существующих казахстанской и европейской регуляторных требований. Группа классифицировала данное обязательство как долгосрочное, за исключением части затрат, включенных в годовой бюджет 2014 года. В отношении резервов по экологической реабилитации, фактические затраты могут отличаться от оценок вследствие изменений в законодательстве и нормативно-правовых актах, общественных ожиданий, обнаружения и анализа территориальных условий и изменений в технологиях очистки. Дополнительные неопределенности, относящиеся к экологической реабилитации, раскрыты в </w:t>
      </w:r>
      <w:r>
        <w:rPr>
          <w:rFonts w:ascii="Times New Roman"/>
          <w:b w:val="false"/>
          <w:i/>
          <w:color w:val="000000"/>
          <w:sz w:val="28"/>
        </w:rPr>
        <w:t>Примечании 13</w:t>
      </w:r>
      <w:r>
        <w:rPr>
          <w:rFonts w:ascii="Times New Roman"/>
          <w:b w:val="false"/>
          <w:i w:val="false"/>
          <w:color w:val="000000"/>
          <w:sz w:val="28"/>
        </w:rPr>
        <w:t xml:space="preserve">. </w:t>
      </w:r>
    </w:p>
    <w:bookmarkStart w:name="z299" w:id="298"/>
    <w:p>
      <w:pPr>
        <w:spacing w:after="0"/>
        <w:ind w:left="0"/>
        <w:jc w:val="both"/>
      </w:pPr>
      <w:r>
        <w:rPr>
          <w:rFonts w:ascii="Times New Roman"/>
          <w:b w:val="false"/>
          <w:i w:val="false"/>
          <w:color w:val="000000"/>
          <w:sz w:val="28"/>
        </w:rPr>
        <w:t xml:space="preserve">
      </w:t>
      </w:r>
      <w:r>
        <w:rPr>
          <w:rFonts w:ascii="Times New Roman"/>
          <w:b/>
          <w:i w:val="false"/>
          <w:color w:val="000000"/>
          <w:sz w:val="28"/>
        </w:rPr>
        <w:t>Резервы на строительство социальных активов</w:t>
      </w:r>
    </w:p>
    <w:bookmarkEnd w:id="298"/>
    <w:p>
      <w:pPr>
        <w:spacing w:after="0"/>
        <w:ind w:left="0"/>
        <w:jc w:val="both"/>
      </w:pPr>
      <w:r>
        <w:rPr>
          <w:rFonts w:ascii="Times New Roman"/>
          <w:b w:val="false"/>
          <w:i w:val="false"/>
          <w:color w:val="000000"/>
          <w:sz w:val="28"/>
        </w:rPr>
        <w:t xml:space="preserve">
      На 31 декабря 2013 года прочие резервы в основном включают резервы под обязательства по строительству следующих объектов: "Музей истории Казахстана" (НК КМГ), "Многофункциональный ледовый дворец в г. Астана" (НК КТЖ), "Щучинско-Боровской гольф-клуб" (НК КМГ) и реконструкции объекта "Всемирный выставочный центр" в г.Москва (НК КМГ). Расходы по резерву на строительство были признаны в капитале в качестве распределения Акционеру. Увеличение в резерве вызвано, в основном, дополнительными поручениями Правительства по строительству Музея истории Казахстана (23.551.000 тысяча тенге), Щучинско-Боровского гольф-клуба (13.321.000 тысяча тенге), а также изменениями в первоначальной оценке резервов на строительство других объектов. Изменения в первоначальной оценке затрат на строительство могут повлиять на сумму резервов, и суммарный эффект таких изменений может быть существенным. Группа считает, что временной эффект на стоимость является незначительным. </w:t>
      </w:r>
    </w:p>
    <w:bookmarkStart w:name="z300" w:id="299"/>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полезной службы объектов основных средств</w:t>
      </w:r>
    </w:p>
    <w:bookmarkEnd w:id="299"/>
    <w:p>
      <w:pPr>
        <w:spacing w:after="0"/>
        <w:ind w:left="0"/>
        <w:jc w:val="both"/>
      </w:pPr>
      <w:r>
        <w:rPr>
          <w:rFonts w:ascii="Times New Roman"/>
          <w:b w:val="false"/>
          <w:i w:val="false"/>
          <w:color w:val="000000"/>
          <w:sz w:val="28"/>
        </w:rPr>
        <w:t xml:space="preserve">
      Группа пересматривает оставшийся срок полезной службы основных средств на каждую отчетную дату и, в случае если ожидания отличаются от предыдущей оценки, изменения учитываются перспективно как изменения в учетных оценках в соответствии с МСБУ 8 "Учетная политика, изменения в расчетных оценках и ошибки". </w:t>
      </w:r>
    </w:p>
    <w:bookmarkStart w:name="z301" w:id="300"/>
    <w:p>
      <w:pPr>
        <w:spacing w:after="0"/>
        <w:ind w:left="0"/>
        <w:jc w:val="both"/>
      </w:pPr>
      <w:r>
        <w:rPr>
          <w:rFonts w:ascii="Times New Roman"/>
          <w:b w:val="false"/>
          <w:i w:val="false"/>
          <w:color w:val="000000"/>
          <w:sz w:val="28"/>
        </w:rPr>
        <w:t xml:space="preserve">
      </w:t>
      </w:r>
      <w:r>
        <w:rPr>
          <w:rFonts w:ascii="Times New Roman"/>
          <w:b/>
          <w:i w:val="false"/>
          <w:color w:val="000000"/>
          <w:sz w:val="28"/>
        </w:rPr>
        <w:t>Отложенные налоговые активы</w:t>
      </w:r>
    </w:p>
    <w:bookmarkEnd w:id="300"/>
    <w:p>
      <w:pPr>
        <w:spacing w:after="0"/>
        <w:ind w:left="0"/>
        <w:jc w:val="both"/>
      </w:pPr>
      <w:r>
        <w:rPr>
          <w:rFonts w:ascii="Times New Roman"/>
          <w:b w:val="false"/>
          <w:i w:val="false"/>
          <w:color w:val="000000"/>
          <w:sz w:val="28"/>
        </w:rPr>
        <w:t xml:space="preserve">
      Отложенные налоговые активы признаются по всем резервам и перенесенным налоговым убыткам в той степени, в которой существует вероятность того, что будут обоснованы налогооблагаемые временные разницы и коммерческий характер таких расходов. Существенные суждения руководства требуются для оценки отложенных налоговых активов, которые могут быть признаны на основе планируемого уровня и времени доходности. Сумма признанных отложенных налоговых активов на 31 декабря 2013 года составляла 42.084.000 тысячи тенге (2012 год: 77.964.000 тысячи тенге). </w:t>
      </w:r>
    </w:p>
    <w:bookmarkStart w:name="z302" w:id="301"/>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Налогообложение</w:t>
      </w:r>
    </w:p>
    <w:bookmarkEnd w:id="301"/>
    <w:p>
      <w:pPr>
        <w:spacing w:after="0"/>
        <w:ind w:left="0"/>
        <w:jc w:val="both"/>
      </w:pPr>
      <w:r>
        <w:rPr>
          <w:rFonts w:ascii="Times New Roman"/>
          <w:b w:val="false"/>
          <w:i w:val="false"/>
          <w:color w:val="000000"/>
          <w:sz w:val="28"/>
        </w:rPr>
        <w:t xml:space="preserve">
      В отношении интерпретации сложного налогового законодательства, изменений в налоговом законодательстве, а также сумм и сроков получения будущего налогооблагаемого дохода существует неопределенность. С учетом значительного разнообразия международных операций Группы, а также долгосрочного характера и сложности имеющихся договорных отношений, разница, возникающая между фактическими результатами и принятыми допущениями, или будущие изменения таких допущений могут повлечь за собой будущие корректировки уже отраженных в формах отчетности сумм расходов или доходов. Основываясь на обоснованных допущениях, Группа создает резервы под возможные последствия налогового аудита, проводимого налоговыми органами стран, в которых она осуществляет свою деятельность. </w:t>
      </w:r>
    </w:p>
    <w:p>
      <w:pPr>
        <w:spacing w:after="0"/>
        <w:ind w:left="0"/>
        <w:jc w:val="both"/>
      </w:pPr>
      <w:r>
        <w:rPr>
          <w:rFonts w:ascii="Times New Roman"/>
          <w:b w:val="false"/>
          <w:i w:val="false"/>
          <w:color w:val="000000"/>
          <w:sz w:val="28"/>
        </w:rPr>
        <w:t xml:space="preserve">
      Величина подобных резервов зависит от различных факторов, например, от результатов предыдущих аудитов и различных интерпретаций налогового законодательства компанией-налогоплательщиком и соответствующим налоговым органом. Подобные различия в интерпретации могут возникнуть по большому количеству вопросов в зависимости от условий, преобладающих в стране, в которой зарегистрирована соответствующая компания Группы. </w:t>
      </w:r>
    </w:p>
    <w:p>
      <w:pPr>
        <w:spacing w:after="0"/>
        <w:ind w:left="0"/>
        <w:jc w:val="both"/>
      </w:pPr>
      <w:r>
        <w:rPr>
          <w:rFonts w:ascii="Times New Roman"/>
          <w:b w:val="false"/>
          <w:i w:val="false"/>
          <w:color w:val="000000"/>
          <w:sz w:val="28"/>
        </w:rPr>
        <w:t xml:space="preserve">
      При оценке налоговых рисков, руководство Группы рассматривает в качестве возможных обязательств известные сферы несоблюдения налогового законодательства, которые Группа не может оспорить или не считает, что она сможет успешно обжаловать, если дополнительные налоги будут начислены налоговыми органами. Такое определение требует вынесения существенных суждений и может изменяться в результате изменений в налоговом законодательстве и нормативно-правовых актах, поправок в условия налогообложения в контрактах Группы на недропользование, определения ожидаемых результатов по ожидающим своего решения налоговым разбирательствам и результата осуществляемой налоговыми органами проверки на соответствие. Резерв по налогам в основном, относится к применению Группой казахстанского законодательства о трансфертном ценообразовании в отношении экспортной реализации сырой нефти на период с 2002 по 2006 годы. Остальные неопределенности, относящиеся к налогообложению, раскрыты в </w:t>
      </w:r>
      <w:r>
        <w:rPr>
          <w:rFonts w:ascii="Times New Roman"/>
          <w:b w:val="false"/>
          <w:i/>
          <w:color w:val="000000"/>
          <w:sz w:val="28"/>
        </w:rPr>
        <w:t>Примечании 13</w:t>
      </w:r>
      <w:r>
        <w:rPr>
          <w:rFonts w:ascii="Times New Roman"/>
          <w:b w:val="false"/>
          <w:i w:val="false"/>
          <w:color w:val="000000"/>
          <w:sz w:val="28"/>
        </w:rPr>
        <w:t>.</w:t>
      </w:r>
    </w:p>
    <w:bookmarkStart w:name="z303" w:id="302"/>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Справедливая стоимость финансовых инструментов</w:t>
      </w:r>
    </w:p>
    <w:bookmarkEnd w:id="302"/>
    <w:p>
      <w:pPr>
        <w:spacing w:after="0"/>
        <w:ind w:left="0"/>
        <w:jc w:val="both"/>
      </w:pPr>
      <w:r>
        <w:rPr>
          <w:rFonts w:ascii="Times New Roman"/>
          <w:b w:val="false"/>
          <w:i w:val="false"/>
          <w:color w:val="000000"/>
          <w:sz w:val="28"/>
        </w:rPr>
        <w:t xml:space="preserve">
      В случаях, когда справедливая стоимость финансовых инструментов и финансовых обязательств, признанных в консолидированном бухгалтерском балансе, не может быть определена на основании данных активных рынков, она определяется с использованием методов оценки, включая модель дисконтированных денежных потоков. В качестве исходных данных для этих моделей по возможности используется информация с наблюдаемых рынков, однако в тех случаях, когда это не представляется практически осуществимым, требуется определенная доля суждения для установления справедливой стоимости. Суждения включают учет таких исходных данных как риск ликвидности, кредитный риск и волатильность. Изменения в допущениях относительно данных факторов могут оказать влияние на справедливую стоимость финансовых инструментов, отраженную в консолидированных формах финансовой отчетности. Более подробная информация приведена в </w:t>
      </w:r>
      <w:r>
        <w:rPr>
          <w:rFonts w:ascii="Times New Roman"/>
          <w:b w:val="false"/>
          <w:i/>
          <w:color w:val="000000"/>
          <w:sz w:val="28"/>
        </w:rPr>
        <w:t>Примечании 12</w:t>
      </w:r>
      <w:r>
        <w:rPr>
          <w:rFonts w:ascii="Times New Roman"/>
          <w:b w:val="false"/>
          <w:i w:val="false"/>
          <w:color w:val="000000"/>
          <w:sz w:val="28"/>
        </w:rPr>
        <w:t>.</w:t>
      </w:r>
    </w:p>
    <w:bookmarkStart w:name="z304" w:id="303"/>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Обязательство по вознаграждениям работникам</w:t>
      </w:r>
    </w:p>
    <w:bookmarkEnd w:id="303"/>
    <w:p>
      <w:pPr>
        <w:spacing w:after="0"/>
        <w:ind w:left="0"/>
        <w:jc w:val="both"/>
      </w:pPr>
      <w:r>
        <w:rPr>
          <w:rFonts w:ascii="Times New Roman"/>
          <w:b w:val="false"/>
          <w:i w:val="false"/>
          <w:color w:val="000000"/>
          <w:sz w:val="28"/>
        </w:rPr>
        <w:t xml:space="preserve">
      Группа использует актуарный метод оценки для определения текущей стоимости обязательств по установленным выплатам после выхода на пенсию и связанную с этим текущую стоимость услуг. Это требует использования демографических предположений в отношении будущих характеристик действительных и ушедших работников, которым полагаются вознаграждения (смертность в течение работы и после, статистика по изменению численности персонала, и прочее), а также финансовые предположения (ставка дисконтирования, будущая годовая материальная помощь, будущая годовая минимальная заработная плата, будущая средняя цена железнодорожного билета). </w:t>
      </w:r>
    </w:p>
    <w:bookmarkStart w:name="z305" w:id="304"/>
    <w:p>
      <w:pPr>
        <w:spacing w:after="0"/>
        <w:ind w:left="0"/>
        <w:jc w:val="both"/>
      </w:pPr>
      <w:r>
        <w:rPr>
          <w:rFonts w:ascii="Times New Roman"/>
          <w:b w:val="false"/>
          <w:i w:val="false"/>
          <w:color w:val="000000"/>
          <w:sz w:val="28"/>
        </w:rPr>
        <w:t xml:space="preserve">
      </w:t>
      </w:r>
      <w:r>
        <w:rPr>
          <w:rFonts w:ascii="Times New Roman"/>
          <w:b/>
          <w:i w:val="false"/>
          <w:color w:val="000000"/>
          <w:sz w:val="28"/>
        </w:rPr>
        <w:t>Убытки от обесценения займов клиентам и финансовым учреждениям</w:t>
      </w:r>
    </w:p>
    <w:bookmarkEnd w:id="304"/>
    <w:p>
      <w:pPr>
        <w:spacing w:after="0"/>
        <w:ind w:left="0"/>
        <w:jc w:val="both"/>
      </w:pPr>
      <w:r>
        <w:rPr>
          <w:rFonts w:ascii="Times New Roman"/>
          <w:b w:val="false"/>
          <w:i w:val="false"/>
          <w:color w:val="000000"/>
          <w:sz w:val="28"/>
        </w:rPr>
        <w:t>
      На каждую отчетную дату Группа проводит анализ своих существенных по отдельности займов клиентам и кредитным учреждениям, для того, чтобы оценить, должен ли убыток от обесценения быть учтен в отчете о прибылях и убытках. В частности, суждения руководства требуются в оценке суммы и сроков, будущих денежных потоков при определении убытка от обесценения. При оценке таких денежных потоков, Группа выносит суждения о финансовом положении заемщика и чистой стоимости реализации обеспечения. Эти оценки основаны на допущениях по ряду факторов, и фактические результаты могут быть иными, что приведет к будущим изменениям в резерве.</w:t>
      </w:r>
    </w:p>
    <w:p>
      <w:pPr>
        <w:spacing w:after="0"/>
        <w:ind w:left="0"/>
        <w:jc w:val="both"/>
      </w:pPr>
      <w:r>
        <w:rPr>
          <w:rFonts w:ascii="Times New Roman"/>
          <w:b w:val="false"/>
          <w:i w:val="false"/>
          <w:color w:val="000000"/>
          <w:sz w:val="28"/>
        </w:rPr>
        <w:t xml:space="preserve">
      Затем, займы, которые были оценены по отдельности, и которые не обесценились и все несущественные по отдельности займы, оцениваются в совокупности, в группах активов с аналогичными характеристиками риска, для определения того, необходимо ли формировать резерв вследствие наступления случаев убытка, в отношение которых имеется объективное свидетельство, но влияние не является очевидным. </w:t>
      </w:r>
    </w:p>
    <w:p>
      <w:pPr>
        <w:spacing w:after="0"/>
        <w:ind w:left="0"/>
        <w:jc w:val="both"/>
      </w:pPr>
      <w:r>
        <w:rPr>
          <w:rFonts w:ascii="Times New Roman"/>
          <w:b w:val="false"/>
          <w:i w:val="false"/>
          <w:color w:val="000000"/>
          <w:sz w:val="28"/>
        </w:rPr>
        <w:t xml:space="preserve">
      Совокупная оценка принимает во внимание данные по кредитному портфелю, (такие как кредитное качество, уровни просрочки, использование кредита, соотношение займа к обеспечению и пр.), концентрацию риска и экономические показатели (в том числе уровень безработицы, индексы цен на недвижимость, страновой риск и показатели работы различных отдельных групп). </w:t>
      </w:r>
    </w:p>
    <w:bookmarkStart w:name="z306" w:id="305"/>
    <w:p>
      <w:pPr>
        <w:spacing w:after="0"/>
        <w:ind w:left="0"/>
        <w:jc w:val="both"/>
      </w:pPr>
      <w:r>
        <w:rPr>
          <w:rFonts w:ascii="Times New Roman"/>
          <w:b w:val="false"/>
          <w:i w:val="false"/>
          <w:color w:val="000000"/>
          <w:sz w:val="28"/>
        </w:rPr>
        <w:t xml:space="preserve">
      </w:t>
      </w:r>
      <w:r>
        <w:rPr>
          <w:rFonts w:ascii="Times New Roman"/>
          <w:b/>
          <w:i w:val="false"/>
          <w:color w:val="000000"/>
          <w:sz w:val="28"/>
        </w:rPr>
        <w:t>Резервы по сомнительной дебиторской задолженности</w:t>
      </w:r>
    </w:p>
    <w:bookmarkEnd w:id="305"/>
    <w:p>
      <w:pPr>
        <w:spacing w:after="0"/>
        <w:ind w:left="0"/>
        <w:jc w:val="both"/>
      </w:pPr>
      <w:r>
        <w:rPr>
          <w:rFonts w:ascii="Times New Roman"/>
          <w:b w:val="false"/>
          <w:i w:val="false"/>
          <w:color w:val="000000"/>
          <w:sz w:val="28"/>
        </w:rPr>
        <w:t>
      Группа формирует резервы по сомнительной дебиторской задолженности. Значительные суждения используются при определении сомнительных долгов. При определении сомнительных долгов рассматривается историческое и ожидаемое поведение клиентов. Изменения в экономике, индустрии или индивидуальные условия клиента могут потребовать корректировок резерва по сомнительной задолженности в данных консолидированных формах финансовой отчетности. По состоянию на 31 декабря 2013 года резервы по сомнительным долгам были сформированы в размере 96.396.000 тысяч тенге (2012 год: 85.089.000 тысяч тенге).</w:t>
      </w:r>
    </w:p>
    <w:bookmarkStart w:name="z307" w:id="306"/>
    <w:p>
      <w:pPr>
        <w:spacing w:after="0"/>
        <w:ind w:left="0"/>
        <w:jc w:val="both"/>
      </w:pPr>
      <w:r>
        <w:rPr>
          <w:rFonts w:ascii="Times New Roman"/>
          <w:b w:val="false"/>
          <w:i w:val="false"/>
          <w:color w:val="000000"/>
          <w:sz w:val="28"/>
        </w:rPr>
        <w:t xml:space="preserve">
      </w:t>
      </w:r>
      <w:r>
        <w:rPr>
          <w:rFonts w:ascii="Times New Roman"/>
          <w:b/>
          <w:i w:val="false"/>
          <w:color w:val="000000"/>
          <w:sz w:val="28"/>
        </w:rPr>
        <w:t>5. ПРИОБРЕТЕНИЯ</w:t>
      </w:r>
    </w:p>
    <w:bookmarkEnd w:id="306"/>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ТОО "Казцинк"</w:t>
      </w:r>
    </w:p>
    <w:p>
      <w:pPr>
        <w:spacing w:after="0"/>
        <w:ind w:left="0"/>
        <w:jc w:val="both"/>
      </w:pPr>
      <w:r>
        <w:rPr>
          <w:rFonts w:ascii="Times New Roman"/>
          <w:b w:val="false"/>
          <w:i w:val="false"/>
          <w:color w:val="000000"/>
          <w:sz w:val="28"/>
        </w:rPr>
        <w:t>
      1 февраля 2013 года Фонд приобрел 29,8221% доли участия в уставном капитале ТОО "Казцинк" путем приобретения 100% долей участия в уставном капитале ТОО "Logic Business", ТОО "Logic Invest Capital" и ТОО "Инвестиционный дом "Дана", владеющих по 9,9407% доли участия в ТОО "Казцинк", на общую сумму 248.838.000 тысяч тенге (стоимость каждой компании составила 82.946.000 тысяч тенге). Приобретение было осуществлено за счет средств, поступивших от размещения купонных облигаций Фонда на сумму 255.000.000 тысяч тенге и выкупленных Национальным Банком Республики Казахстан. Срок обращения облигаций составляет 50 лет с купонным вознаграждением в размере 0,01% годовых.</w:t>
      </w:r>
    </w:p>
    <w:p>
      <w:pPr>
        <w:spacing w:after="0"/>
        <w:ind w:left="0"/>
        <w:jc w:val="both"/>
      </w:pPr>
      <w:r>
        <w:rPr>
          <w:rFonts w:ascii="Times New Roman"/>
          <w:b w:val="false"/>
          <w:i w:val="false"/>
          <w:color w:val="000000"/>
          <w:sz w:val="28"/>
        </w:rPr>
        <w:t>
      Доля участия в ТОО "Казцинк" учитывается по методу долевого участия в консолидированных формах финансовой отчетности Группы. Приобретение ТОО "Казцинк" было учтено в консолидированных формах финансовой отчетности по методу покупки.</w:t>
      </w:r>
    </w:p>
    <w:p>
      <w:pPr>
        <w:spacing w:after="0"/>
        <w:ind w:left="0"/>
        <w:jc w:val="both"/>
      </w:pPr>
      <w:r>
        <w:rPr>
          <w:rFonts w:ascii="Times New Roman"/>
          <w:b w:val="false"/>
          <w:i w:val="false"/>
          <w:color w:val="000000"/>
          <w:sz w:val="28"/>
        </w:rPr>
        <w:t>
      Справедливая стоимость идентифицируемых активов и обязательств на дату приобретения представлена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10585"/>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206.890.000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44.237.000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251.127.000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(50.667.000)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200.460.000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вознаграждения</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248.838.000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48.378.000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Консолидированная чистая прибыль Группы за год, закончившийся 31 декабря 2013 года, включает долю прибыли, приходящуюся на 29,8221% долю в ТОО "Казцинк" с даты приобретения по 31 декабря 2013 года в размере 6.364.000 тысяч тенге.</w:t>
      </w:r>
    </w:p>
    <w:bookmarkStart w:name="z308" w:id="307"/>
    <w:p>
      <w:pPr>
        <w:spacing w:after="0"/>
        <w:ind w:left="0"/>
        <w:jc w:val="both"/>
      </w:pPr>
      <w:r>
        <w:rPr>
          <w:rFonts w:ascii="Times New Roman"/>
          <w:b w:val="false"/>
          <w:i w:val="false"/>
          <w:color w:val="000000"/>
          <w:sz w:val="28"/>
        </w:rPr>
        <w:t xml:space="preserve">
      </w:t>
      </w:r>
      <w:r>
        <w:rPr>
          <w:rFonts w:ascii="Times New Roman"/>
          <w:b/>
          <w:i w:val="false"/>
          <w:color w:val="000000"/>
          <w:sz w:val="28"/>
        </w:rPr>
        <w:t>Приобретения в 2012 году</w:t>
      </w:r>
    </w:p>
    <w:bookmarkEnd w:id="307"/>
    <w:p>
      <w:pPr>
        <w:spacing w:after="0"/>
        <w:ind w:left="0"/>
        <w:jc w:val="both"/>
      </w:pPr>
      <w:r>
        <w:rPr>
          <w:rFonts w:ascii="Times New Roman"/>
          <w:b w:val="false"/>
          <w:i w:val="false"/>
          <w:color w:val="000000"/>
          <w:sz w:val="28"/>
        </w:rPr>
        <w:t>
      Приобретение доли участия в Карачаганакском Проектном Консорциуме</w:t>
      </w:r>
    </w:p>
    <w:p>
      <w:pPr>
        <w:spacing w:after="0"/>
        <w:ind w:left="0"/>
        <w:jc w:val="both"/>
      </w:pPr>
      <w:r>
        <w:rPr>
          <w:rFonts w:ascii="Times New Roman"/>
          <w:b w:val="false"/>
          <w:i w:val="false"/>
          <w:color w:val="000000"/>
          <w:sz w:val="28"/>
        </w:rPr>
        <w:t>
      28 июня 2012 года Правительство, в лице Министерства нефти и газа и Комитета государственного имущества и приватизации Министерства финансов Республики Казахстан, и участники Карачаганакского проекта (далее – "Консорциум" или "КПО") подписали договор, согласно которого Правительство приобрело 10%-ю долю в КПО. Справедливая стоимость приобретенной 10%-й доли была оценена в размере 2 миллиарда долларов США(300 миллиардов тенге), из которых 150 миллиардов тенге Правительство выплатило денежными средствами, а оставшаяся часть была зачтена в счет обязательств по налогам.</w:t>
      </w:r>
    </w:p>
    <w:p>
      <w:pPr>
        <w:spacing w:after="0"/>
        <w:ind w:left="0"/>
        <w:jc w:val="both"/>
      </w:pPr>
      <w:r>
        <w:rPr>
          <w:rFonts w:ascii="Times New Roman"/>
          <w:b w:val="false"/>
          <w:i w:val="false"/>
          <w:color w:val="000000"/>
          <w:sz w:val="28"/>
        </w:rPr>
        <w:t xml:space="preserve">
      Правительство сформировало новое предприятие "Компания по управлению долей в окончательном соглашении о разделе продукции" (далее "КУДОСРП") и осуществило передачу приобретенной 10%-й доли в проекте в капитал КУДОСРП. Далее,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570 от 3 мая 2012 года, 28 июня 2012 года Фонду была передана 100% доля владения Правительства в КУДОСРП, справедливая стоимость которой на дату передачи составила 300.070.000 тысяч тенге. В обмен на это Фонд выпустил 300.071 простых акций на общую сумму 300.070.000 тысяч тенге.</w:t>
      </w:r>
    </w:p>
    <w:p>
      <w:pPr>
        <w:spacing w:after="0"/>
        <w:ind w:left="0"/>
        <w:jc w:val="both"/>
      </w:pPr>
      <w:r>
        <w:rPr>
          <w:rFonts w:ascii="Times New Roman"/>
          <w:b w:val="false"/>
          <w:i w:val="false"/>
          <w:color w:val="000000"/>
          <w:sz w:val="28"/>
        </w:rPr>
        <w:t>
      29 июня 2012 года Фонд осуществил передачу КУДОСРП НК КМГ в обмен на акции НК КМГ стоимостью 150.035.000 тысяч тенге и денежное вознаграждение в размере 150.035.000 тысяч тенге. Денежное вознаграждение было финансировано через заем в размере 1 миллиард долларов США. В соответствии с договором займа, годовая процентная ставка составила ЛИБОР плюс 3% помноженный на 1,25, и основной долг подлежит к уплате равными ежемесячными долями за счет денежных потоков от проекта в течение 3 (трех) лет. Согласно соглашения по займу в качестве обеспечения, НК КМГ предоставляет Консорциуму 5% доли участия в проекте. Фонд предоставил гарантию по данному займу.</w:t>
      </w:r>
    </w:p>
    <w:p>
      <w:pPr>
        <w:spacing w:after="0"/>
        <w:ind w:left="0"/>
        <w:jc w:val="both"/>
      </w:pPr>
      <w:r>
        <w:rPr>
          <w:rFonts w:ascii="Times New Roman"/>
          <w:b w:val="false"/>
          <w:i w:val="false"/>
          <w:color w:val="000000"/>
          <w:sz w:val="28"/>
        </w:rPr>
        <w:t>
      28 июня 2012 года, Фонд выплатил дивиденды в размере 159.113.000 тысяч тенге. Поступления от данных дивидендов Правительство использовало для финансирования приобретения упомянутой выше доли участия в КПО.</w:t>
      </w:r>
    </w:p>
    <w:p>
      <w:pPr>
        <w:spacing w:after="0"/>
        <w:ind w:left="0"/>
        <w:jc w:val="both"/>
      </w:pPr>
      <w:r>
        <w:rPr>
          <w:rFonts w:ascii="Times New Roman"/>
          <w:b w:val="false"/>
          <w:i w:val="false"/>
          <w:color w:val="000000"/>
          <w:sz w:val="28"/>
        </w:rPr>
        <w:t>
      В соответствии с Соглашением о Совместной деятельности (далее - "ССД"), подписанным в обновленном варианте 28 июня 2012 года, Группа приобрела все выгоды, затраты и обязательства, связанные с деятельностью Карачаганака в пропорции к приобретенной доле участия. Доля владения в Карачаганакском проекте на дату приобретения представлена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0539"/>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на дату приобретения</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293.506.000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дебиторская задолженность</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10.918.000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309.854.000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кредиторская задолженность</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(9.784.000)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доли участия в АО "Восточно-Казахстанская региональная энергетическая компания"</w:t>
      </w:r>
    </w:p>
    <w:p>
      <w:pPr>
        <w:spacing w:after="0"/>
        <w:ind w:left="0"/>
        <w:jc w:val="both"/>
      </w:pPr>
      <w:r>
        <w:rPr>
          <w:rFonts w:ascii="Times New Roman"/>
          <w:b w:val="false"/>
          <w:i w:val="false"/>
          <w:color w:val="000000"/>
          <w:sz w:val="28"/>
        </w:rPr>
        <w:t>
      В 2012 году Правительство передало Фонду 100%-ную долю участия в АО "Восточно-Казахстанская региональная энергетическая компания" (далее "ВК РЭК"). В обмен на это Фонд осуществил эмиссию акций на сумму 7.723.000 тысяч тенге. ВК РЭК оказывает услуги по передаче электроэнергии.</w:t>
      </w:r>
    </w:p>
    <w:p>
      <w:pPr>
        <w:spacing w:after="0"/>
        <w:ind w:left="0"/>
        <w:jc w:val="both"/>
      </w:pPr>
      <w:r>
        <w:rPr>
          <w:rFonts w:ascii="Times New Roman"/>
          <w:b w:val="false"/>
          <w:i w:val="false"/>
          <w:color w:val="000000"/>
          <w:sz w:val="28"/>
        </w:rPr>
        <w:t>
      Так как передача доли участия представляет собой объединение предприятий под общим контролем, данная операция была учтена с использованием метода объединения долей в консолидированных формах финансовой отчетности. Разница между балансовой стоимостью чистых активов и суммой выпущенного уставного капитала в размере 4.149.000 тысяч тенге отражена как уменьшение нераспределенной прибыли в составе консолидированного отчета об изменениях в капитале.</w:t>
      </w:r>
    </w:p>
    <w:bookmarkStart w:name="z309" w:id="308"/>
    <w:p>
      <w:pPr>
        <w:spacing w:after="0"/>
        <w:ind w:left="0"/>
        <w:jc w:val="both"/>
      </w:pPr>
      <w:r>
        <w:rPr>
          <w:rFonts w:ascii="Times New Roman"/>
          <w:b w:val="false"/>
          <w:i w:val="false"/>
          <w:color w:val="000000"/>
          <w:sz w:val="28"/>
        </w:rPr>
        <w:t xml:space="preserve">
      </w:t>
      </w:r>
      <w:r>
        <w:rPr>
          <w:rFonts w:ascii="Times New Roman"/>
          <w:b/>
          <w:i w:val="false"/>
          <w:color w:val="000000"/>
          <w:sz w:val="28"/>
        </w:rPr>
        <w:t>6. ПРЕКРАЩЕННАЯ ДЕЯТЕЛЬНОСТЬ, АКТИВЫ, КЛАССИФИЦИРУЕМЫЕ КАК ПРЕДНАЗНАЧЕННЫЕ ДЛЯ ПРОДАЖИ И ПОТЕРЯ КОНТРОЛЯ НАД ДОЧЕРНЕЙ ОРГАНИЗАЦИЕЙ</w:t>
      </w:r>
    </w:p>
    <w:bookmarkEnd w:id="308"/>
    <w:bookmarkStart w:name="z310" w:id="309"/>
    <w:p>
      <w:pPr>
        <w:spacing w:after="0"/>
        <w:ind w:left="0"/>
        <w:jc w:val="both"/>
      </w:pPr>
      <w:r>
        <w:rPr>
          <w:rFonts w:ascii="Times New Roman"/>
          <w:b w:val="false"/>
          <w:i w:val="false"/>
          <w:color w:val="000000"/>
          <w:sz w:val="28"/>
        </w:rPr>
        <w:t xml:space="preserve">
      </w:t>
      </w:r>
      <w:r>
        <w:rPr>
          <w:rFonts w:ascii="Times New Roman"/>
          <w:b/>
          <w:i w:val="false"/>
          <w:color w:val="000000"/>
          <w:sz w:val="28"/>
        </w:rPr>
        <w:t>Прекращенная деятельность 2013 года</w:t>
      </w:r>
    </w:p>
    <w:bookmarkEnd w:id="309"/>
    <w:p>
      <w:pPr>
        <w:spacing w:after="0"/>
        <w:ind w:left="0"/>
        <w:jc w:val="both"/>
      </w:pPr>
      <w:r>
        <w:rPr>
          <w:rFonts w:ascii="Times New Roman"/>
          <w:b w:val="false"/>
          <w:i w:val="false"/>
          <w:color w:val="000000"/>
          <w:sz w:val="28"/>
        </w:rPr>
        <w:t xml:space="preserve">
      </w:t>
      </w:r>
      <w:r>
        <w:rPr>
          <w:rFonts w:ascii="Times New Roman"/>
          <w:b w:val="false"/>
          <w:i/>
          <w:color w:val="000000"/>
          <w:sz w:val="28"/>
        </w:rPr>
        <w:t>Передача Акционеру институтов развития, финансовых организаций, ТОО "СК-Фармация" и АО "Национальная геологоразведочная компания "Казгеология"</w:t>
      </w:r>
    </w:p>
    <w:p>
      <w:pPr>
        <w:spacing w:after="0"/>
        <w:ind w:left="0"/>
        <w:jc w:val="both"/>
      </w:pPr>
      <w:r>
        <w:rPr>
          <w:rFonts w:ascii="Times New Roman"/>
          <w:b w:val="false"/>
          <w:i w:val="false"/>
          <w:color w:val="000000"/>
          <w:sz w:val="28"/>
        </w:rPr>
        <w:t xml:space="preserve">
      В соответствии с протоколом совещания с участием Президента Республики Казахстан от 23 января 2013 года № 01-7.1 "Об итогах социально-экономического развития Республики Казахстан за 2012 год и задачах по реализации </w:t>
      </w:r>
      <w:r>
        <w:rPr>
          <w:rFonts w:ascii="Times New Roman"/>
          <w:b w:val="false"/>
          <w:i w:val="false"/>
          <w:color w:val="000000"/>
          <w:sz w:val="28"/>
        </w:rPr>
        <w:t>Стратегии</w:t>
      </w:r>
      <w:r>
        <w:rPr>
          <w:rFonts w:ascii="Times New Roman"/>
          <w:b w:val="false"/>
          <w:i w:val="false"/>
          <w:color w:val="000000"/>
          <w:sz w:val="28"/>
        </w:rPr>
        <w:t xml:space="preserve"> "Казахстан-2050" Правительству было поручено создать АО "Национальное агентство развития". Владельцем 100% акций данного Агентства будет Правительство, с передачей ему принадлежащих Фонду долей владения в институтах развития и финансовых организациях, предусмотрев передачу ТОО "СК-Фармация" в ведение Министерства здравоохранения Республики Казахстан.</w:t>
      </w:r>
    </w:p>
    <w:p>
      <w:pPr>
        <w:spacing w:after="0"/>
        <w:ind w:left="0"/>
        <w:jc w:val="both"/>
      </w:pPr>
      <w:r>
        <w:rPr>
          <w:rFonts w:ascii="Times New Roman"/>
          <w:b w:val="false"/>
          <w:i w:val="false"/>
          <w:color w:val="000000"/>
          <w:sz w:val="28"/>
        </w:rPr>
        <w:t>
      В апреле 2013 года Фонд в соответствии с договорами доверительного управления с правом полного контроля передал пакеты акций некоторых дочерних организаций Акционеру в лице следующих государственных учреждений: Министерству регионального развития Республики Казахстан – АО "Фонд развития предпринимательства "Даму", Министерству индустрии и новых технологий Республики Казахстан – АО "Банк Развития Казахстана", АО "Kazyna Capital Management", АО "Экспортно-кредитная страховая корпорация" "КазЭкспортГарант", АО "Инвестиционный Фонд Казахстана", Министерству здравоохранения Республики Казахстан – ТОО "СК-Фармация". В мае 2013 года данные договора доверительного управления с министерствами были аннулированы и заключены новые договора с АО "Национальный управляющий холдинг "Байтерек".</w:t>
      </w:r>
    </w:p>
    <w:p>
      <w:pPr>
        <w:spacing w:after="0"/>
        <w:ind w:left="0"/>
        <w:jc w:val="both"/>
      </w:pPr>
      <w:r>
        <w:rPr>
          <w:rFonts w:ascii="Times New Roman"/>
          <w:b w:val="false"/>
          <w:i w:val="false"/>
          <w:color w:val="000000"/>
          <w:sz w:val="28"/>
        </w:rPr>
        <w:t xml:space="preserve">
      В мае 2013 года Фонд в соответствии с договорами доверительного управления с правом полного контроля передал пакеты акций институтов развития и финансовых организаций в АО "Национальный управляющий холдинг "Байтерек", созданный в соответствии с Постановлением Правительства от 25 мая 2013 года. </w:t>
      </w:r>
    </w:p>
    <w:p>
      <w:pPr>
        <w:spacing w:after="0"/>
        <w:ind w:left="0"/>
        <w:jc w:val="both"/>
      </w:pPr>
      <w:r>
        <w:rPr>
          <w:rFonts w:ascii="Times New Roman"/>
          <w:b w:val="false"/>
          <w:i w:val="false"/>
          <w:color w:val="000000"/>
          <w:sz w:val="28"/>
        </w:rPr>
        <w:t xml:space="preserve">
      В июле 2013 года во исполнение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мая 2013 года № 516 "О мерах по реализации Указа Президента Республики Казахстан № 571 от 22 мая 2013 года "О некоторых мерах по оптимизации системы управления институтами развития и развития национальной экономики" Фонд и Комитет государственного имущества и приватизации Министерства финансов подписали договор мены, согласно которому права собственности на пакеты акций и долю участия в дочерних организациях АО "Фонд развития предпринимательства "Даму", АО "Kazyna Capital Management", АО "Экспортно-кредитная страховая корпорация "КазЭкспортГарант", АО "Инвестиционный Фонд Казахстана", АО "Банк Развития Казахстана", ТОО "СК-Фармация" передаются в республиканскую собственность в обмен на республиканское имущество в соответствии с перечнем, указанном в Постановлении Правительства. В августе 2013 года в рамках вышеуказанного договора мены Фонд осуществил передачу в республиканскую собственность пакетов акций и долей участия в дочерних организациях (АО "Фонд развития предпринимательства "Даму", АО "Kazyna Capital Management", АО "Экспортно-кредитная страховая корпорация "КазЭкспортГарант", АО "Инвестиционный Фонд Казахстана", ТОО "СК-Фармация"). По состоянию на 31 декабря 2013 года Фонд не получал имущество по вышеописанному договору.</w:t>
      </w:r>
    </w:p>
    <w:p>
      <w:pPr>
        <w:spacing w:after="0"/>
        <w:ind w:left="0"/>
        <w:jc w:val="both"/>
      </w:pPr>
      <w:r>
        <w:rPr>
          <w:rFonts w:ascii="Times New Roman"/>
          <w:b w:val="false"/>
          <w:i w:val="false"/>
          <w:color w:val="000000"/>
          <w:sz w:val="28"/>
        </w:rPr>
        <w:t>
      В связи с тем, что в апреле 2013 года Фонд потерял контроль над данными дочерними организациями, Фонд отразил их выбытие как распределение Акционеру.</w:t>
      </w:r>
    </w:p>
    <w:p>
      <w:pPr>
        <w:spacing w:after="0"/>
        <w:ind w:left="0"/>
        <w:jc w:val="both"/>
      </w:pPr>
      <w:r>
        <w:rPr>
          <w:rFonts w:ascii="Times New Roman"/>
          <w:b w:val="false"/>
          <w:i w:val="false"/>
          <w:color w:val="000000"/>
          <w:sz w:val="28"/>
        </w:rPr>
        <w:t>
      В соответствии с данным договором мены, права собственности на пакет акций в АО "Национальная геологоразведочная компания "Казгеология" также были переданы в республиканскую собственность в обмен на республиканское имущество, в соответствии с перечнем, указанном в Постановлении Правительства. Фонд отразил выбытие АО "Национальная геологоразведочная компания "Казгеология" как распределение Акционеру.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Институты развития и финансовые организации</w:t>
      </w:r>
    </w:p>
    <w:p>
      <w:pPr>
        <w:spacing w:after="0"/>
        <w:ind w:left="0"/>
        <w:jc w:val="both"/>
      </w:pPr>
      <w:r>
        <w:rPr>
          <w:rFonts w:ascii="Times New Roman"/>
          <w:b w:val="false"/>
          <w:i w:val="false"/>
          <w:color w:val="000000"/>
          <w:sz w:val="28"/>
        </w:rPr>
        <w:t>
      Результаты деятельности институтов развития и финансовых организаций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5044"/>
        <w:gridCol w:w="5126"/>
      </w:tblGrid>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2013 года до даты выбытия</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48.285.000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(36.795.000)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(убыток)/прибыль</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Восстановление/(убыток) от обесценения, нетто</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доход</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убыток</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операционной деятельности</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Положительная/(отрицательная) курсовая разница, нетто</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до налогообложения от прекращенной деятельности</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прекращенной деятельности</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По состоянию на 31 декабря 2013 года Группа провела пересчет консолидированного отчета о прибылях и убытках и о движении денежных средств за год, закончившийся 31 декабря 2012 года, вследствие признания институтов развития и финансовых организаций как прекращенной деятельности.</w:t>
      </w:r>
    </w:p>
    <w:p>
      <w:pPr>
        <w:spacing w:after="0"/>
        <w:ind w:left="0"/>
        <w:jc w:val="both"/>
      </w:pPr>
      <w:r>
        <w:rPr>
          <w:rFonts w:ascii="Times New Roman"/>
          <w:b w:val="false"/>
          <w:i w:val="false"/>
          <w:color w:val="000000"/>
          <w:sz w:val="28"/>
        </w:rPr>
        <w:t>
      Соответственно, сравнительный консолидированный отчет о прибылях и убытках и сравнительный консолидированный отчет о движении денежных средств за год, закончившийся 31 декабря 2012 года, были пересчитаны в соответствии с требованиями МСБУ 1.</w:t>
      </w:r>
    </w:p>
    <w:p>
      <w:pPr>
        <w:spacing w:after="0"/>
        <w:ind w:left="0"/>
        <w:jc w:val="both"/>
      </w:pPr>
      <w:r>
        <w:rPr>
          <w:rFonts w:ascii="Times New Roman"/>
          <w:b w:val="false"/>
          <w:i w:val="false"/>
          <w:color w:val="000000"/>
          <w:sz w:val="28"/>
        </w:rPr>
        <w:t>
      Основные категории активов и обязательств институтов развития и финансовых организаций на дату выбытия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10015"/>
      </w:tblGrid>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обязательства на дату выбытия</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408.552.000</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469.612.000</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230.911.000</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подоходному налогу</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7.108.000</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14.731.000</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активы</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19.766.000</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140.079.000</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1.290.759.000</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(784.244.000)</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 Республики Казахстан</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(27.695.000)</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(7.575.000)</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(6.384.000)</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(22.424.000)</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(9.493.000)</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(857.815.000)</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432.944.000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Чистые денежные потоки институтов развития и финансовых организаций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5397"/>
        <w:gridCol w:w="4588"/>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 января 2013 года до даты выбытия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(134.777.000)</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49.788.000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(2.242.000)</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(6.392.000)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63.078.000</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Чистое (расходование) / поступление денежных средств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(73.941.000)</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41.983.000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ТОО "СК-Фармация"</w:t>
      </w:r>
    </w:p>
    <w:p>
      <w:pPr>
        <w:spacing w:after="0"/>
        <w:ind w:left="0"/>
        <w:jc w:val="both"/>
      </w:pPr>
      <w:r>
        <w:rPr>
          <w:rFonts w:ascii="Times New Roman"/>
          <w:b w:val="false"/>
          <w:i w:val="false"/>
          <w:color w:val="000000"/>
          <w:sz w:val="28"/>
        </w:rPr>
        <w:t xml:space="preserve">
      ТОО "СК-Фармация" не отвечает определению прекращенной деятельности и было классифицировано как группа выбытия. </w:t>
      </w:r>
    </w:p>
    <w:p>
      <w:pPr>
        <w:spacing w:after="0"/>
        <w:ind w:left="0"/>
        <w:jc w:val="both"/>
      </w:pPr>
      <w:r>
        <w:rPr>
          <w:rFonts w:ascii="Times New Roman"/>
          <w:b w:val="false"/>
          <w:i w:val="false"/>
          <w:color w:val="000000"/>
          <w:sz w:val="28"/>
        </w:rPr>
        <w:t>
      Основные категории активов и обязательств ТОО "СК-Фармация" на дату выбытия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9823"/>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обязательства на дату выбытия</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23.628.000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57.432.000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кредиторская задолженность</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(39.611.000)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(49.289.000)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Чистая прибыль от деятельности ТОО "СК-Фармация" с 1 января 2013 года до даты выбытия составила 1.080.000 тысяч тенге (за год, закончившийся 31 декабря 2012 года: 2.753.000 тысяч тенге).</w:t>
      </w:r>
    </w:p>
    <w:p>
      <w:pPr>
        <w:spacing w:after="0"/>
        <w:ind w:left="0"/>
        <w:jc w:val="both"/>
      </w:pPr>
      <w:r>
        <w:rPr>
          <w:rFonts w:ascii="Times New Roman"/>
          <w:b w:val="false"/>
          <w:i w:val="false"/>
          <w:color w:val="000000"/>
          <w:sz w:val="28"/>
        </w:rPr>
        <w:t>
      Чистые денежные потоки ТОО "СК-Фармация" были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5377"/>
        <w:gridCol w:w="5658"/>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 января 2013 года до даты выбытия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19.670.000</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6.670.000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 денежных средств</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19.661.000</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"Национальная геологоразведочная компания "Казгеология"</w:t>
      </w:r>
    </w:p>
    <w:p>
      <w:pPr>
        <w:spacing w:after="0"/>
        <w:ind w:left="0"/>
        <w:jc w:val="both"/>
      </w:pPr>
      <w:r>
        <w:rPr>
          <w:rFonts w:ascii="Times New Roman"/>
          <w:b w:val="false"/>
          <w:i w:val="false"/>
          <w:color w:val="000000"/>
          <w:sz w:val="28"/>
        </w:rPr>
        <w:t xml:space="preserve">
      АО "Национальная геологоразведочная компания "Казгеология" не отвечает определению прекращенной деятельности и было классифицировано как группа выбытия. </w:t>
      </w:r>
    </w:p>
    <w:p>
      <w:pPr>
        <w:spacing w:after="0"/>
        <w:ind w:left="0"/>
        <w:jc w:val="both"/>
      </w:pPr>
      <w:r>
        <w:rPr>
          <w:rFonts w:ascii="Times New Roman"/>
          <w:b w:val="false"/>
          <w:i w:val="false"/>
          <w:color w:val="000000"/>
          <w:sz w:val="28"/>
        </w:rPr>
        <w:t>
      Основные категории активов и обязательств АО "Национальная геологоразведочная компания "Казгеология" на дату выбытия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0207"/>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обязательства на дату выбытия</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9.037.000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9.037.000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Чистая прибыль от деятельности АО "Национальная геологоразведочная компания "Казгеология" с 1 января 2013 года до даты выбытия составила 173.000 тысячи тенге (чистый убыток за год, закончившийся 31 декабря 2012 года: 371.000 тысяч тенге).</w:t>
      </w:r>
    </w:p>
    <w:p>
      <w:pPr>
        <w:spacing w:after="0"/>
        <w:ind w:left="0"/>
        <w:jc w:val="both"/>
      </w:pPr>
      <w:r>
        <w:rPr>
          <w:rFonts w:ascii="Times New Roman"/>
          <w:b w:val="false"/>
          <w:i w:val="false"/>
          <w:color w:val="000000"/>
          <w:sz w:val="28"/>
        </w:rPr>
        <w:t>
      Чистые денежные потоки АО "Национальная геологоразведочная компания "Казгеология" были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224"/>
        <w:gridCol w:w="578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2013 года до даты выбытия</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расходование денежных средств</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"Темірбанк" и АО "БТА Банк"</w:t>
      </w:r>
    </w:p>
    <w:p>
      <w:pPr>
        <w:spacing w:after="0"/>
        <w:ind w:left="0"/>
        <w:jc w:val="both"/>
      </w:pPr>
      <w:r>
        <w:rPr>
          <w:rFonts w:ascii="Times New Roman"/>
          <w:b w:val="false"/>
          <w:i w:val="false"/>
          <w:color w:val="000000"/>
          <w:sz w:val="28"/>
        </w:rPr>
        <w:t xml:space="preserve">
      В соответствии с протоколом совещания с участием Президента Республики Казахстан от 23 января 2013 года № 01-7.1 "Об итогах социально-экономического развития Республики Казахстан за 2012 год и задачах по реализации Стратегии "Казахстан-2050", Фонду поручено принять необходимые меры для выхода из состава акционеров АО "БТА Банк", АО "Альянс Банк", АО "Темірбанк" путем продажи принадлежащих Фонду пакетов акций до 31 декабря 2013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"Темiрбанк"</w:t>
      </w:r>
    </w:p>
    <w:p>
      <w:pPr>
        <w:spacing w:after="0"/>
        <w:ind w:left="0"/>
        <w:jc w:val="both"/>
      </w:pPr>
      <w:r>
        <w:rPr>
          <w:rFonts w:ascii="Times New Roman"/>
          <w:b w:val="false"/>
          <w:i w:val="false"/>
          <w:color w:val="000000"/>
          <w:sz w:val="28"/>
        </w:rPr>
        <w:t xml:space="preserve">
      В декабре 2013 года между Фондом и господином Утемуратовым Булатом подписаны соглашения о продаже Фондом 79,88% простых акций АО "Темiрбанк" (далее "Темирбанк") и 16% простых и привилегированных акций АО "Альянс Банк" (далее "Альянс Банк"), с целью последующего объединения Темирбанка и Альянс Банка в единый банк. Завершение сделки планируется до конца 2014 года, однако также зависит от ряда отлагательных условий, включающих принятие необходимых корпоративных решений, внесение изменений в банковское законодательство Республики Казахстан, уточняющих процедуру реорганизации банков, получение необходимых разрешений Национального Банка Республики Казахстан и других государственных органов. </w:t>
      </w:r>
    </w:p>
    <w:p>
      <w:pPr>
        <w:spacing w:after="0"/>
        <w:ind w:left="0"/>
        <w:jc w:val="both"/>
      </w:pPr>
      <w:r>
        <w:rPr>
          <w:rFonts w:ascii="Times New Roman"/>
          <w:b w:val="false"/>
          <w:i w:val="false"/>
          <w:color w:val="000000"/>
          <w:sz w:val="28"/>
        </w:rPr>
        <w:t>
      Руководство Фонда оценивает вероятность завершения сделок как высокую, и, учитывая, что весь имеющийся пакет простых акций Темирбанка находится в наличии для немедленной продажи в его настоящем состоянии исключительно на обычных и общепринятых условиях, которые характерны для сделок продажи инвестиций в банки, активы и обязательства Темирбанка были классифицированы как активы, классифицированные как предназначенные для продажи, по состоянию на 31 декабря 2013 года.</w:t>
      </w:r>
    </w:p>
    <w:p>
      <w:pPr>
        <w:spacing w:after="0"/>
        <w:ind w:left="0"/>
        <w:jc w:val="both"/>
      </w:pPr>
      <w:r>
        <w:rPr>
          <w:rFonts w:ascii="Times New Roman"/>
          <w:b w:val="false"/>
          <w:i w:val="false"/>
          <w:color w:val="000000"/>
          <w:sz w:val="28"/>
        </w:rPr>
        <w:t>
      Результаты деятельности Темирбанка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5044"/>
        <w:gridCol w:w="5126"/>
      </w:tblGrid>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2013 года</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21.656.000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 восстановление от обесценения</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доход</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убыток</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операционной деятельности</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курсовая разница, нетто</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до налогообложения от прекращенной деятельности</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прекращенной деятельности</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По состоянию на 31 декабря 2013 года Группа провела пересчет консолидированного отчета о прибылях и убытках и о движении денежных средств за год, закончившийся 31 декабря 2012 года, вследствие признания институтов развития и финансовых организаций как прекращенной деятельности.</w:t>
      </w:r>
    </w:p>
    <w:p>
      <w:pPr>
        <w:spacing w:after="0"/>
        <w:ind w:left="0"/>
        <w:jc w:val="both"/>
      </w:pPr>
      <w:r>
        <w:rPr>
          <w:rFonts w:ascii="Times New Roman"/>
          <w:b w:val="false"/>
          <w:i w:val="false"/>
          <w:color w:val="000000"/>
          <w:sz w:val="28"/>
        </w:rPr>
        <w:t>
      Соответственно, сравнительный консолидированный отчет о прибылях и убытках и сравнительный консолидированный отчет о движении денежных средств за год, закончившийся 31 декабря 2012 года, были пересчитаны в соответствии с требованиями МСБУ 1.</w:t>
      </w:r>
    </w:p>
    <w:p>
      <w:pPr>
        <w:spacing w:after="0"/>
        <w:ind w:left="0"/>
        <w:jc w:val="both"/>
      </w:pPr>
      <w:r>
        <w:rPr>
          <w:rFonts w:ascii="Times New Roman"/>
          <w:b w:val="false"/>
          <w:i w:val="false"/>
          <w:color w:val="000000"/>
          <w:sz w:val="28"/>
        </w:rPr>
        <w:t>
      Основные категории активов и обязательств Темирбанка на 31 декабря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86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230.691.000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29.791.000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301.295.000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(195.561.000)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(246.415.000)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до справедливой стоимости чистых активов (обесценение)</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чистых активов</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Чистые денежные потоки Темирбанка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5766"/>
        <w:gridCol w:w="5340"/>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2013 года</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(9.671.000)</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(1.053.000)</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(157.000)</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расходование денежных средств</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(10.881.000)</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"БТА Банк"</w:t>
      </w:r>
    </w:p>
    <w:p>
      <w:pPr>
        <w:spacing w:after="0"/>
        <w:ind w:left="0"/>
        <w:jc w:val="both"/>
      </w:pPr>
      <w:r>
        <w:rPr>
          <w:rFonts w:ascii="Times New Roman"/>
          <w:b w:val="false"/>
          <w:i w:val="false"/>
          <w:color w:val="000000"/>
          <w:sz w:val="28"/>
        </w:rPr>
        <w:t xml:space="preserve">
      Согласно ряду документов, подписанных Фондом с АО "Казкоммерцбанк" (далее "ККБ") и господином Ракишевым Кенесом, в декабре 2013 года и январе 2014 года, ККБ и Кенес Ракишев каждый приобретают по 46,5% акций БТА Банка, с целью до конца 2014 года объединить БТА Банк и ККБ в единый банк. Оставшаяся доля в БТА Банке в размере 4,26% будет передана в доверительное управление ККБ, в результате чего ККБ получит контроль над БТА Банком до объединения. </w:t>
      </w:r>
    </w:p>
    <w:p>
      <w:pPr>
        <w:spacing w:after="0"/>
        <w:ind w:left="0"/>
        <w:jc w:val="both"/>
      </w:pPr>
      <w:r>
        <w:rPr>
          <w:rFonts w:ascii="Times New Roman"/>
          <w:b w:val="false"/>
          <w:i w:val="false"/>
          <w:color w:val="000000"/>
          <w:sz w:val="28"/>
        </w:rPr>
        <w:t xml:space="preserve">
      Сделка не будет считаться завершенной до выполнения сторонами ряда отлагательных условий, включающих получение разрешений соответствующих органов управления сторон и государственных регулирующих органов, а также внесение изменений в банковское законодательство Республики Казахстан, разрешающих ККБ осуществление инвестиций свыше 10% от собственного капитала. </w:t>
      </w:r>
    </w:p>
    <w:p>
      <w:pPr>
        <w:spacing w:after="0"/>
        <w:ind w:left="0"/>
        <w:jc w:val="both"/>
      </w:pPr>
      <w:r>
        <w:rPr>
          <w:rFonts w:ascii="Times New Roman"/>
          <w:b w:val="false"/>
          <w:i w:val="false"/>
          <w:color w:val="000000"/>
          <w:sz w:val="28"/>
        </w:rPr>
        <w:t>
      В дополнение, стороны договорились о взаимодействии по возврату проблемных активов БТА Банка. Завершение сделки планируется во втором квартале 2014 года.</w:t>
      </w:r>
    </w:p>
    <w:p>
      <w:pPr>
        <w:spacing w:after="0"/>
        <w:ind w:left="0"/>
        <w:jc w:val="both"/>
      </w:pPr>
      <w:r>
        <w:rPr>
          <w:rFonts w:ascii="Times New Roman"/>
          <w:b w:val="false"/>
          <w:i w:val="false"/>
          <w:color w:val="000000"/>
          <w:sz w:val="28"/>
        </w:rPr>
        <w:t>
      Принимая во внимание вышеуказанное, а также то, что Правительство и Национальный Банк Республики Казахстан согласно Меморандуму о взаимопонимании окажут содействие сторонам для решения некоторых критических отлагательных условий, активы и обязательства БТА Банка были классифицированы как активы, классифицированные как предназначенные для продажи, на 31 декабря 2013 года.</w:t>
      </w:r>
    </w:p>
    <w:p>
      <w:pPr>
        <w:spacing w:after="0"/>
        <w:ind w:left="0"/>
        <w:jc w:val="both"/>
      </w:pPr>
      <w:r>
        <w:rPr>
          <w:rFonts w:ascii="Times New Roman"/>
          <w:b w:val="false"/>
          <w:i w:val="false"/>
          <w:color w:val="000000"/>
          <w:sz w:val="28"/>
        </w:rPr>
        <w:t>
      Результаты деятельности БТА Банка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4620"/>
        <w:gridCol w:w="5105"/>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2013 года</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139.576.000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146.985.000</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(81.668.000)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(136.867.000)</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57.908.000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10.118.000</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(44.699.000)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(59.739.000)</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 восстановление обесценения</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(32.315.000)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доход</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39.950.000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1.123.831.000</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убыток</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(45.650.000)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(678.389.000)</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 прибыль от операционной деятельности</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(24.806.000)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398.621.000</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 (отрицательная) курсовая разница, нетто</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4.434.000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(18.982.000)</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 прибыль до налогообложения от прекращенной деятельности</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(20.372.000)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379.639.000</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Льгота / (расходы) по подоходному налогу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7.971.000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(738.000)</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 прибыль от прекращенной деятельности</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(12.401.000)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По состоянию на 31 декабря 2013 года Группа провела пересчет консолидированного отчета о прибылях и убытках и о движении денежных средств за год, закончившийся 31 декабря 2012 года, вследствие признания институтов развития и финансовых организаций как прекращенной деятельности.</w:t>
      </w:r>
    </w:p>
    <w:p>
      <w:pPr>
        <w:spacing w:after="0"/>
        <w:ind w:left="0"/>
        <w:jc w:val="both"/>
      </w:pPr>
      <w:r>
        <w:rPr>
          <w:rFonts w:ascii="Times New Roman"/>
          <w:b w:val="false"/>
          <w:i w:val="false"/>
          <w:color w:val="000000"/>
          <w:sz w:val="28"/>
        </w:rPr>
        <w:t>
      Соответственно, сравнительный консолидированный отчет о прибылях и убытках и сравнительный консолидированный отчет о движении денежных средств за год, закончившийся 31 декабря 2012 года, были пересчитаны в соответствии с требованиями МСБУ 1.</w:t>
      </w:r>
    </w:p>
    <w:p>
      <w:pPr>
        <w:spacing w:after="0"/>
        <w:ind w:left="0"/>
        <w:jc w:val="both"/>
      </w:pPr>
      <w:r>
        <w:rPr>
          <w:rFonts w:ascii="Times New Roman"/>
          <w:b w:val="false"/>
          <w:i w:val="false"/>
          <w:color w:val="000000"/>
          <w:sz w:val="28"/>
        </w:rPr>
        <w:t>
      Основные категории активов и обязательств БТА Банка на 31 декабря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8931"/>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616.439.000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759.313.000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компании</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56.390.000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56.639.000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60.657.000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1.603.482.000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(551.661.000)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(231.441.000)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 Республики Казахстан</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(475.439.000)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(65.233.000)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(1.323.774.000)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279.708.000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до справедливой стоимости чистых активов (обесценение)</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(144.165.000)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чистых активов</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135.543.000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Чистые денежные потоки БТА Банка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4820"/>
        <w:gridCol w:w="5048"/>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2013 года</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(6.158.000)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193.907.000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(6.080.000)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Чистое (расходование) / поступление денежных средств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(7.137.000)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187.480.000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"Локомотив қерастыру зауыты"</w:t>
      </w:r>
    </w:p>
    <w:p>
      <w:pPr>
        <w:spacing w:after="0"/>
        <w:ind w:left="0"/>
        <w:jc w:val="both"/>
      </w:pPr>
      <w:r>
        <w:rPr>
          <w:rFonts w:ascii="Times New Roman"/>
          <w:b w:val="false"/>
          <w:i w:val="false"/>
          <w:color w:val="000000"/>
          <w:sz w:val="28"/>
        </w:rPr>
        <w:t xml:space="preserve">
      В течение 2012 года руководство Группы приняло план по реализации 50% доли участия в дочерней организации, АО "Локомотив қерастыру зауыты". В мае 2013 года сделка была осуществлена путем продажи 26% доли Группы и одновременного выпуска 24% акций АО "Локомотив қерастыру зауыты". В результате продажи Группа потеряла контроль над АО "Локомотив қерастыру зауыты". Группа признала оставшуюся у нее 50% долю участия в АО "Локомотив қерастыру зауыты" как инвестиции в совместное предприятие. </w:t>
      </w:r>
    </w:p>
    <w:p>
      <w:pPr>
        <w:spacing w:after="0"/>
        <w:ind w:left="0"/>
        <w:jc w:val="both"/>
      </w:pPr>
      <w:r>
        <w:rPr>
          <w:rFonts w:ascii="Times New Roman"/>
          <w:b w:val="false"/>
          <w:i w:val="false"/>
          <w:color w:val="000000"/>
          <w:sz w:val="28"/>
        </w:rPr>
        <w:t>
      Результаты деятельности АО "Локомотив қерастыру зауыты"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4995"/>
        <w:gridCol w:w="5531"/>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2013 года до даты выбытия</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операционный доход, нетто</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операционной деятельности</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курсовая разница, нетто</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до налогообложения от прекращенной деятельности</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(463.000)</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после налогообложения от прекращенной деятельности</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(539.000)</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категории активов и обязательств АО "Локомотив қерастыру зауыты" на дату выбытия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9823"/>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обязательства на дату выбытия</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22.628.000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41.282.000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кредиторская задолженность</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Чистые денежные потоки АО "Локомотив қерастыру зауыты"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5057"/>
        <w:gridCol w:w="5147"/>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2013 года до даты выбытия</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2.634.000</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(475.000)</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(1.739.000)</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поступление/(расходование) денежных средств</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Убыток от выбытия активов, относящихся к прекращенной деятельности, представлен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8587"/>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2013 года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полученного вознаграждения</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4.528.000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Выбывшие чистые активы</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(15.875.000)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оставшейся доли</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9.071.000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выбытия активов, относящихся к прекращенной деятельности</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"Досжан Темир Жолы"</w:t>
      </w:r>
    </w:p>
    <w:p>
      <w:pPr>
        <w:spacing w:after="0"/>
        <w:ind w:left="0"/>
        <w:jc w:val="both"/>
      </w:pPr>
      <w:r>
        <w:rPr>
          <w:rFonts w:ascii="Times New Roman"/>
          <w:b w:val="false"/>
          <w:i w:val="false"/>
          <w:color w:val="000000"/>
          <w:sz w:val="28"/>
        </w:rPr>
        <w:t>
      В связи с тем, что АО "Инвестиционный Фонд Казахстана" владеет 48,94% долей участия в АО "Досжан Темир Жолы", выбытие АО "Инвестиционный Фонд Казахстана" привело к потере Группой контроля над АО "Досжан Темир Жолы". Группа прекратила признание и отразила выбытие АО "Досжан Темир Жолы" как распределение Акционеру в консолидированном отчете об изменениях в капитале. Группа признала оставшуюся у нее 46,02% долю участия в АО "Досжан Темир Жолы" как инвестиции в ассоциированную компанию по справедливой стоимости на дату потери контроля, где справедливая стоимость была оценена в ноль тенге.</w:t>
      </w:r>
    </w:p>
    <w:p>
      <w:pPr>
        <w:spacing w:after="0"/>
        <w:ind w:left="0"/>
        <w:jc w:val="both"/>
      </w:pPr>
      <w:r>
        <w:rPr>
          <w:rFonts w:ascii="Times New Roman"/>
          <w:b w:val="false"/>
          <w:i w:val="false"/>
          <w:color w:val="000000"/>
          <w:sz w:val="28"/>
        </w:rPr>
        <w:t>
      Основные категории активов и обязательств АО "Досжан Темир Жолы" на дату потери контроля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9823"/>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обязательства на дату выбытия</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23.968.000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(30.401.000)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Чистый убыток от деятельности АО "Досжан Темир Жолы" с 1 января 2013 года до даты выбытия составил 1.189.000 тысяч тенге (за год, закончившийся 31 декабря 2012 года: 1.792.000 тысяч тенге).</w:t>
      </w:r>
    </w:p>
    <w:p>
      <w:pPr>
        <w:spacing w:after="0"/>
        <w:ind w:left="0"/>
        <w:jc w:val="both"/>
      </w:pPr>
      <w:r>
        <w:rPr>
          <w:rFonts w:ascii="Times New Roman"/>
          <w:b w:val="false"/>
          <w:i w:val="false"/>
          <w:color w:val="000000"/>
          <w:sz w:val="28"/>
        </w:rPr>
        <w:t>
      Чистые денежные потоки АО "Досжан Темир Жолы"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5035"/>
        <w:gridCol w:w="6019"/>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2013 года до даты выбытия</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закончившийся 31 декабря 2012 года</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(639.000)</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(7.815.000)</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(772.000)</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(3.649.000)</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расходование денежных средств</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(653.000)</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ТОО "Семизбай-U"</w:t>
      </w:r>
    </w:p>
    <w:p>
      <w:pPr>
        <w:spacing w:after="0"/>
        <w:ind w:left="0"/>
        <w:jc w:val="both"/>
      </w:pPr>
      <w:r>
        <w:rPr>
          <w:rFonts w:ascii="Times New Roman"/>
          <w:b w:val="false"/>
          <w:i w:val="false"/>
          <w:color w:val="000000"/>
          <w:sz w:val="28"/>
        </w:rPr>
        <w:t>
      В 2008 году, Группа заключила Соглашение (далее "Соглашение") с Компанией Beijing Sino-Kaz Uranium Resources Investment Company Limited (далее "Sino-Kaz") о продаже 49% доли участия в ТОО "Семизбай-U".</w:t>
      </w:r>
    </w:p>
    <w:p>
      <w:pPr>
        <w:spacing w:after="0"/>
        <w:ind w:left="0"/>
        <w:jc w:val="both"/>
      </w:pPr>
      <w:r>
        <w:rPr>
          <w:rFonts w:ascii="Times New Roman"/>
          <w:b w:val="false"/>
          <w:i w:val="false"/>
          <w:color w:val="000000"/>
          <w:sz w:val="28"/>
        </w:rPr>
        <w:t>
      Соглашение давало право Sino-Kaz на минимальное распределение ежегодного чистого дохода ТОО Семизбай-U в период 2010-2033 годы. Оплата данных выплат гарантировалась АО НАК "Казатомпром". Данное обязательство было оценено по справедливой стоимости на дату заключения соглашения, а дальше оценивалось – по амортизированной.</w:t>
      </w:r>
    </w:p>
    <w:p>
      <w:pPr>
        <w:spacing w:after="0"/>
        <w:ind w:left="0"/>
        <w:jc w:val="both"/>
      </w:pPr>
      <w:r>
        <w:rPr>
          <w:rFonts w:ascii="Times New Roman"/>
          <w:b w:val="false"/>
          <w:i w:val="false"/>
          <w:color w:val="000000"/>
          <w:sz w:val="28"/>
        </w:rPr>
        <w:t>
      Отчуждение Группой доли участия в ТОО "Семизбай-U" требовало разрешения регулирующего органа Республики Казахстан, что являлось условием договора.</w:t>
      </w:r>
    </w:p>
    <w:p>
      <w:pPr>
        <w:spacing w:after="0"/>
        <w:ind w:left="0"/>
        <w:jc w:val="both"/>
      </w:pPr>
      <w:r>
        <w:rPr>
          <w:rFonts w:ascii="Times New Roman"/>
          <w:b w:val="false"/>
          <w:i w:val="false"/>
          <w:color w:val="000000"/>
          <w:sz w:val="28"/>
        </w:rPr>
        <w:t>
      По состоянию на 31 декабря 2012 года, соответствующее разрешение регулирующего органа не было получено. В 2012 году Группа заключила Мировое Соглашение с компанией "Sino-Kaz" о пересмотре условии сделки купли-продажи 49% доли в Семизбай-U. Соответствующими условиями данного Мирового соглашения являлись следующие пункты:</w:t>
      </w:r>
    </w:p>
    <w:p>
      <w:pPr>
        <w:spacing w:after="0"/>
        <w:ind w:left="0"/>
        <w:jc w:val="both"/>
      </w:pPr>
      <w:r>
        <w:rPr>
          <w:rFonts w:ascii="Times New Roman"/>
          <w:b w:val="false"/>
          <w:i w:val="false"/>
          <w:color w:val="000000"/>
          <w:sz w:val="28"/>
        </w:rPr>
        <w:t>
      - Группа получит все необходимые разрешения казахстанских регулирующих органов. Данные разрешения были получены 30 мая 2013 года;</w:t>
      </w:r>
    </w:p>
    <w:p>
      <w:pPr>
        <w:spacing w:after="0"/>
        <w:ind w:left="0"/>
        <w:jc w:val="both"/>
      </w:pPr>
      <w:r>
        <w:rPr>
          <w:rFonts w:ascii="Times New Roman"/>
          <w:b w:val="false"/>
          <w:i w:val="false"/>
          <w:color w:val="000000"/>
          <w:sz w:val="28"/>
        </w:rPr>
        <w:t>
      - Стороны договорились пересмотреть справедливую стоимость 49% доли в Семизбай-U. В результате этого условия, Группа выплатила разницу между первоначальным контрактным обязательством и справедливой рыночной стоимостью 49% доли участия ТОО "Семизбай-U" в размере 132 миллиона долларов (эквивалент - 19.000.000 тысяч тенге) 7 июня 2013 года;</w:t>
      </w:r>
    </w:p>
    <w:p>
      <w:pPr>
        <w:spacing w:after="0"/>
        <w:ind w:left="0"/>
        <w:jc w:val="both"/>
      </w:pPr>
      <w:r>
        <w:rPr>
          <w:rFonts w:ascii="Times New Roman"/>
          <w:b w:val="false"/>
          <w:i w:val="false"/>
          <w:color w:val="000000"/>
          <w:sz w:val="28"/>
        </w:rPr>
        <w:t>
      - Стороны договорились отменить гарантированные минимальные дивиденды, подлежащие выплате ТОО "Семизбай-U" за период с 2012 по 2033 годы. Амортизированная стоимость финансового обязательства по состоянию на 30 мая 2013 года была равна 308 миллионов долларов США (эквивалент 46.700.000 тысяч тенге).</w:t>
      </w:r>
    </w:p>
    <w:p>
      <w:pPr>
        <w:spacing w:after="0"/>
        <w:ind w:left="0"/>
        <w:jc w:val="both"/>
      </w:pPr>
      <w:r>
        <w:rPr>
          <w:rFonts w:ascii="Times New Roman"/>
          <w:b w:val="false"/>
          <w:i w:val="false"/>
          <w:color w:val="000000"/>
          <w:sz w:val="28"/>
        </w:rPr>
        <w:t>
      Наряду с получением разрешения регулирующих органов на продажу 49% доли участия, были изменены руководящие документы ТОО "Семизбай-U". В результате данных изменений Группа потеряла возможность управлять деятельностью ТОО "Семизбай-U" в одностороннем порядке; принятие решений теперь делится с "Sino-Kaz". Группа учла отмену минимального гарантированного дивиденда, как погашение финансового обязательства. В результате, Группа прекратила консолидацию инвестиции в ТОО "Семизбай-U" и признала оставшуюся долю владения по справедливой стоимости на момент потери контроля.</w:t>
      </w:r>
    </w:p>
    <w:p>
      <w:pPr>
        <w:spacing w:after="0"/>
        <w:ind w:left="0"/>
        <w:jc w:val="both"/>
      </w:pPr>
      <w:r>
        <w:rPr>
          <w:rFonts w:ascii="Times New Roman"/>
          <w:b w:val="false"/>
          <w:i w:val="false"/>
          <w:color w:val="000000"/>
          <w:sz w:val="28"/>
        </w:rPr>
        <w:t xml:space="preserve">
      В результате этих операций, Группа признала прибыль в размере 23.930.000 тысяч тенге в консолидированном отчете о прибылях и убытках. Результат выбытия ТОО "Семизбай-U" был признан в консолидированных формах финансовой отчетности в следующем порядке: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7"/>
        <w:gridCol w:w="6523"/>
      </w:tblGrid>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момент потери контроля</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35.572.000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ТОО "Семизбай-U" по состоянию на дату выбытия</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Справедливая стоимость оставшейся 51% неконтролирующей доли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Минимальные гарантированные дивиденды по амортизированной стоимости, до выплаты</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(46.676.000)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Выплата денежными средствами Sino-Kaz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погашения обязательства и выбытия дочерней организации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23.930.000</w:t>
            </w:r>
          </w:p>
        </w:tc>
      </w:tr>
    </w:tbl>
    <w:p>
      <w:pPr>
        <w:spacing w:after="0"/>
        <w:ind w:left="0"/>
        <w:jc w:val="left"/>
      </w:pPr>
      <w:r>
        <w:br/>
      </w:r>
      <w:r>
        <w:rPr>
          <w:rFonts w:ascii="Times New Roman"/>
          <w:b w:val="false"/>
          <w:i w:val="false"/>
          <w:color w:val="000000"/>
          <w:sz w:val="28"/>
        </w:rPr>
        <w:t>
</w:t>
      </w:r>
    </w:p>
    <w:bookmarkStart w:name="z311" w:id="310"/>
    <w:p>
      <w:pPr>
        <w:spacing w:after="0"/>
        <w:ind w:left="0"/>
        <w:jc w:val="both"/>
      </w:pPr>
      <w:r>
        <w:rPr>
          <w:rFonts w:ascii="Times New Roman"/>
          <w:b w:val="false"/>
          <w:i w:val="false"/>
          <w:color w:val="000000"/>
          <w:sz w:val="28"/>
        </w:rPr>
        <w:t xml:space="preserve">
      </w:t>
      </w:r>
      <w:r>
        <w:rPr>
          <w:rFonts w:ascii="Times New Roman"/>
          <w:b/>
          <w:i w:val="false"/>
          <w:color w:val="000000"/>
          <w:sz w:val="28"/>
        </w:rPr>
        <w:t>Прекращенная деятельность 2012 года</w:t>
      </w:r>
    </w:p>
    <w:bookmarkEnd w:id="310"/>
    <w:p>
      <w:pPr>
        <w:spacing w:after="0"/>
        <w:ind w:left="0"/>
        <w:jc w:val="both"/>
      </w:pPr>
      <w:r>
        <w:rPr>
          <w:rFonts w:ascii="Times New Roman"/>
          <w:b w:val="false"/>
          <w:i w:val="false"/>
          <w:color w:val="000000"/>
          <w:sz w:val="28"/>
        </w:rPr>
        <w:t xml:space="preserve">
      </w:t>
      </w:r>
      <w:r>
        <w:rPr>
          <w:rFonts w:ascii="Times New Roman"/>
          <w:b w:val="false"/>
          <w:i/>
          <w:color w:val="000000"/>
          <w:sz w:val="28"/>
        </w:rPr>
        <w:t>GSM Казахстан</w:t>
      </w:r>
    </w:p>
    <w:p>
      <w:pPr>
        <w:spacing w:after="0"/>
        <w:ind w:left="0"/>
        <w:jc w:val="both"/>
      </w:pPr>
      <w:r>
        <w:rPr>
          <w:rFonts w:ascii="Times New Roman"/>
          <w:b w:val="false"/>
          <w:i w:val="false"/>
          <w:color w:val="000000"/>
          <w:sz w:val="28"/>
        </w:rPr>
        <w:t xml:space="preserve">
      На 31 декабря 2011 года Группа владела 49% долей участия в ТОО "GSM Казахстан ОАО "Казахтелеком" (далее "GSM Казахстан") – оператор услуг сотовой связи стандарта GSM в Казахстане. </w:t>
      </w:r>
    </w:p>
    <w:p>
      <w:pPr>
        <w:spacing w:after="0"/>
        <w:ind w:left="0"/>
        <w:jc w:val="both"/>
      </w:pPr>
      <w:r>
        <w:rPr>
          <w:rFonts w:ascii="Times New Roman"/>
          <w:b w:val="false"/>
          <w:i w:val="false"/>
          <w:color w:val="000000"/>
          <w:sz w:val="28"/>
        </w:rPr>
        <w:t xml:space="preserve">
      21 декабря 2011 года Казахтелеком заключил соглашение о продаже 49% доли участия в GSM Казахстан компании Sonera Holdings B.V., дочерней организации шведского мобильного оператора Telia Sonera AB. </w:t>
      </w:r>
    </w:p>
    <w:p>
      <w:pPr>
        <w:spacing w:after="0"/>
        <w:ind w:left="0"/>
        <w:jc w:val="both"/>
      </w:pPr>
      <w:r>
        <w:rPr>
          <w:rFonts w:ascii="Times New Roman"/>
          <w:b w:val="false"/>
          <w:i w:val="false"/>
          <w:color w:val="000000"/>
          <w:sz w:val="28"/>
        </w:rPr>
        <w:t xml:space="preserve">
      1 февраля 2012 года Группа завершила продажу 49% доли участия в GSM Казахстан за вознаграждение в размере 1.519 миллионов долларов США (эквивалентно 225.739.000 тысяч тенге). В результате доход от продажи составил 200.033.000 тысяч тенге. Поступления денежных средств от реализации инвестиции в ассоциированную компанию в 2012 году были отражены в инвестиционной деятельности в отчете о движении денежных средств. </w:t>
      </w:r>
    </w:p>
    <w:p>
      <w:pPr>
        <w:spacing w:after="0"/>
        <w:ind w:left="0"/>
        <w:jc w:val="both"/>
      </w:pPr>
      <w:r>
        <w:rPr>
          <w:rFonts w:ascii="Times New Roman"/>
          <w:b w:val="false"/>
          <w:i w:val="false"/>
          <w:color w:val="000000"/>
          <w:sz w:val="28"/>
        </w:rPr>
        <w:t xml:space="preserve">
      Движение инвестиций в ассоциированную компанию представлено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5253"/>
        <w:gridCol w:w="5253"/>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58.389.000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53.785.000</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чистой прибыли ассоциированной компании</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33.024.000</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объявленные</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(28.420.000)</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Прекращенная деятельность</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58.389.000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Движение дивидендов к получению представлено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5253"/>
        <w:gridCol w:w="5253"/>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января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объявленные</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28.420.000</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полученные</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(28.420.000)</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Прибыль от прекращенной деятельности за год, закончившийся на 31 декабря, представлена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5226"/>
        <w:gridCol w:w="4744"/>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чистой прибыли ассоциированной компании</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1.963.000</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33.024.000</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до налогообложения за отчетный период от прекращенной деятельности</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1.963.000</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33.024.000</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200.033.000</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за отчетный период от прекращенной деятельности</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201.996.000</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Прибыль от продажи инвестиции была представлена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6"/>
        <w:gridCol w:w="4264"/>
      </w:tblGrid>
      <w:tr>
        <w:trPr>
          <w:trHeight w:val="30" w:hRule="atLeast"/>
        </w:trPr>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полученные от Sonera Holdings B.V.</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225.739.000</w:t>
            </w:r>
          </w:p>
        </w:tc>
      </w:tr>
      <w:tr>
        <w:trPr>
          <w:trHeight w:val="30" w:hRule="atLeast"/>
        </w:trPr>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предназначенные для продажи</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(25.629.000)</w:t>
            </w:r>
          </w:p>
        </w:tc>
      </w:tr>
      <w:tr>
        <w:trPr>
          <w:trHeight w:val="30" w:hRule="atLeast"/>
        </w:trPr>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курсовая разница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продажи</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200.033.000</w:t>
            </w:r>
          </w:p>
        </w:tc>
      </w:tr>
    </w:tbl>
    <w:p>
      <w:pPr>
        <w:spacing w:after="0"/>
        <w:ind w:left="0"/>
        <w:jc w:val="left"/>
      </w:pPr>
      <w:r>
        <w:br/>
      </w:r>
      <w:r>
        <w:rPr>
          <w:rFonts w:ascii="Times New Roman"/>
          <w:b w:val="false"/>
          <w:i w:val="false"/>
          <w:color w:val="000000"/>
          <w:sz w:val="28"/>
        </w:rPr>
        <w:t>
</w:t>
      </w:r>
    </w:p>
    <w:bookmarkStart w:name="z312" w:id="311"/>
    <w:p>
      <w:pPr>
        <w:spacing w:after="0"/>
        <w:ind w:left="0"/>
        <w:jc w:val="both"/>
      </w:pPr>
      <w:r>
        <w:rPr>
          <w:rFonts w:ascii="Times New Roman"/>
          <w:b w:val="false"/>
          <w:i w:val="false"/>
          <w:color w:val="000000"/>
          <w:sz w:val="28"/>
        </w:rPr>
        <w:t xml:space="preserve">
      </w:t>
      </w:r>
      <w:r>
        <w:rPr>
          <w:rFonts w:ascii="Times New Roman"/>
          <w:b/>
          <w:i w:val="false"/>
          <w:color w:val="000000"/>
          <w:sz w:val="28"/>
        </w:rPr>
        <w:t>Итоговая информация</w:t>
      </w:r>
    </w:p>
    <w:bookmarkEnd w:id="311"/>
    <w:p>
      <w:pPr>
        <w:spacing w:after="0"/>
        <w:ind w:left="0"/>
        <w:jc w:val="both"/>
      </w:pPr>
      <w:r>
        <w:rPr>
          <w:rFonts w:ascii="Times New Roman"/>
          <w:b w:val="false"/>
          <w:i w:val="false"/>
          <w:color w:val="000000"/>
          <w:sz w:val="28"/>
        </w:rPr>
        <w:t>
      Активы, классифицированные как предназначенные для продажи на 31 декабря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5810"/>
        <w:gridCol w:w="463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789.973.000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"Темiрбанк"</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280.666.000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"Локомотив қерастыру зауыты"</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37.721.000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1.086.843.000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Обязательства, связанные с активами, классифицированными как предназначенные для продажи на 31 декабря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5810"/>
        <w:gridCol w:w="463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1.069.482.000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"Темiрбанк"</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143.375.000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"Локомотив қерастыру зауыты"</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16.674.000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1.219.950.000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прекращенной деятельности за год, закончившийся на 31 декабря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5187"/>
        <w:gridCol w:w="4763"/>
      </w:tblGrid>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 чистый убыток</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(12.401.000)</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378.901.000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 убыток от обесценения</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(144.165.000)</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"Темiрбанк", чистая прибыль</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1.006.000</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9.232.000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"Темiрбанк", убыток от обесценения</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(14.564.000)</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"Локомотив қерастыру зауыты"</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(2.815.000)</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201.996.000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Институты развития и финансовые организации</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(2.237.000)</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(10.428.000)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2.204.000</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1.471.000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(172.972.000)</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580.063.000</w:t>
            </w:r>
          </w:p>
        </w:tc>
      </w:tr>
    </w:tbl>
    <w:p>
      <w:pPr>
        <w:spacing w:after="0"/>
        <w:ind w:left="0"/>
        <w:jc w:val="left"/>
      </w:pPr>
      <w:r>
        <w:br/>
      </w:r>
      <w:r>
        <w:rPr>
          <w:rFonts w:ascii="Times New Roman"/>
          <w:b w:val="false"/>
          <w:i w:val="false"/>
          <w:color w:val="000000"/>
          <w:sz w:val="28"/>
        </w:rPr>
        <w:t>
</w:t>
      </w:r>
    </w:p>
    <w:bookmarkStart w:name="z313" w:id="312"/>
    <w:p>
      <w:pPr>
        <w:spacing w:after="0"/>
        <w:ind w:left="0"/>
        <w:jc w:val="both"/>
      </w:pPr>
      <w:r>
        <w:rPr>
          <w:rFonts w:ascii="Times New Roman"/>
          <w:b w:val="false"/>
          <w:i w:val="false"/>
          <w:color w:val="000000"/>
          <w:sz w:val="28"/>
        </w:rPr>
        <w:t xml:space="preserve">
      </w:t>
      </w:r>
      <w:r>
        <w:rPr>
          <w:rFonts w:ascii="Times New Roman"/>
          <w:b/>
          <w:i w:val="false"/>
          <w:color w:val="000000"/>
          <w:sz w:val="28"/>
        </w:rPr>
        <w:t>7. КОНСОЛИДИРОВАННЫЙ БУХГАЛТЕРСКИЙ БАЛАНС</w:t>
      </w:r>
    </w:p>
    <w:bookmarkEnd w:id="312"/>
    <w:bookmarkStart w:name="z314" w:id="313"/>
    <w:p>
      <w:pPr>
        <w:spacing w:after="0"/>
        <w:ind w:left="0"/>
        <w:jc w:val="both"/>
      </w:pPr>
      <w:r>
        <w:rPr>
          <w:rFonts w:ascii="Times New Roman"/>
          <w:b w:val="false"/>
          <w:i w:val="false"/>
          <w:color w:val="000000"/>
          <w:sz w:val="28"/>
        </w:rPr>
        <w:t xml:space="preserve">
      </w:t>
      </w:r>
      <w:r>
        <w:rPr>
          <w:rFonts w:ascii="Times New Roman"/>
          <w:b/>
          <w:i w:val="false"/>
          <w:color w:val="000000"/>
          <w:sz w:val="28"/>
        </w:rPr>
        <w:t>Денежные средства и их эквиваленты</w:t>
      </w:r>
    </w:p>
    <w:bookmarkEnd w:id="313"/>
    <w:p>
      <w:pPr>
        <w:spacing w:after="0"/>
        <w:ind w:left="0"/>
        <w:jc w:val="both"/>
      </w:pPr>
      <w:r>
        <w:rPr>
          <w:rFonts w:ascii="Times New Roman"/>
          <w:b w:val="false"/>
          <w:i w:val="false"/>
          <w:color w:val="000000"/>
          <w:sz w:val="28"/>
        </w:rPr>
        <w:t>
      На 31 декабря денежные средства и их эквиваленты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7"/>
        <w:gridCol w:w="3806"/>
        <w:gridCol w:w="4337"/>
      </w:tblGrid>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вклады – тенге</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230.131.000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240.948.000</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вклады – доллары США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171.099.000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123.752.000</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вклады – другие валюты</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15.610.000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9.393.000</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банках – тенге</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196.814.000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610.699.000</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в банках - доллары США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92.564.000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383.384.000</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банках - другие валюты</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17.364.000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24.326.000</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13.900.000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61.478.000</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покупки и обратной продажи ("обратное репо") с другими банками с первоначальным сроком погашения менее трех месяцев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3.153.000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14.051.000</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395.000</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740.994.000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1.468.426.000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Краткосрочные вклады вносятся на различные сроки – от 1 (одного) дня до 3 (трех) месяцев, в зависимости от срочных потребностей Группы в наличных денежных средствах. На 31 декабря 2013 года средневзвешенная процентная ставка по срочным вкладам в банках и по текущим банковским счетам составила 3,73% и 1,18%, соответственно (2012: 1,91% и 0,52%, соответственно).</w:t>
      </w:r>
    </w:p>
    <w:p>
      <w:pPr>
        <w:spacing w:after="0"/>
        <w:ind w:left="0"/>
        <w:jc w:val="both"/>
      </w:pPr>
      <w:r>
        <w:rPr>
          <w:rFonts w:ascii="Times New Roman"/>
          <w:b w:val="false"/>
          <w:i w:val="false"/>
          <w:color w:val="000000"/>
          <w:sz w:val="28"/>
        </w:rPr>
        <w:t>
      В общей сумме денежных средств Группы на счетах в банках имеются средства, полученные из Республиканского бюджета и Национального Фонда по целевым программам Правительства. По состоянию на 31 декабря 2013 года данные денежные средства аккумулируются на счетах Национального Банка и составляют 85.000.000 тысяч тенге (2012: 395.000.000 тысяч тенге), в том числе:</w:t>
      </w:r>
    </w:p>
    <w:p>
      <w:pPr>
        <w:spacing w:after="0"/>
        <w:ind w:left="0"/>
        <w:jc w:val="both"/>
      </w:pPr>
      <w:r>
        <w:rPr>
          <w:rFonts w:ascii="Times New Roman"/>
          <w:b w:val="false"/>
          <w:i w:val="false"/>
          <w:color w:val="000000"/>
          <w:sz w:val="28"/>
        </w:rPr>
        <w:t>
      - 54.000.000 тысяч тенге – средства Национального Фонда, полученные в рамках реализации Плана Стабилизации (2012: 247.000.000 тысяч тенге);</w:t>
      </w:r>
    </w:p>
    <w:p>
      <w:pPr>
        <w:spacing w:after="0"/>
        <w:ind w:left="0"/>
        <w:jc w:val="both"/>
      </w:pPr>
      <w:r>
        <w:rPr>
          <w:rFonts w:ascii="Times New Roman"/>
          <w:b w:val="false"/>
          <w:i w:val="false"/>
          <w:color w:val="000000"/>
          <w:sz w:val="28"/>
        </w:rPr>
        <w:t>
      - 2.000.000 тысяч тенге – средства, полученные из Республиканского бюджета в целях финансирования проектов, реализуемых Фондом (2012: 6.000.000 тысяч тенге);</w:t>
      </w:r>
    </w:p>
    <w:p>
      <w:pPr>
        <w:spacing w:after="0"/>
        <w:ind w:left="0"/>
        <w:jc w:val="both"/>
      </w:pPr>
      <w:r>
        <w:rPr>
          <w:rFonts w:ascii="Times New Roman"/>
          <w:b w:val="false"/>
          <w:i w:val="false"/>
          <w:color w:val="000000"/>
          <w:sz w:val="28"/>
        </w:rPr>
        <w:t>
      - 29.000.000 тысяч тенге – остаток денежных средств Фонда, необходимый для осуществления операционной и инвестиционной деятельности (2012: 142.000.000 тысяч тенге).</w:t>
      </w:r>
    </w:p>
    <w:bookmarkStart w:name="z315" w:id="314"/>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Финансовые активы</w:t>
      </w:r>
    </w:p>
    <w:bookmarkEnd w:id="314"/>
    <w:p>
      <w:pPr>
        <w:spacing w:after="0"/>
        <w:ind w:left="0"/>
        <w:jc w:val="both"/>
      </w:pPr>
      <w:r>
        <w:rPr>
          <w:rFonts w:ascii="Times New Roman"/>
          <w:b w:val="false"/>
          <w:i w:val="false"/>
          <w:color w:val="000000"/>
          <w:sz w:val="28"/>
        </w:rPr>
        <w:t>
      На 31 декабря финансовые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4552"/>
        <w:gridCol w:w="4960"/>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 включая</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132.058.000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484.542.000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92.054.000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219.582.000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казахстанских финансовых учреждений</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135.413.000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обязательства Министерства финансов Республики Казахстан</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68.316.000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облигации</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32.177.000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международных финансовых организаций</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ценные бумаги</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учитываемые по справедливой стоимости через прибыль и убыток, включая</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107.677.000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обязательства Министерства финансов Республики Казахстан</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казахстанских финансовых учреждений</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Некотирующиеся инвестиции в организации венчурного капитала</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облигации</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Некотирующиеся инвестиции в акционерный капитал</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долевые ценные бумаги</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ценные бумаги</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удерживаемые до погашения, включая</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39.916.000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90.246.000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к получению от участника совместного предприятия</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к получению от участника ассоциированной компании</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20.722.000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обязательства Министерства финансов Республики Казахстан</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облигации</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казахстанских финансовых учреждений</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42.596.000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включая</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50.278.000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47.638.000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Валютные свопы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финансовые активы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226.515.000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732.743.000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(92.686.000)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(267.809.000)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133.829.000</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464.934.000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года процентные ставки по финансовым активам, имеющимся в наличии для продажи, финансовым активам, удерживаемым до погашения, и торговым ценным бумагам находились в диапазоне от 4,3% до 9,2%, от 0,93% до 15% и от 3,6% до 11%, соответственно (2012: 2,3% до 17,4%, от 0,93% до 15% и от 3,6% до 11%, соответственно).</w:t>
      </w:r>
    </w:p>
    <w:p>
      <w:pPr>
        <w:spacing w:after="0"/>
        <w:ind w:left="0"/>
        <w:jc w:val="both"/>
      </w:pPr>
      <w:r>
        <w:rPr>
          <w:rFonts w:ascii="Times New Roman"/>
          <w:b w:val="false"/>
          <w:i w:val="false"/>
          <w:color w:val="000000"/>
          <w:sz w:val="28"/>
        </w:rPr>
        <w:t>
      Финансовые активы в разрезе валют, за исключением производных финансовых инструментов, были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5227"/>
        <w:gridCol w:w="5228"/>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выраженные в долларах США</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40.526.000</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231.523.000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выраженные в тенге</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139.562.000</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442.444.000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выраженные в иных валютах</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8.498.000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180.088.000</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682.465.000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в резерве на обесценение финансовых активов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5273"/>
        <w:gridCol w:w="4580"/>
      </w:tblGrid>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1 января</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8.157.000</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 начислено, нетто</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(2.465.000)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666.000</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за счет резерва</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(2.172.000)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иностранных валют</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Прекращенная деятельность</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(3.357.000)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Долевые ценные бумаги (финансовые активы, имеющиеся в наличии для продажи) – акции "Toshiba Nuclear Energy Holdings (US) Inc." и "Toshiba Nuclear Energy Holdings (UK) Ltd."</w:t>
      </w:r>
    </w:p>
    <w:p>
      <w:pPr>
        <w:spacing w:after="0"/>
        <w:ind w:left="0"/>
        <w:jc w:val="both"/>
      </w:pPr>
      <w:r>
        <w:rPr>
          <w:rFonts w:ascii="Times New Roman"/>
          <w:b w:val="false"/>
          <w:i w:val="false"/>
          <w:color w:val="000000"/>
          <w:sz w:val="28"/>
        </w:rPr>
        <w:t xml:space="preserve">
      В 2007 году НАК КАП приобрела у "Toshiba Nuclear Energy Investments US Inc." 400 обыкновенных акций класса А компании "Toshiba Nuclear Energy Holdings (US) Inc." (далее "TNEH-US"), за 400.000 тысяч долларов США. Помимо этого НАК КАП приобрела у "Toshiba Nuclear Energy Investments UK Ltd" 140 обыкновенных акций класса А компании "Toshiba Nuclear Energy Holdings (UK) Ltd." (далее "TNEH-UK"), за 140.000 тысяч долларов США. В результате покупки 400 обыкновенных акций класса А в TNEH-US и 140 обыкновенных акций класса А в TNEH-UK, НАК КАП приобрела 10% доли владения в указанных компаниях. TNEH-US и TNEH-UK владеют 100% акций в "Westinghouse Group" (далее "Westinghouse"). </w:t>
      </w:r>
    </w:p>
    <w:p>
      <w:pPr>
        <w:spacing w:after="0"/>
        <w:ind w:left="0"/>
        <w:jc w:val="both"/>
      </w:pPr>
      <w:r>
        <w:rPr>
          <w:rFonts w:ascii="Times New Roman"/>
          <w:b w:val="false"/>
          <w:i w:val="false"/>
          <w:color w:val="000000"/>
          <w:sz w:val="28"/>
        </w:rPr>
        <w:t>
      В связи и одновременно с приобретением доли участия в TNEH-US и TNEH-UK, НАК КАП заключила соглашение на опцион "пут" (далее опцион "пут"). В зависимости от сертификации, производимой Westinghouse, в отношении производства топливных сборок "АО "Ульбинский металлургический завод" (дочернее предприятие НАК КАП), опцион "пут" предоставляет НАК КАП опцион продать свои акции Корпорации "Toshiba" за 100% первоначальной цены покупки, равной 540.000 тысяч долларов США за первые 67% акций, и за 90% первоначальной стоимости приобретения за оставшиеся 33% акций, в результате чего цена исполнения опциона "пут" равняется 522.180 тысяч долларов США. В дополнение к данному соглашению опцион "пут", в конце 2012 года НАК КАП и Корпорация "Toshiba" подписали соглашение, согласно которому НАК КАП может использовать опцион "пут" до 28 февраля 2018 года. По состоянию на 31 декабря 2013 года НАК КАП не использовала опцион "пут".</w:t>
      </w:r>
    </w:p>
    <w:p>
      <w:pPr>
        <w:spacing w:after="0"/>
        <w:ind w:left="0"/>
        <w:jc w:val="both"/>
      </w:pPr>
      <w:r>
        <w:rPr>
          <w:rFonts w:ascii="Times New Roman"/>
          <w:b w:val="false"/>
          <w:i w:val="false"/>
          <w:color w:val="000000"/>
          <w:sz w:val="28"/>
        </w:rPr>
        <w:t>
      В связи и одновременно с приобретением доли владения в TNEH-US и TNEH-UK, НАК КАП заключила соглашение на опцион "колл" (далее опцион "колл"). Опцион "колл" дает право Корпорации "Toshiba" требовать от НАК КАП продажи ее акций в TNEH-US и TNEH-UK, если Комитет по иностранным инвестициям США сочтет, что НАК КАП более не является стратегическим партнером. В этом случае справедливая стоимость акций НАК КАП будет определена независимой международной оценочной компанией. По состоянию на 31 декабря 2013 года Корпорации "Toshiba" не использовала опцион "колл".</w:t>
      </w:r>
    </w:p>
    <w:p>
      <w:pPr>
        <w:spacing w:after="0"/>
        <w:ind w:left="0"/>
        <w:jc w:val="both"/>
      </w:pPr>
      <w:r>
        <w:rPr>
          <w:rFonts w:ascii="Times New Roman"/>
          <w:b w:val="false"/>
          <w:i w:val="false"/>
          <w:color w:val="000000"/>
          <w:sz w:val="28"/>
        </w:rPr>
        <w:t>
      Группа классифицировала эти инвестиции, как имеющиеся в наличии для продажи, поскольку это наилучший способ отразить намерение и способность Группы держать инвестиции в долгосрочной перспективе. Инвестиции в TNEH-US и TNEH-UK учитываются по себестоимости, так как они являются капиталом частной компании, чья справедливая стоимость не может быть достоверно определена.</w:t>
      </w:r>
    </w:p>
    <w:p>
      <w:pPr>
        <w:spacing w:after="0"/>
        <w:ind w:left="0"/>
        <w:jc w:val="both"/>
      </w:pPr>
      <w:r>
        <w:rPr>
          <w:rFonts w:ascii="Times New Roman"/>
          <w:b w:val="false"/>
          <w:i w:val="false"/>
          <w:color w:val="000000"/>
          <w:sz w:val="28"/>
        </w:rPr>
        <w:t xml:space="preserve">
      На 31 декабря 2013 года балансовая стоимость инвестиций составила 66.005.000 тысяч тенге (2012 год: 66.005.000 тысяч тенге).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Долевые ценные бумаги (финансовые активы, имеющиеся в наличии для продажи) – акции Kazakhmys Plc</w:t>
      </w:r>
    </w:p>
    <w:p>
      <w:pPr>
        <w:spacing w:after="0"/>
        <w:ind w:left="0"/>
        <w:jc w:val="both"/>
      </w:pPr>
      <w:r>
        <w:rPr>
          <w:rFonts w:ascii="Times New Roman"/>
          <w:b w:val="false"/>
          <w:i w:val="false"/>
          <w:color w:val="000000"/>
          <w:sz w:val="28"/>
        </w:rPr>
        <w:t>
      6 июня 2013 года Фонд осуществил безвозмездную передачу всех имеющихся во владении Фонда простых акций Kazakhmys Plc (58.876.793 акции) в республиканскую собственность, путем их передачи Комитету государственного имущества и приватизации Министерства финансов Республики Казахстан. Справедливая стоимость данных финансовых активов на дату передачи составила 44.069.000 тысяч тенге. На 31 декабря 2012 года существовали объективные свидетельства того, что первоначальная стоимость долевых ценных бумаг Kazakhmys Plc в наличии для продажи, может быть не возмещена, в связи со значительным и продолжительным снижением их справедливой стоимости ниже величины первоначальной стоимости. В связи с этим, в 2012 году Группа реклассифицировала из состава прочего совокупного дохода нереализованный убыток по долевым ценным бумагам Kazakhmys Plc в убытки по обесценению в размере 86.103.000 тысяч тенге. Убытки по обесценению были признаны в размере разницы между справедливой стоимостью и первоначальной стоимостью долевых ценных бумаг Kazakhmys Plc.</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Долевые ценные бумаги (финансовые активы, имеющиеся в наличии для продажи) – акции АО "Казкоммерцбанк"</w:t>
      </w:r>
    </w:p>
    <w:p>
      <w:pPr>
        <w:spacing w:after="0"/>
        <w:ind w:left="0"/>
        <w:jc w:val="both"/>
      </w:pPr>
      <w:r>
        <w:rPr>
          <w:rFonts w:ascii="Times New Roman"/>
          <w:b w:val="false"/>
          <w:i w:val="false"/>
          <w:color w:val="000000"/>
          <w:sz w:val="28"/>
        </w:rPr>
        <w:t>
      На 31 декабря 2013 года справедливая стоимость ценных бумаг АО "Казкоммерцбанк" составила 23.237.000 тысяч тенге (2012: 24.828.000 тысяч тенге).</w:t>
      </w:r>
    </w:p>
    <w:p>
      <w:pPr>
        <w:spacing w:after="0"/>
        <w:ind w:left="0"/>
        <w:jc w:val="both"/>
      </w:pPr>
      <w:r>
        <w:rPr>
          <w:rFonts w:ascii="Times New Roman"/>
          <w:b w:val="false"/>
          <w:i w:val="false"/>
          <w:color w:val="000000"/>
          <w:sz w:val="28"/>
        </w:rPr>
        <w:t>
      На 31 декабря 2012 года существовали объективные свидетельства того, что первоначальная стоимость долевых ценных бумаг АО "Казкоммерцбанк" в наличии для продажи, может быть не возмещена, в связи со значительным и продолжительным снижением стоимости ниже величины первоначальной стоимости. В связи с этим, Группа реклассифицировала из состава прочего совокупного дохода нереализованный убыток по долевым ценным бумагам АО "Казкоммерцбанк" в убытки по обесценению в размере 60.745.000 тысяч тенге. Убытки по обесценению были признаны в размере разницы между справедливой стоимостью и первоначальной стоимостью долевых ценных бумаг АО "Казкоммерцбанк".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Реализация долевых ценных бумаг (финансовые активы, имеющиеся в наличии для продажи) – акции АО "Народный Банк Казахстана"</w:t>
      </w:r>
    </w:p>
    <w:p>
      <w:pPr>
        <w:spacing w:after="0"/>
        <w:ind w:left="0"/>
        <w:jc w:val="both"/>
      </w:pPr>
      <w:r>
        <w:rPr>
          <w:rFonts w:ascii="Times New Roman"/>
          <w:b w:val="false"/>
          <w:i w:val="false"/>
          <w:color w:val="000000"/>
          <w:sz w:val="28"/>
        </w:rPr>
        <w:t>
      28 мая 2012 года АО "Холдинговая группа "АЛМЭКС" и АО "Народный Банк Казахстана" заключили соглашение об уступке прав по опционному соглашению в отношении привилегированных акций АО "Народный Банк Казахстана".</w:t>
      </w:r>
    </w:p>
    <w:p>
      <w:pPr>
        <w:spacing w:after="0"/>
        <w:ind w:left="0"/>
        <w:jc w:val="both"/>
      </w:pPr>
      <w:r>
        <w:rPr>
          <w:rFonts w:ascii="Times New Roman"/>
          <w:b w:val="false"/>
          <w:i w:val="false"/>
          <w:color w:val="000000"/>
          <w:sz w:val="28"/>
        </w:rPr>
        <w:t>
      В соответствии с данным соглашением, 29 июня 2012 года и 5 июля 2012 года АО "Народный Банк Казахстана" частично реализовал свое право на исполнение опциона и осуществил выкуп 150.000.000 и 40.000.000 своих привилегированных акций по цене 179,94 тенге и 180,21 тенге за акцию. Общая стоимость реализации составила 34.199.000 тысяч тенге.</w:t>
      </w:r>
    </w:p>
    <w:p>
      <w:pPr>
        <w:spacing w:after="0"/>
        <w:ind w:left="0"/>
        <w:jc w:val="both"/>
      </w:pPr>
      <w:r>
        <w:rPr>
          <w:rFonts w:ascii="Times New Roman"/>
          <w:b w:val="false"/>
          <w:i w:val="false"/>
          <w:color w:val="000000"/>
          <w:sz w:val="28"/>
        </w:rPr>
        <w:t>
      После реализации привилегированных акций АО "Народный Банк Казахстана" со справедливой стоимостью на дату продажи в размере 27.057.000 и 7.215.000 тысяч тенге, соответственно, Фонд прекратил признание соответствующих обязательств по опциону на выкуп привилегированных акций. Справедливая стоимость данных обязательств по опциону на дату продажи составила 2.770.000 и 739.000 тысяч тенге, соответственно.</w:t>
      </w:r>
    </w:p>
    <w:p>
      <w:pPr>
        <w:spacing w:after="0"/>
        <w:ind w:left="0"/>
        <w:jc w:val="both"/>
      </w:pPr>
      <w:r>
        <w:rPr>
          <w:rFonts w:ascii="Times New Roman"/>
          <w:b w:val="false"/>
          <w:i w:val="false"/>
          <w:color w:val="000000"/>
          <w:sz w:val="28"/>
        </w:rPr>
        <w:t>
      Нереализованная прибыль в размере 1.394.000 тысяч тенге по переоценке инвестиций, имеющихся в наличии для продажи, по привилегированным акциям АО "Народный Банк Казахстана", была также реклассифицирована из резерва по переоценке инвестиций, имеющихся в наличие для продажи, в чистую прибыль за период. Полученная чистая прибыль от выбытия финансовых активов была отражена в консолидированном отчете о прибылях и убытках за 2012 год в размере 4.830.000 тысяч тенге.</w:t>
      </w:r>
    </w:p>
    <w:p>
      <w:pPr>
        <w:spacing w:after="0"/>
        <w:ind w:left="0"/>
        <w:jc w:val="both"/>
      </w:pPr>
      <w:r>
        <w:rPr>
          <w:rFonts w:ascii="Times New Roman"/>
          <w:b w:val="false"/>
          <w:i w:val="false"/>
          <w:color w:val="000000"/>
          <w:sz w:val="28"/>
        </w:rPr>
        <w:t>
      На 31 декабря 2013 года справедливая стоимость оставшихся во владении Фонда ценных бумаг АО "Народный Банк Казахстана" составила 1.025.000 тысяч тенге (2012 год: 1.028.000 тысяч тенге).</w:t>
      </w:r>
    </w:p>
    <w:bookmarkStart w:name="z316" w:id="315"/>
    <w:p>
      <w:pPr>
        <w:spacing w:after="0"/>
        <w:ind w:left="0"/>
        <w:jc w:val="both"/>
      </w:pPr>
      <w:r>
        <w:rPr>
          <w:rFonts w:ascii="Times New Roman"/>
          <w:b w:val="false"/>
          <w:i w:val="false"/>
          <w:color w:val="000000"/>
          <w:sz w:val="28"/>
        </w:rPr>
        <w:t xml:space="preserve">
      </w:t>
      </w:r>
      <w:r>
        <w:rPr>
          <w:rFonts w:ascii="Times New Roman"/>
          <w:b/>
          <w:i w:val="false"/>
          <w:color w:val="000000"/>
          <w:sz w:val="28"/>
        </w:rPr>
        <w:t>Прочие финансовые активы</w:t>
      </w:r>
    </w:p>
    <w:bookmarkEnd w:id="315"/>
    <w:p>
      <w:pPr>
        <w:spacing w:after="0"/>
        <w:ind w:left="0"/>
        <w:jc w:val="both"/>
      </w:pPr>
      <w:r>
        <w:rPr>
          <w:rFonts w:ascii="Times New Roman"/>
          <w:b w:val="false"/>
          <w:i w:val="false"/>
          <w:color w:val="000000"/>
          <w:sz w:val="28"/>
        </w:rPr>
        <w:t>
      На 31 декабря прочие финансовые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5565"/>
        <w:gridCol w:w="5565"/>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1.104.443.000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3.123.703.000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1.410.202.000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(207.560.000)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(1.136.126.000)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 нетто</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2.471.447.000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3.397.779.000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краткосрочная часть</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(1.541.688.000)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(1.741.768.000)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929.759.000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1.656.011.000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прочие финансовые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5565"/>
        <w:gridCol w:w="5565"/>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крупным предприятиям</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719.762.000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2.049.953.000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депозиты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1.356.231.000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1.099.040.000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331.358.000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718.670.000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кредитным учреждениям</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218.333.000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311.162.000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малого и среднего бизнеса</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40.165.000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292.957.000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финансовую аренду</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56.888.000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прочих финансовых активов</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2.679.007.000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4.533.905.000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(207.560.000)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(1.136.126.000)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 нетто</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2.471.447.000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3.397.779.000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краткосрочная часть</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(1.541.688.000)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(1.741.768.000)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929.759.000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1.656.011.000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Движение в резерве на обесценение по прочим финансовым активам за годы, закончившиеся 31 декабря, представлено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5217"/>
        <w:gridCol w:w="4708"/>
      </w:tblGrid>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1 января</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1.136.126.000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1.325.379.000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нетто</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105.476.000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13.948.000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 (списано) за счет резерва, нетто</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235.504.000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(231.551.000)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 активы, классифицированные как предназначенные для продажи</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(1.166.530.000)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иностранных валют</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33.952.000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28.350.000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Прекращенные операции</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(136.968.000)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207.560.000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1.136.126.000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Средства в кредитных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4312"/>
        <w:gridCol w:w="4312"/>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от ААА(Ааа) до АА-(Аа3)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35.684.000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от А+(А1) до А-(А3)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258.099.000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137.860.000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от ВВВ+(Ваа1) до ВВВ(Ваа2)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125.132.000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125.928.000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от ВВВ-(Ваа3) до ВВ-(Ва3)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210.795.000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300.932.000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от В+(В1) до В-(В3)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973.206.000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592.773.000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Рейтинги от ССС+(Саа1) до D(D)</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2.384.000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отсутствует</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4.948.000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152.892.000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1.574.564.000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1.346.069.000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0"/>
        <w:gridCol w:w="5145"/>
        <w:gridCol w:w="5145"/>
      </w:tblGrid>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крупнейших местных кредитных учреждений</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997.137.000</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913.505.000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местные кредитные учреждения</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189.063.000</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93.362.000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кредитные учреждения</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388.364.000</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339.202.000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1.574.564.000</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1.346.069.000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5144"/>
        <w:gridCol w:w="5144"/>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 выраженные в тенге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884.287.000</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790.109.000</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 выраженные в долларах США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689.287.000</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549.874.000</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 выраженные в иных валютах</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990.000</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6.086.000</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1.574.564.000</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1.346.069.000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года средства в кредитных учреждениях включали денежные средства в сумме 38.217.000 тысяч тенге, которые были заложены в качестве обеспечения по некоторым займам Группы (2012: 4.982.000 тысяч тенге).</w:t>
      </w:r>
    </w:p>
    <w:p>
      <w:pPr>
        <w:spacing w:after="0"/>
        <w:ind w:left="0"/>
        <w:jc w:val="both"/>
      </w:pPr>
      <w:r>
        <w:rPr>
          <w:rFonts w:ascii="Times New Roman"/>
          <w:b w:val="false"/>
          <w:i w:val="false"/>
          <w:color w:val="000000"/>
          <w:sz w:val="28"/>
        </w:rPr>
        <w:t>
      На 31 декабря 2013 года средневзвешенная процентная ставка по средствам в кредитных учреждениях составила 4,68% (2012: 4,86%).</w:t>
      </w:r>
    </w:p>
    <w:bookmarkStart w:name="z317" w:id="316"/>
    <w:p>
      <w:pPr>
        <w:spacing w:after="0"/>
        <w:ind w:left="0"/>
        <w:jc w:val="both"/>
      </w:pPr>
      <w:r>
        <w:rPr>
          <w:rFonts w:ascii="Times New Roman"/>
          <w:b w:val="false"/>
          <w:i w:val="false"/>
          <w:color w:val="000000"/>
          <w:sz w:val="28"/>
        </w:rPr>
        <w:t xml:space="preserve">
      </w:t>
      </w:r>
      <w:r>
        <w:rPr>
          <w:rFonts w:ascii="Times New Roman"/>
          <w:b w:val="false"/>
          <w:i/>
          <w:color w:val="000000"/>
          <w:sz w:val="28"/>
        </w:rPr>
        <w:t>Займы клиентам</w:t>
      </w:r>
    </w:p>
    <w:bookmarkEnd w:id="316"/>
    <w:p>
      <w:pPr>
        <w:spacing w:after="0"/>
        <w:ind w:left="0"/>
        <w:jc w:val="both"/>
      </w:pPr>
      <w:r>
        <w:rPr>
          <w:rFonts w:ascii="Times New Roman"/>
          <w:b w:val="false"/>
          <w:i w:val="false"/>
          <w:color w:val="000000"/>
          <w:sz w:val="28"/>
        </w:rPr>
        <w:t>
      В следующих таблицах представлена информация о кредитном качестве ссудного портфеля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4532"/>
        <w:gridCol w:w="4598"/>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не было выявлено признаков обесценения</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займы</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822.028.000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1.467.523.000</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(25.141.000)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(51.004.000)</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займы за минусом резерва на обесценение</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796.887.000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1.416.519.000</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Обесцененные займы</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 обесцененные займы</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199.832.000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1.441.378.000</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(162.793.000)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(987.461.000)</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 обесцененные займы за минусом резерва на обесценение</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37.039.000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453.917.000</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займы</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менее чем на 90 дней</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35.384.000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34.010.000</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свыше 90 дней и менее 1 года</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26.242.000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56.208.000</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свыше 1 года</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20.958.000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124.584.000</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(19.627.000)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(33.528.000)</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займы за минусом резерва на обесценение</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62.957.000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181.274.000</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обесцененных займов</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99.996.000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635.191.000</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займов, нетто</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896.883.000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2.051.710.000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компоненты чистых инвестиций по финансовой аренде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5057"/>
        <w:gridCol w:w="5057"/>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года</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1.653.000</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37.551.000</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одного года, но не свыше пяти лет</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6.611.000</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23.662.000</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пяти лет</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11.291.000</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14.164.000</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арендные платежи</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19.555.000</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75.377.000</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незаработанный финансовый доход</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(10.514.000)</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(18.489.000)</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(16.104.000)</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финансовую аренду</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9.041.000</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40.784.000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Kazakhmys Finance Plc</w:t>
      </w:r>
    </w:p>
    <w:p>
      <w:pPr>
        <w:spacing w:after="0"/>
        <w:ind w:left="0"/>
        <w:jc w:val="both"/>
      </w:pPr>
      <w:r>
        <w:rPr>
          <w:rFonts w:ascii="Times New Roman"/>
          <w:b w:val="false"/>
          <w:i w:val="false"/>
          <w:color w:val="000000"/>
          <w:sz w:val="28"/>
        </w:rPr>
        <w:t xml:space="preserve">
      В 2013 году Группа предоставила заем Kazakhmys Finance Plc в размере 200 миллионов долларов США (эквивалент 30.812.000 тысяч тенге по курсу на 31 декабря 2013 года) со сроками погашения 12 лет (2012: 1.200 миллионов долларов США, эквивалент 180.888.000 тысяч тенге по курсу на 31 декабря 2012 года). Годовая процентная ставка по займам состоит из базовой ставки, равной шестимесячной ставке ЛИБОР, и маржи в размере 4,80%. Данный заем был предоставлен для разработки медного месторождения Жомарт. Финансирование данного займа было осуществлено из средств, полученных в рамках кредитной линии Государственного Банка Развития Китая. </w:t>
      </w:r>
    </w:p>
    <w:bookmarkStart w:name="z318" w:id="317"/>
    <w:p>
      <w:pPr>
        <w:spacing w:after="0"/>
        <w:ind w:left="0"/>
        <w:jc w:val="both"/>
      </w:pPr>
      <w:r>
        <w:rPr>
          <w:rFonts w:ascii="Times New Roman"/>
          <w:b w:val="false"/>
          <w:i w:val="false"/>
          <w:color w:val="000000"/>
          <w:sz w:val="28"/>
        </w:rPr>
        <w:t xml:space="preserve">
      </w:t>
      </w:r>
      <w:r>
        <w:rPr>
          <w:rFonts w:ascii="Times New Roman"/>
          <w:b/>
          <w:i w:val="false"/>
          <w:color w:val="000000"/>
          <w:sz w:val="28"/>
        </w:rPr>
        <w:t>Торговая и прочая дебиторская задолженность и прочие краткосрочные активы</w:t>
      </w:r>
    </w:p>
    <w:bookmarkEnd w:id="317"/>
    <w:p>
      <w:pPr>
        <w:spacing w:after="0"/>
        <w:ind w:left="0"/>
        <w:jc w:val="both"/>
      </w:pPr>
      <w:r>
        <w:rPr>
          <w:rFonts w:ascii="Times New Roman"/>
          <w:b w:val="false"/>
          <w:i w:val="false"/>
          <w:color w:val="000000"/>
          <w:sz w:val="28"/>
        </w:rPr>
        <w:t>
      На 31 декабря торговая и прочая дебиторская задолженность и прочие краткосрочные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4954"/>
        <w:gridCol w:w="4954"/>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и прочая дебиторская задолженность</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437.027.000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419.103.000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выплаченные и расходы будущего периода</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54.901.000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к возмещению</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248.792.000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193.950.000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предназначенный в пользу Акционера</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70.627.000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76.720.000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к получению</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предоплата по налогам</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22.348.000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23.690.000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работников</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ограниченные в использовании</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27.359.000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 и резерв по сомнительной задолженности</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(68.746.000)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820.881.000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834.477.000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года дебиторская задолженность Группы в размере 91.914.000 тысяч тенге заложена в качестве обеспечения по договорам займа (2012 год: 91.460.000 тысяч тенге).</w:t>
      </w:r>
    </w:p>
    <w:p>
      <w:pPr>
        <w:spacing w:after="0"/>
        <w:ind w:left="0"/>
        <w:jc w:val="both"/>
      </w:pPr>
      <w:r>
        <w:rPr>
          <w:rFonts w:ascii="Times New Roman"/>
          <w:b w:val="false"/>
          <w:i w:val="false"/>
          <w:color w:val="000000"/>
          <w:sz w:val="28"/>
        </w:rPr>
        <w:t>
      Изменения в резерве на обесценение прочих краткосрочных активов и в резерве по сомнительной задолженности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5174"/>
        <w:gridCol w:w="4708"/>
      </w:tblGrid>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1 января</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64.416.000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59.049.000</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нетто</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8.362.000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9.727.000</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иностранных валют</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692.000</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 (списано) за счет резерва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(2.512.000)</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 активы, предназначенные для продажи</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(18.822.000)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(763.000)</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контроля над дочерней организацией</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оценке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(1.771.000)</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при объединении предприятий</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68.746.000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анализ торговой дебиторской задолженности в разрезе сроков представлен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834"/>
        <w:gridCol w:w="1834"/>
        <w:gridCol w:w="1665"/>
        <w:gridCol w:w="1665"/>
        <w:gridCol w:w="1495"/>
        <w:gridCol w:w="1496"/>
        <w:gridCol w:w="1496"/>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но не обесцененная</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просроченная и не обесцененная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 дней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дней</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дней</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 дней</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&gt;120 дней</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361.069.000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308.406.000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15.282.000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342.352.000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297.108.000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31 декабря 2013 года по дебиторской задолженности Группы в размере 7.683.000 тысяч тенге начислялось вознаграждение (2012: нуль). </w:t>
      </w:r>
    </w:p>
    <w:bookmarkStart w:name="z319" w:id="318"/>
    <w:p>
      <w:pPr>
        <w:spacing w:after="0"/>
        <w:ind w:left="0"/>
        <w:jc w:val="both"/>
      </w:pPr>
      <w:r>
        <w:rPr>
          <w:rFonts w:ascii="Times New Roman"/>
          <w:b w:val="false"/>
          <w:i w:val="false"/>
          <w:color w:val="000000"/>
          <w:sz w:val="28"/>
        </w:rPr>
        <w:t xml:space="preserve">
      </w:t>
      </w:r>
      <w:r>
        <w:rPr>
          <w:rFonts w:ascii="Times New Roman"/>
          <w:b/>
          <w:i w:val="false"/>
          <w:color w:val="000000"/>
          <w:sz w:val="28"/>
        </w:rPr>
        <w:t>Запасы</w:t>
      </w:r>
    </w:p>
    <w:bookmarkEnd w:id="318"/>
    <w:p>
      <w:pPr>
        <w:spacing w:after="0"/>
        <w:ind w:left="0"/>
        <w:jc w:val="both"/>
      </w:pPr>
      <w:r>
        <w:rPr>
          <w:rFonts w:ascii="Times New Roman"/>
          <w:b w:val="false"/>
          <w:i w:val="false"/>
          <w:color w:val="000000"/>
          <w:sz w:val="28"/>
        </w:rPr>
        <w:t>
      На 31 декабря запасы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5239"/>
        <w:gridCol w:w="5240"/>
      </w:tblGrid>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переработки нефти для продажи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66.162.000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64.654.000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49.514.000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50.717.000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41.085.000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материалы и запасы</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34.627.000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Урановая продукция</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29.860.000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перепродажи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34.448.000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запасы нефтегазовой отрасли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запасы железнодорожной отрасли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14.457.000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обеспечение на праве собственности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61.736.000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газа</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запасные части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 для телекоммуникационного оборудования</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запасы урановой отрасли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 для оборудования по передаче электроэнергии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и запасы</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46.037.000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по чистой стоимости реализации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346.300.000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409.508.000</w:t>
            </w:r>
          </w:p>
        </w:tc>
      </w:tr>
    </w:tbl>
    <w:p>
      <w:pPr>
        <w:spacing w:after="0"/>
        <w:ind w:left="0"/>
        <w:jc w:val="left"/>
      </w:pPr>
      <w:r>
        <w:br/>
      </w:r>
      <w:r>
        <w:rPr>
          <w:rFonts w:ascii="Times New Roman"/>
          <w:b w:val="false"/>
          <w:i w:val="false"/>
          <w:color w:val="000000"/>
          <w:sz w:val="28"/>
        </w:rPr>
        <w:t>
</w:t>
      </w:r>
    </w:p>
    <w:bookmarkStart w:name="z320" w:id="319"/>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Инвестиции, учитываемые методом долевого участия</w:t>
      </w:r>
    </w:p>
    <w:bookmarkEnd w:id="319"/>
    <w:p>
      <w:pPr>
        <w:spacing w:after="0"/>
        <w:ind w:left="0"/>
        <w:jc w:val="both"/>
      </w:pPr>
      <w:r>
        <w:rPr>
          <w:rFonts w:ascii="Times New Roman"/>
          <w:b w:val="false"/>
          <w:i w:val="false"/>
          <w:color w:val="000000"/>
          <w:sz w:val="28"/>
        </w:rPr>
        <w:t>
      На 31 декабря инвестиции, учитываемые методом долевого участия,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2"/>
        <w:gridCol w:w="656"/>
        <w:gridCol w:w="274"/>
        <w:gridCol w:w="1872"/>
        <w:gridCol w:w="1061"/>
        <w:gridCol w:w="1873"/>
        <w:gridCol w:w="1062"/>
      </w:tblGrid>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деятельность</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осуществления деятельности</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p>
            <w:pPr>
              <w:spacing w:after="20"/>
              <w:ind w:left="20"/>
              <w:jc w:val="both"/>
            </w:pPr>
            <w:r>
              <w:rPr>
                <w:rFonts w:ascii="Times New Roman"/>
                <w:b w:val="false"/>
                <w:i w:val="false"/>
                <w:color w:val="000000"/>
                <w:sz w:val="20"/>
              </w:rPr>
              <w:t>
владения</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предприятия: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"ТенгизшеврОйл"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добыча нефти и газа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311.881.000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264.699.000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 Инвестментс Б.В.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добыча нефти и газа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185.003.000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176.949.000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"Экибастузская ГРЭС-1" ("ЭГРЭС-1")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электроэнергии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153.122.000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136.845.000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"Казахойл-Актобе"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добыча нефти и газа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72.086.000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"Газопровод "Бейнеу-Шымкент"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газопровода Бейнеу-Шымкент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70.269.000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КазГерМунай"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добыча нефти и газа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55.316.000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"КазРосГаз"</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продажа природного газа и продуктов нефтепереработки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46.082.000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"Экибастузская ГРЭС-2" ("ЭГРЭС-2")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38.662.000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 Forum Muider B. V.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28.344.000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29.838.000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"Kazakhstan Petrochemical Industries Inc."</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первого интегрированного газохимического комплекса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196.861.000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121.208.000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совместные предприятия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1.211.128.000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1.039.415.000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5"/>
        <w:gridCol w:w="888"/>
        <w:gridCol w:w="371"/>
        <w:gridCol w:w="2535"/>
        <w:gridCol w:w="1437"/>
        <w:gridCol w:w="2536"/>
        <w:gridCol w:w="1438"/>
      </w:tblGrid>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деятельность</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осуществления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Ассоциированные компании:</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"Казцинк" (Примечание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обогащение руд, получение аффинированных металлов</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199.877.000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Sekerbank T.A.S.</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деятельность</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88.498.000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86.116.000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Инк." ("ПКИ")</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Разведка, добыча и переработка нефти и газа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86.391.000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80.909.000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КАТКО"</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Разведка, разработка, добыча и переработка урана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42.757.000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38.262.000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88.598.000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106.342.000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ассоциированные компании</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506.121.000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311.629.000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1.717.249.000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Ниже представлена обобщенная финансовая информация о существенных совместных предприятиях, основанная на финансовой отчетности данных предприятий за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924"/>
        <w:gridCol w:w="1742"/>
        <w:gridCol w:w="1689"/>
        <w:gridCol w:w="1742"/>
        <w:gridCol w:w="1690"/>
        <w:gridCol w:w="1743"/>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тысячах тенге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"ТенгизшеврОйл"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 Инвестментс Б.В.</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"Экибастузская ГРЭС-1" ("ЭГРЭС-1")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"Казахойл-Актобе"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"Газопровод "Бейнеу-Шымкент"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КазГер Мунай"</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предприятия: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2.046.774.000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402.934.000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323.752.000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150.324.000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297.419.000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175.436.000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 включая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541.783.000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80.288.000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43.072.000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84.923.000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69.983.000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включая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582.356.000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139.882.000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138.737.000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 включая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446.796.000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62.647.000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28.624.000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76.844.000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финансовые обязательства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97.841.000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1.559.405.000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370.006.000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306.244.000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140.538.000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138.094.000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непризнанная доля в убытках</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инвестиции по состоянию на 31 декабря 2013 года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311.881.000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185.003.000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153.122.000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70.269.000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3.839.623.000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643.603.000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82.338.000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372.392.000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амортизация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(633.970.000)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(36.029.000)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(75.103.000)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 (убыток) за год от продолжающейся деятельности</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1.479.538.000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113.038.000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86.432.000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прекращенной деятельности</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 / (убыток)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1.507.037.000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113.288.000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88.604.000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Непризнанная доля в убытках</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254.226.000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48.590.000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579"/>
        <w:gridCol w:w="1531"/>
        <w:gridCol w:w="2456"/>
        <w:gridCol w:w="5130"/>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"КазРосГаз"</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"Экибастузская ГРЭС-2" ("ЭГРЭС-2")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Forum Muider B. V</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"Kazakhstan Petrochemical Industries Inc."</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132.584.000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42.152.000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37.398.000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 включая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96.391.000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39.702.000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33.301.000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68.529.000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22.903.000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включая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 включая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56.902.000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финансовые обязательства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54.277.000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92.164.000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77.324.000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56.688.000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55.015.000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непризнанная доля в убытках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инвестиции по состоянию на 31 декабря 2013 года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46.082.000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38.662.000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28.344.000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140.829.000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43.379.000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96.331.000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амортизация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 (убыток) за год от продолжающейся деятельности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прекращенной деятельности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 / (убыток)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47.097.000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Непризнанная доля в убытках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Ниже представлена обобщенная финансовая информация о существенных совместных предприятиях, основанная на финансовой отчетности данных предприятий за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1916"/>
        <w:gridCol w:w="1734"/>
        <w:gridCol w:w="1735"/>
        <w:gridCol w:w="1735"/>
        <w:gridCol w:w="1682"/>
        <w:gridCol w:w="1736"/>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"Тенгизшевр Ойл"</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 Инвестментс Б.В.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"Экибастузская ГРЭС-1" ("ЭГРЭС-1")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"Казахойл-Актобе"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"Газопровод "Бейнеу-Шымкент"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КазГер Мунай"</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предприятия: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1.901.162.000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385.919.000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280.831.000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163.973.000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184.117.000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 включая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487.082.000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144.994.000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62.180.000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45.882.000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57.386.000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включая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688.777.000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133.098.000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59.793.000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95.268.000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83.996.000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 включая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375.972.000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43.917.000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66.234.000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75.872.000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финансовые обязательства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1.323.495.000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353.898.000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144.172.000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143.920.000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110.632.000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непризнанная доля в убытках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инвестиции по состоянию на 31 декабря 2012 года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264.699.000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176.949.000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136.845.000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72.086.000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55.316.000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3.442.771.000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636.259.000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86.453.000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134.919.000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344.477.000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амортизация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(129.583.000)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(32.428.000)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(573.919.000)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(75.765.000)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 (убыток) за год от продолжающейся деятельности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1.339.145.000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129.271.000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39.595.000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76.716.000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прекращенной деятельности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19.974.000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 / (убыток)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1.359.119.000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129.271.000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39.595.000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77.316.000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Непризнанная доля в убытках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243.858.000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579"/>
        <w:gridCol w:w="1531"/>
        <w:gridCol w:w="2456"/>
        <w:gridCol w:w="5130"/>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"КазРосГаз"</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"Экибастузская ГРЭС-2" ("ЭГРЭС-2")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Forum Muider B. V</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"Kazakhstan Petrochemical Industries Inc."</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70.424.000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33.045.000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 включая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135.513.000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70.011.000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включая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52.233.000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46.926.000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 включая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финансовые обязательства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126.848.000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59.292.000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59.676.000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непризнанная доля в убытках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инвестиции по состоянию на 31 декабря 2012 года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63.424.000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29.838.000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220.998.000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82.027.000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амортизация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(21.929.000)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 (убыток) за год от продолжающейся деятельности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81.782.000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прекращенной деятельности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 / (убыток)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83.964.000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11.759.000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Непризнанная доля в убытках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142.996.000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6.095.000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Ниже представлена обобщенная финансовая информация о существенных ассоциированных компаниях, основанная на финансовой отчетности данных предприятий за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6"/>
        <w:gridCol w:w="2358"/>
        <w:gridCol w:w="3182"/>
        <w:gridCol w:w="2287"/>
        <w:gridCol w:w="2077"/>
      </w:tblGrid>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"Казцинк"</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Sekerbank T.A.S.</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Инк. ("ПКИ")</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КАТКО"</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713.496.000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864.412.000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418.059.000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70.990.000</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166.036.000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684.917.000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48.107.000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34.582.000</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110.555.000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287.726.000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117.548.000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8.168.000</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61.553.000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966.432.000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86.826.000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10.284.000</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707.424.000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295.171.000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261.792.000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87.120.000</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непризнанная доля в убытках</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49.292.000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(60.369.000)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(10.945.000)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инвестиции по состоянию на 31 декабря 2013 года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199.877.000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88.498.000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86.391.000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42.757.000</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356.465.000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295.928.000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71.469.000</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за год от продолжающейся деятельности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21.341.000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18.694.000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71.959.000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21.100.000</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прекращенной деятельности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6.553.000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4.581.000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27.894.000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18.845.000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76.540.000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21.509.000</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Непризнанная доля в убытках</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35.334.000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Ниже представлена обобщенная финансовая информация о существенных ассоциированных компаниях, основанная на финансовой отчетности данных предприятий за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724"/>
        <w:gridCol w:w="3705"/>
        <w:gridCol w:w="2663"/>
        <w:gridCol w:w="2418"/>
      </w:tblGrid>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"Казцинк"</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Sekerbank T.A.S.</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Инк. ("ПКИ")</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КАТКО"</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728.622.000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411.210.000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65.701.000</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660.719.000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40.144.000</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242.805.000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105.261.000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5.808.000</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871.761.000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71.462.000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22.091.000</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274.775.000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245.179.000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77.946.000</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непризнанная доля в убытках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(6.978.000)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инвестиции по состоянию на 31 декабря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86.116.000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80.909.000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38.262.000</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101.120.000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320.681.000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47.859.000</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за год от продолжающейся деятельности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19.359.000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19.302.000</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прекращенной деятельности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10.093.000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29.452.000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110.533.000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18.893.000</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Непризнанная доля в убытках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 вышеперечисленные совместные предприятия и ассоциированные компании, за исключением Sekerbank T.A.S. являются стратегическими для бизнеса Группы.</w:t>
      </w:r>
    </w:p>
    <w:p>
      <w:pPr>
        <w:spacing w:after="0"/>
        <w:ind w:left="0"/>
        <w:jc w:val="both"/>
      </w:pPr>
      <w:r>
        <w:rPr>
          <w:rFonts w:ascii="Times New Roman"/>
          <w:b w:val="false"/>
          <w:i w:val="false"/>
          <w:color w:val="000000"/>
          <w:sz w:val="28"/>
        </w:rPr>
        <w:t>
      Не существует активного рынка для существенных совместных предприятий и ассоциированных компаний, поэтому Группа не раскрывает информацию о справедливой стоимости данных инвестиций.</w:t>
      </w:r>
    </w:p>
    <w:p>
      <w:pPr>
        <w:spacing w:after="0"/>
        <w:ind w:left="0"/>
        <w:jc w:val="both"/>
      </w:pPr>
      <w:r>
        <w:rPr>
          <w:rFonts w:ascii="Times New Roman"/>
          <w:b w:val="false"/>
          <w:i w:val="false"/>
          <w:color w:val="000000"/>
          <w:sz w:val="28"/>
        </w:rPr>
        <w:t>
      Ниже представлена обобщенная финансовая информация об индивидуально несущественных совместных предприятиях (пропорциональная доля участия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4759"/>
        <w:gridCol w:w="4759"/>
      </w:tblGrid>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стоимость инвестиций по состоянию на 31 декабря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196.861.000</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121.208.000</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за год от продолжающейся деятельности</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36.909.000</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26.672.000</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прекращенной деятельности</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Прочий совокупный доход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941.000</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37.850.000</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Ниже представлена обобщенная финансовая информация об индивидуально несущественных ассоциированных компаниях (пропорциональная доля участия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4479"/>
        <w:gridCol w:w="4936"/>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стоимость инвестиций по состоянию на 31 декабря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88.598.000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106.342.000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за год от продолжающейся деятельности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9.279.000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после налогообложения от прекращенной деятельности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Прочий совокупный доход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1.678.000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в инвестициях в совместные предприятия и ассоциированные компании в 2013 и 2012 годах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1"/>
        <w:gridCol w:w="4619"/>
        <w:gridCol w:w="4620"/>
      </w:tblGrid>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1 января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1.351.044.000</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1.294.982.000</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 доходе совместных предприятий и ассоциированных компаний, нетто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542.434.000</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538.835.000</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(438.759.000)</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(556.217.000)</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дивидендах к получению</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14.116.000</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Приобретения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315.931.000</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46.171.000</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(2.274.000)</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активы, классифицируемые как предназначенные для продажи (Примечание 6)</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(16.061.000)</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15.548.000</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11.097.000</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финансовых активов</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855.000</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 восстановление обесценения</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(70.712.000)</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16.463.000</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в капитале совместных предприятий и ассоциированных компаний</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5.127.000</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31 декабря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1.717.249.000</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2013 году Группа признала убыток от обесценения инвестиций в ассоциированную компанию, ТОО "Казцинк", в размере 60.369.000 тысяч тенге. Возмещаемая стоимость данной инвестиции была определена на основе ценности ее использования путем дисконтирования будущих денежных потоков.</w:t>
      </w:r>
    </w:p>
    <w:p>
      <w:pPr>
        <w:spacing w:after="0"/>
        <w:ind w:left="0"/>
        <w:jc w:val="both"/>
      </w:pPr>
      <w:r>
        <w:rPr>
          <w:rFonts w:ascii="Times New Roman"/>
          <w:b w:val="false"/>
          <w:i w:val="false"/>
          <w:color w:val="000000"/>
          <w:sz w:val="28"/>
        </w:rPr>
        <w:t>
      На 31 декабря 2013 года, доля Группы в непризнанных накопленных убытках совместных предприятий и ассоциированных компаний составила 24.823.000 тысяч тенге (2012: 33.509.000 тысяч тенге).</w:t>
      </w:r>
    </w:p>
    <w:bookmarkStart w:name="z321" w:id="320"/>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 средства</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643"/>
        <w:gridCol w:w="1487"/>
        <w:gridCol w:w="1487"/>
        <w:gridCol w:w="1487"/>
        <w:gridCol w:w="1643"/>
        <w:gridCol w:w="1353"/>
        <w:gridCol w:w="1487"/>
        <w:gridCol w:w="1620"/>
        <w:gridCol w:w="164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Нефтегазовые активы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и активы НПЗ</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пути и инфраструктура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и транспортные средства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Горнорудные активы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1 января 2012 года (пересчитано)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1.524.394.000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653.572.000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477.387.000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496.132.000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1.251.310.000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410.823.000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4.908.432.000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иностранных валют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47.439.000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350.270.000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595.615.000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1.157.585.000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 доли участия в КПО (Примечание 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(60.398.000)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Прекращенная деятельность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износу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(144.936.000)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(315.425.000)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обесценение по выбытиям</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 вычетом сторнирования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(85.709.000)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контроля над дочерней организацией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Переводы в активы, предназначенные для продажи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из/(в) запасы, нетто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нематериальные активы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разведочных и оценочных активов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переводы и перегруппировки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104.519.000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157.232.000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(524.668.000)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2012 года (пересчитано)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1.935.855.000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530.632.000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575.173.000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444.042.000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643"/>
        <w:gridCol w:w="1487"/>
        <w:gridCol w:w="1487"/>
        <w:gridCol w:w="1487"/>
        <w:gridCol w:w="1643"/>
        <w:gridCol w:w="1353"/>
        <w:gridCol w:w="1487"/>
        <w:gridCol w:w="1620"/>
        <w:gridCol w:w="164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Нефтегазовые активы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и активы НПЗ</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пути и инфраструктура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и транспортные средства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Горнорудные активы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1 января 2013 года (пересчитано)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1.935.855.000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530.632.000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575.173.000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444.042.000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иностранных валют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262.112.000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818.752.000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1.270.205.000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 посредством объединения предприятий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Прекращенная деятельность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износу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обесценение по выбытиям</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57.909.000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 вычетом сторнирования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контроля над дочерней организацией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Переводы в активы, предназначенные для продажи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из/(в) запасы, нетто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из/(в) нематериальные активы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разведочных и оценочных активов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переводы и перегруппировки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48.901.000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206.257.000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(485.959.000)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2013 года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599.537.000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1.928.114.000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752.298.000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6.802.386.000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643"/>
        <w:gridCol w:w="1643"/>
        <w:gridCol w:w="1620"/>
        <w:gridCol w:w="1620"/>
        <w:gridCol w:w="1643"/>
        <w:gridCol w:w="1487"/>
        <w:gridCol w:w="1487"/>
        <w:gridCol w:w="1487"/>
        <w:gridCol w:w="1821"/>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Нефтегазовые активы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и активы НПЗ</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пути и инфраструктура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и транспортные средства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Горнорудные активы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2.497.106.000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1.052.770.000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769.456.000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705.249.000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2.848.013.000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770.062.000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8.837.226.000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износ и обесценение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(429.398.000)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(284.768.000)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(919.899.000)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(2.034.840.000)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2013 года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768.002.000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599.537.000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1.928.114.000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752.298.000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6.802.386.000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2.262.918.000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988.248.000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692.005.000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664.533.000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2.413.242.000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461.947.000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7.682.187.000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износ и обесценение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(327.063.000)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(89.360.000)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(791.268.000)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(1.725.792.000)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2012 года (пересчитано)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1.935.855.000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530.632.000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575.173.000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444.042.000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5.956.395.000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31 декабря 2013 года основные средства с чистой балансовой стоимостью в сумме 1.395.600.000 тысяч тенге были заложены в качестве обеспечения по некоторым займам Группы (2012 год: 1.087.516.000 тысяч тенге). </w:t>
      </w:r>
    </w:p>
    <w:p>
      <w:pPr>
        <w:spacing w:after="0"/>
        <w:ind w:left="0"/>
        <w:jc w:val="both"/>
      </w:pPr>
      <w:r>
        <w:rPr>
          <w:rFonts w:ascii="Times New Roman"/>
          <w:b w:val="false"/>
          <w:i w:val="false"/>
          <w:color w:val="000000"/>
          <w:sz w:val="28"/>
        </w:rPr>
        <w:t>
      На 31 декабря 2013 года балансовая стоимость основных средств, полученных по соглашениям о финансовой аренде, составляла 118.348.000 тысяч тенге (2012 год: 65.638.000 тысяч тенге).</w:t>
      </w:r>
    </w:p>
    <w:p>
      <w:pPr>
        <w:spacing w:after="0"/>
        <w:ind w:left="0"/>
        <w:jc w:val="both"/>
      </w:pPr>
      <w:r>
        <w:rPr>
          <w:rFonts w:ascii="Times New Roman"/>
          <w:b w:val="false"/>
          <w:i w:val="false"/>
          <w:color w:val="000000"/>
          <w:sz w:val="28"/>
        </w:rPr>
        <w:t>
      На 31 декабря 2013 года первоначальная стоимость полностью самортизированных основных средств Группы составила 494.378.000 тысяч тенге (2012 год: 483.458.000 тысяч тенге).</w:t>
      </w:r>
    </w:p>
    <w:p>
      <w:pPr>
        <w:spacing w:after="0"/>
        <w:ind w:left="0"/>
        <w:jc w:val="both"/>
      </w:pPr>
      <w:r>
        <w:rPr>
          <w:rFonts w:ascii="Times New Roman"/>
          <w:b w:val="false"/>
          <w:i w:val="false"/>
          <w:color w:val="000000"/>
          <w:sz w:val="28"/>
        </w:rPr>
        <w:t xml:space="preserve">
      В 2013 году Группа капитализировала затраты по займам по средневзвешенной ставке капитализации в размере 9,1% на сумму 19.038.000 тысяч тенге (2012 год: в размере 6% на сумму 4.162.000 тысяч тенге).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Обесценение основных средств</w:t>
      </w:r>
    </w:p>
    <w:p>
      <w:pPr>
        <w:spacing w:after="0"/>
        <w:ind w:left="0"/>
        <w:jc w:val="both"/>
      </w:pPr>
      <w:r>
        <w:rPr>
          <w:rFonts w:ascii="Times New Roman"/>
          <w:b w:val="false"/>
          <w:i w:val="false"/>
          <w:color w:val="000000"/>
          <w:sz w:val="28"/>
        </w:rPr>
        <w:t>
      В 2013 году Группа признала чистый убыток по обесценению в размере 67.179.000 тысяч тенге, который, в основном, приходится на обесценение основных средств "РД КМГ" в размере 60.044.000 тысяч тенге (Примечание 4), АО "НАК "Казатомпром" в размере 3.434.000 тысяч тенге и АО "НК "КТЖ" в размере 1.523.000 тысяч тенге.</w:t>
      </w:r>
    </w:p>
    <w:p>
      <w:pPr>
        <w:spacing w:after="0"/>
        <w:ind w:left="0"/>
        <w:jc w:val="both"/>
      </w:pPr>
      <w:r>
        <w:rPr>
          <w:rFonts w:ascii="Times New Roman"/>
          <w:b w:val="false"/>
          <w:i w:val="false"/>
          <w:color w:val="000000"/>
          <w:sz w:val="28"/>
        </w:rPr>
        <w:t xml:space="preserve">
      В 2012 году Группа признала чистый убыток по обесценению в размере 86.143.000 тысяч тенге, который приходится, в основном, на обесценение основных средств "РД КМГ" в размере 76.344.000 тысяч </w:t>
      </w:r>
      <w:r>
        <w:rPr>
          <w:rFonts w:ascii="Times New Roman"/>
          <w:b w:val="false"/>
          <w:i/>
          <w:color w:val="000000"/>
          <w:sz w:val="28"/>
        </w:rPr>
        <w:t>(Примечание 4)</w:t>
      </w:r>
      <w:r>
        <w:rPr>
          <w:rFonts w:ascii="Times New Roman"/>
          <w:b w:val="false"/>
          <w:i w:val="false"/>
          <w:color w:val="000000"/>
          <w:sz w:val="28"/>
        </w:rPr>
        <w:t>, АО "КазМунайГаз – переработка и маркетинг" в размере 1.258.000 тысяч тенге и ТОО "Наукоград" в размере 2.326.000 тысяч тенге.</w:t>
      </w:r>
    </w:p>
    <w:bookmarkStart w:name="z322" w:id="321"/>
    <w:p>
      <w:pPr>
        <w:spacing w:after="0"/>
        <w:ind w:left="0"/>
        <w:jc w:val="both"/>
      </w:pPr>
      <w:r>
        <w:rPr>
          <w:rFonts w:ascii="Times New Roman"/>
          <w:b w:val="false"/>
          <w:i w:val="false"/>
          <w:color w:val="000000"/>
          <w:sz w:val="28"/>
        </w:rPr>
        <w:t xml:space="preserve">
      </w:t>
      </w:r>
      <w:r>
        <w:rPr>
          <w:rFonts w:ascii="Times New Roman"/>
          <w:b/>
          <w:i w:val="false"/>
          <w:color w:val="000000"/>
          <w:sz w:val="28"/>
        </w:rPr>
        <w:t>Разведочные и оценочные активы</w:t>
      </w:r>
    </w:p>
    <w:bookmarkEnd w:id="321"/>
    <w:p>
      <w:pPr>
        <w:spacing w:after="0"/>
        <w:ind w:left="0"/>
        <w:jc w:val="both"/>
      </w:pPr>
      <w:r>
        <w:rPr>
          <w:rFonts w:ascii="Times New Roman"/>
          <w:b w:val="false"/>
          <w:i w:val="false"/>
          <w:color w:val="000000"/>
          <w:sz w:val="28"/>
        </w:rPr>
        <w:t>
      Движение разведочных и оценочных активов представлено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2570"/>
        <w:gridCol w:w="2094"/>
        <w:gridCol w:w="2651"/>
        <w:gridCol w:w="2651"/>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Нефтегазовые активы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Горнорудные активы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на недропользование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1 января 2012 года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133.479.000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35.734.000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171.336.000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иностранных валют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45.266.000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46.730.000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контроля над дочерней организацией</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нематериальные активы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основные средства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2012 года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123.939.000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197.516.000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иностранных валют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31.546.000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39.848.000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основные средства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переводы и перегруппировки</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2013 года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200.344.000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237.657.000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206.211.000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45.085.000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256.104.000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износ и обесценение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2013 года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200.344.000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237.657.000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133.009.000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83.241.000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219.164.000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износ и обесценение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(21.648.000)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2012 года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123.939.000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197.516.000</w:t>
            </w:r>
          </w:p>
        </w:tc>
      </w:tr>
    </w:tbl>
    <w:p>
      <w:pPr>
        <w:spacing w:after="0"/>
        <w:ind w:left="0"/>
        <w:jc w:val="left"/>
      </w:pPr>
      <w:r>
        <w:br/>
      </w:r>
      <w:r>
        <w:rPr>
          <w:rFonts w:ascii="Times New Roman"/>
          <w:b w:val="false"/>
          <w:i w:val="false"/>
          <w:color w:val="000000"/>
          <w:sz w:val="28"/>
        </w:rPr>
        <w:t>
</w:t>
      </w:r>
    </w:p>
    <w:bookmarkStart w:name="z323" w:id="322"/>
    <w:p>
      <w:pPr>
        <w:spacing w:after="0"/>
        <w:ind w:left="0"/>
        <w:jc w:val="both"/>
      </w:pPr>
      <w:r>
        <w:rPr>
          <w:rFonts w:ascii="Times New Roman"/>
          <w:b w:val="false"/>
          <w:i w:val="false"/>
          <w:color w:val="000000"/>
          <w:sz w:val="28"/>
        </w:rPr>
        <w:t xml:space="preserve">
      </w:t>
      </w:r>
      <w:r>
        <w:rPr>
          <w:rFonts w:ascii="Times New Roman"/>
          <w:b/>
          <w:i w:val="false"/>
          <w:color w:val="000000"/>
          <w:sz w:val="28"/>
        </w:rPr>
        <w:t>Нематериальные активы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1552"/>
        <w:gridCol w:w="1552"/>
        <w:gridCol w:w="1552"/>
        <w:gridCol w:w="1366"/>
        <w:gridCol w:w="1412"/>
        <w:gridCol w:w="1552"/>
        <w:gridCol w:w="1692"/>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по маркетингу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на недропользование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1 января 2012 года (пересчитано)</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27.006.000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30.593.000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271.255.000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иностранных валют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Приобретения посредством объединения предприятий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Выбытия по прекращенной деятельности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износу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по выбытиям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в/из запасы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в/из основные средства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разведочных и оценочных активов</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переводы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2012 года (пересчитано)</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26.565.000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287.166.000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иностранных валют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Приобретения посредством объединения предприятий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Выбытия по прекращенной деятельности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(23.745.000)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контроля над дочерней компанией</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износу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по выбытиям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из/(в) запасы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активы для продажи</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из/(в) основных средств</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переводы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2013 года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90.796.000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28.589.000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380.534.000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износ и обесценение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(51.154.000)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(128.714.000)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2013 года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41.898.000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403.548.000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износ и обесценение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(116.382.000)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31 декабря 2012 года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26.565.000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Тест на обесценение гудвилла</w:t>
      </w:r>
    </w:p>
    <w:p>
      <w:pPr>
        <w:spacing w:after="0"/>
        <w:ind w:left="0"/>
        <w:jc w:val="both"/>
      </w:pPr>
      <w:r>
        <w:rPr>
          <w:rFonts w:ascii="Times New Roman"/>
          <w:b w:val="false"/>
          <w:i w:val="false"/>
          <w:color w:val="000000"/>
          <w:sz w:val="28"/>
        </w:rPr>
        <w:t>
      Балансовая стоимость гудвилла по состоянию, отнесенного на каждую из единиц, генерирующих денежные потоки по сегментам,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4798"/>
        <w:gridCol w:w="4798"/>
      </w:tblGrid>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генерирующие денежные потоки</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Нефтепереработка</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121.708.000</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121.654.000</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13.372.000</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13.372.000</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нефтегазовый сегмент</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135.080.000</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135.026.000</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горнопромышленный сегмент (добыча урана)</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5.166.000</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10.110.000</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сегмент телекоммуникаций (IP-телевидение)</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2.706.000</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прочие</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323.000</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1.642.000</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гудвилл</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143.275.000</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146.778.000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Группа "Нефтепереработка" включает в себя "Rompetrol Group N.V.", "Downstream Romania", "Dyneff" и ТОО "Refinery Company RT", приобретенные в 2009 году </w:t>
      </w:r>
      <w:r>
        <w:rPr>
          <w:rFonts w:ascii="Times New Roman"/>
          <w:b w:val="false"/>
          <w:i/>
          <w:color w:val="000000"/>
          <w:sz w:val="28"/>
        </w:rPr>
        <w:t>(Примечание 4)</w:t>
      </w:r>
      <w:r>
        <w:rPr>
          <w:rFonts w:ascii="Times New Roman"/>
          <w:b w:val="false"/>
          <w:i w:val="false"/>
          <w:color w:val="000000"/>
          <w:sz w:val="28"/>
        </w:rPr>
        <w:t>.</w:t>
      </w:r>
    </w:p>
    <w:p>
      <w:pPr>
        <w:spacing w:after="0"/>
        <w:ind w:left="0"/>
        <w:jc w:val="both"/>
      </w:pPr>
      <w:r>
        <w:rPr>
          <w:rFonts w:ascii="Times New Roman"/>
          <w:b w:val="false"/>
          <w:i w:val="false"/>
          <w:color w:val="000000"/>
          <w:sz w:val="28"/>
        </w:rPr>
        <w:t>
      Расходы по обесценению гудвилла, признанные в 2013 году в консолидированном отчете о прибылях и убытках, включали обесценение в горнопромышленном сегменте на сумму 4.945.000 тысяч тенге (2012 год: ноль).</w:t>
      </w:r>
    </w:p>
    <w:bookmarkStart w:name="z324" w:id="323"/>
    <w:p>
      <w:pPr>
        <w:spacing w:after="0"/>
        <w:ind w:left="0"/>
        <w:jc w:val="both"/>
      </w:pPr>
      <w:r>
        <w:rPr>
          <w:rFonts w:ascii="Times New Roman"/>
          <w:b w:val="false"/>
          <w:i w:val="false"/>
          <w:color w:val="000000"/>
          <w:sz w:val="28"/>
        </w:rPr>
        <w:t xml:space="preserve">
      </w:t>
      </w:r>
      <w:r>
        <w:rPr>
          <w:rFonts w:ascii="Times New Roman"/>
          <w:b/>
          <w:i w:val="false"/>
          <w:color w:val="000000"/>
          <w:sz w:val="28"/>
        </w:rPr>
        <w:t>Прочие долгосрочные активы</w:t>
      </w:r>
    </w:p>
    <w:bookmarkEnd w:id="323"/>
    <w:p>
      <w:pPr>
        <w:spacing w:after="0"/>
        <w:ind w:left="0"/>
        <w:jc w:val="both"/>
      </w:pPr>
      <w:r>
        <w:rPr>
          <w:rFonts w:ascii="Times New Roman"/>
          <w:b w:val="false"/>
          <w:i w:val="false"/>
          <w:color w:val="000000"/>
          <w:sz w:val="28"/>
        </w:rPr>
        <w:t xml:space="preserve">
      На 31 декабря прочие долгосрочные активы включали: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5354"/>
        <w:gridCol w:w="5355"/>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уплаченные за долгосрочные активы</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302.517.000</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292.387.000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НДС к возмещению</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62.997.000</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47.616.000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23.548.000</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24.536.000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реализации государству</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14.148.000</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14.239.000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запасы</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8.886.000</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13.201.000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ограниченные в использовании</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12.544.000</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9.056.000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64.906.000</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40.730.000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(27.650.000)</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(20.673.000)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461.896.000</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421.092.000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в резерве на обесценение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4935"/>
        <w:gridCol w:w="4776"/>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1 января</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20.673.000</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15.874.000</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иностранной валюты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нетто</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9.138.000</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3.663.000</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активы, классифицированные, как предназначенные для продажи</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(3.280.000)</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731.000</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27.650.000</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состоянию на 31 декабря 2013 года авансы, уплаченные за долгосрочные активы в основном представлены авансами за выполнение строительных работ и приобретение основных средств. </w:t>
      </w:r>
    </w:p>
    <w:bookmarkStart w:name="z325" w:id="324"/>
    <w:p>
      <w:pPr>
        <w:spacing w:after="0"/>
        <w:ind w:left="0"/>
        <w:jc w:val="both"/>
      </w:pPr>
      <w:r>
        <w:rPr>
          <w:rFonts w:ascii="Times New Roman"/>
          <w:b w:val="false"/>
          <w:i w:val="false"/>
          <w:color w:val="000000"/>
          <w:sz w:val="28"/>
        </w:rPr>
        <w:t xml:space="preserve">
      </w:t>
      </w:r>
      <w:r>
        <w:rPr>
          <w:rFonts w:ascii="Times New Roman"/>
          <w:b/>
          <w:i w:val="false"/>
          <w:color w:val="000000"/>
          <w:sz w:val="28"/>
        </w:rPr>
        <w:t>Займы</w:t>
      </w:r>
    </w:p>
    <w:bookmarkEnd w:id="324"/>
    <w:p>
      <w:pPr>
        <w:spacing w:after="0"/>
        <w:ind w:left="0"/>
        <w:jc w:val="both"/>
      </w:pPr>
      <w:r>
        <w:rPr>
          <w:rFonts w:ascii="Times New Roman"/>
          <w:b w:val="false"/>
          <w:i w:val="false"/>
          <w:color w:val="000000"/>
          <w:sz w:val="28"/>
        </w:rPr>
        <w:t>
      На 31 декабря займы, в том числе вознаграждение к уплате,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4550"/>
        <w:gridCol w:w="5045"/>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от финансовых учреждений</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3.974.366.000</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4.207.905.000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от Национального Банка Республики Казахстан</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130.878.000</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612.951.000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выкупленные Национальным Банком Республики Казахстан за счет средств Национального фонда</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71.302.000</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63.056.000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от Правительства Республики Казахстан</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66.378.000</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94.634.000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4.242.924.000</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4.978.546.000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суммы, подлежащей погашению в течение 12 месяцев</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(679.181.000)</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(1.240.793.000)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погашению после 12 месяцев</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3.563.743.000</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3.737.753.000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5520"/>
        <w:gridCol w:w="5521"/>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фиксированной ставкой вознаграждения</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2.820.440.000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3.817.584.000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плавающей ставкой вознаграждения</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1.422.484.000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1.160.962.000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4.242.924.000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4.978.546.000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5421"/>
        <w:gridCol w:w="5421"/>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выраженные в долларах США</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3.327.141.000</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3.766.241.000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выраженные в тенге</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808.113.000</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1.107.721.000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выраженные в других валютах</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107.670.000</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104.584.000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4.242.924.000</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4.978.546.000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Займы от финансовых учреждений</w:t>
      </w:r>
    </w:p>
    <w:p>
      <w:pPr>
        <w:spacing w:after="0"/>
        <w:ind w:left="0"/>
        <w:jc w:val="both"/>
      </w:pPr>
      <w:r>
        <w:rPr>
          <w:rFonts w:ascii="Times New Roman"/>
          <w:b w:val="false"/>
          <w:i w:val="false"/>
          <w:color w:val="000000"/>
          <w:sz w:val="28"/>
        </w:rPr>
        <w:t>
      По условиям некоторых договоров займов соответствующие дочерние организации Группы обязаны соблюдать определенные ковенанты. Руководство Группы считает, что по состоянию на 31 декабря 2013 и 2012 годов дочерние организации Группы соблюдают все такие ковенанты.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Кредитная линия Государственного Банка Развития Китая</w:t>
      </w:r>
    </w:p>
    <w:p>
      <w:pPr>
        <w:spacing w:after="0"/>
        <w:ind w:left="0"/>
        <w:jc w:val="both"/>
      </w:pPr>
      <w:r>
        <w:rPr>
          <w:rFonts w:ascii="Times New Roman"/>
          <w:b w:val="false"/>
          <w:i w:val="false"/>
          <w:color w:val="000000"/>
          <w:sz w:val="28"/>
        </w:rPr>
        <w:t xml:space="preserve">
      В рамках кредитной линии Государственного Банка Развития Китая в 2013 году Группа получила займы в размере 200 миллионов долларов США (эквивалент 30.144.000 тысяч тенге по курсу на дату получения). Полученный транш предназначен для предоставления займов Kazakhmys Finance Plc для разработки медного месторождения Жомарт.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Выпуск облигаций</w:t>
      </w:r>
    </w:p>
    <w:p>
      <w:pPr>
        <w:spacing w:after="0"/>
        <w:ind w:left="0"/>
        <w:jc w:val="both"/>
      </w:pPr>
      <w:r>
        <w:rPr>
          <w:rFonts w:ascii="Times New Roman"/>
          <w:b w:val="false"/>
          <w:i w:val="false"/>
          <w:color w:val="000000"/>
          <w:sz w:val="28"/>
        </w:rPr>
        <w:t>
      30 апреля 2013 года НК КМГ, дочерняя организация Группы, выпустила облигации на Лондонской Фондовой Бирже на общую сумму 3 миллиарда долларов США (эквивалентно 453.720.000 тысяч тенге по курсу на дату выпуска) в рамках текущей программы выпуска среднесрочных глобальных нот до 10,5 миллиардов долларов США на следующих условиях:</w:t>
      </w:r>
    </w:p>
    <w:p>
      <w:pPr>
        <w:spacing w:after="0"/>
        <w:ind w:left="0"/>
        <w:jc w:val="both"/>
      </w:pPr>
      <w:r>
        <w:rPr>
          <w:rFonts w:ascii="Times New Roman"/>
          <w:b w:val="false"/>
          <w:i w:val="false"/>
          <w:color w:val="000000"/>
          <w:sz w:val="28"/>
        </w:rPr>
        <w:t>
      - 2 миллиарда долларов США со ставкой вознаграждения в размере 5,75% со сроком погашения в 2043 году и ценой размещения в 99,293% от номинала;</w:t>
      </w:r>
    </w:p>
    <w:p>
      <w:pPr>
        <w:spacing w:after="0"/>
        <w:ind w:left="0"/>
        <w:jc w:val="both"/>
      </w:pPr>
      <w:r>
        <w:rPr>
          <w:rFonts w:ascii="Times New Roman"/>
          <w:b w:val="false"/>
          <w:i w:val="false"/>
          <w:color w:val="000000"/>
          <w:sz w:val="28"/>
        </w:rPr>
        <w:t>
      - 1 миллиард долларов США со ставкой вознаграждения в размере 4,4% со сроком погашения в 2023 году и ценой размещения в 99,6% от номинала.</w:t>
      </w:r>
    </w:p>
    <w:p>
      <w:pPr>
        <w:spacing w:after="0"/>
        <w:ind w:left="0"/>
        <w:jc w:val="both"/>
      </w:pPr>
      <w:r>
        <w:rPr>
          <w:rFonts w:ascii="Times New Roman"/>
          <w:b w:val="false"/>
          <w:i w:val="false"/>
          <w:color w:val="000000"/>
          <w:sz w:val="28"/>
        </w:rPr>
        <w:t xml:space="preserve">
      По облигациям, выпущенным в 2013 году, купон выплачивается на полугодовой основе начиная с 30 октября 2013 года. </w:t>
      </w:r>
    </w:p>
    <w:p>
      <w:pPr>
        <w:spacing w:after="0"/>
        <w:ind w:left="0"/>
        <w:jc w:val="both"/>
      </w:pPr>
      <w:r>
        <w:rPr>
          <w:rFonts w:ascii="Times New Roman"/>
          <w:b w:val="false"/>
          <w:i w:val="false"/>
          <w:color w:val="000000"/>
          <w:sz w:val="28"/>
        </w:rPr>
        <w:t>
      По состоянию на 31 декабря 2013 года основной долг и начисленное вознаграждение по данным облигациям составили 461.486.000 тысяч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займы</w:t>
      </w:r>
    </w:p>
    <w:p>
      <w:pPr>
        <w:spacing w:after="0"/>
        <w:ind w:left="0"/>
        <w:jc w:val="both"/>
      </w:pPr>
      <w:r>
        <w:rPr>
          <w:rFonts w:ascii="Times New Roman"/>
          <w:b w:val="false"/>
          <w:i w:val="false"/>
          <w:color w:val="000000"/>
          <w:sz w:val="28"/>
        </w:rPr>
        <w:t>
      В 2010 и 2012 годах ТОО "Атырауский нефтеперерабатывающий завод", дочерняя организация КазМунайГаз - Переработка и Маркетинг (далее "АНПЗ"), заключило соглашение о предоставлении кредитной линии на сумму 1.315 миллионов долларов США с БРК. Данная кредитная линия используется для финансирования строительства комплекса по производству ароматических углеводородов. В течение 2013 года АНПЗ получил 227.544 тысячи долларов США (эквивалентно 34.597.000 тысяч тенге по курсу на дату получения) (2012: 217.957 тысяч долларов США, эквивалентно 32.690.000 тысяч тенге по курсу на дату получения).</w:t>
      </w:r>
    </w:p>
    <w:p>
      <w:pPr>
        <w:spacing w:after="0"/>
        <w:ind w:left="0"/>
        <w:jc w:val="both"/>
      </w:pPr>
      <w:r>
        <w:rPr>
          <w:rFonts w:ascii="Times New Roman"/>
          <w:b w:val="false"/>
          <w:i w:val="false"/>
          <w:color w:val="000000"/>
          <w:sz w:val="28"/>
        </w:rPr>
        <w:t>
      В 2013 году КазМунайГаз - Переработка и Маркетинг, дочерняя организация НК КМГ, заключила договор с банком Natixis, Париж, о предоставлении возобновляемой кредитной линии в размере 100 миллионов долларов США. Целевым назначением кредитной линии является финансирование закупа нефти для АО "Павлодарский Нефтеперерабатывающий Химический Завод". В 2013 году Группа получила сумму 30.690.000 тысяч тенге.</w:t>
      </w:r>
    </w:p>
    <w:p>
      <w:pPr>
        <w:spacing w:after="0"/>
        <w:ind w:left="0"/>
        <w:jc w:val="both"/>
      </w:pPr>
      <w:r>
        <w:rPr>
          <w:rFonts w:ascii="Times New Roman"/>
          <w:b w:val="false"/>
          <w:i w:val="false"/>
          <w:color w:val="000000"/>
          <w:sz w:val="28"/>
        </w:rPr>
        <w:t xml:space="preserve">
      26 ноября 2012 года, АО "Локомотив", дочерняя организация НК КТЖ, заключило Кредитное соглашение с Экспортно-Импортным банком США на приобретение 196 единиц локомотивов серии Evolution на сумму 424.857 тысяч долларов США, сроком на 10 лет под ставку вознаграждения CIRR (в долларах США). По состоянию на 31 декабря 2013 года часть основного долга была погашена в сумме 40.830 миллионов долларов США. </w:t>
      </w:r>
    </w:p>
    <w:p>
      <w:pPr>
        <w:spacing w:after="0"/>
        <w:ind w:left="0"/>
        <w:jc w:val="both"/>
      </w:pPr>
      <w:r>
        <w:rPr>
          <w:rFonts w:ascii="Times New Roman"/>
          <w:b w:val="false"/>
          <w:i w:val="false"/>
          <w:color w:val="000000"/>
          <w:sz w:val="28"/>
        </w:rPr>
        <w:t>
      31 мая 2012 года АО "Локомотив", дочерняя организация НК КТЖ, заключило Генеральное рамочное соглашение с АО "ДБ "HSBC Казахстан" совместно с "HSBC Bank Рlc" и "HSBC Франция" при поддержке экспортно–кредитного агентства "COFACE" на финансирование приобретения 200 грузовых и 95 пассажирских электровозов на общую сумму 880.877 тысяч евро сроком на 10 лет. В рамках подписанного дополнительного соглашения в 2013 году были освоены заемные средства на общую сумму 97.104 тысячи евро (19.623.000 тысяч тенге) (с учетом премии "COFACE"), где средства напрямую были перечислены в Alstom Transport SA.</w:t>
      </w:r>
    </w:p>
    <w:bookmarkStart w:name="z326" w:id="325"/>
    <w:p>
      <w:pPr>
        <w:spacing w:after="0"/>
        <w:ind w:left="0"/>
        <w:jc w:val="both"/>
      </w:pPr>
      <w:r>
        <w:rPr>
          <w:rFonts w:ascii="Times New Roman"/>
          <w:b w:val="false"/>
          <w:i w:val="false"/>
          <w:color w:val="000000"/>
          <w:sz w:val="28"/>
        </w:rPr>
        <w:t xml:space="preserve">
      </w:t>
      </w:r>
      <w:r>
        <w:rPr>
          <w:rFonts w:ascii="Times New Roman"/>
          <w:b w:val="false"/>
          <w:i/>
          <w:color w:val="000000"/>
          <w:sz w:val="28"/>
        </w:rPr>
        <w:t>Займы Правительства Республики Казахстан</w:t>
      </w:r>
    </w:p>
    <w:bookmarkEnd w:id="325"/>
    <w:p>
      <w:pPr>
        <w:spacing w:after="0"/>
        <w:ind w:left="0"/>
        <w:jc w:val="both"/>
      </w:pPr>
      <w:r>
        <w:rPr>
          <w:rFonts w:ascii="Times New Roman"/>
          <w:b w:val="false"/>
          <w:i w:val="false"/>
          <w:color w:val="000000"/>
          <w:sz w:val="28"/>
        </w:rPr>
        <w:t xml:space="preserve">
      </w:t>
      </w:r>
      <w:r>
        <w:rPr>
          <w:rFonts w:ascii="Times New Roman"/>
          <w:b w:val="false"/>
          <w:i/>
          <w:color w:val="000000"/>
          <w:sz w:val="28"/>
        </w:rPr>
        <w:t>2013 год</w:t>
      </w:r>
    </w:p>
    <w:p>
      <w:pPr>
        <w:spacing w:after="0"/>
        <w:ind w:left="0"/>
        <w:jc w:val="both"/>
      </w:pPr>
      <w:r>
        <w:rPr>
          <w:rFonts w:ascii="Times New Roman"/>
          <w:b w:val="false"/>
          <w:i w:val="false"/>
          <w:color w:val="000000"/>
          <w:sz w:val="28"/>
        </w:rPr>
        <w:t>
      В январе 2013 года Фонд разместил 255.000.000 купонных облигаций, номинальной стоимостью 1.000 тенге за облигацию на общую сумму 255.000 миллионов тенге со сроком обращения облигаций 50 лет и купонным вознаграждением в размере 0,01% годовых. Все облигации были выкуплены Национальным Банком Республики Казахстан за счет средств Национального Фонда Республики Казахстан на праве доверительного управления. Данные облигации были первоначально отражены по справедливой стоимости, рассчитанной с использованием рыночных процентных ставок, применимых для Фонда на дату выпуска облигаций и впоследствии учитываются по амортизированной стоимости. Разница между номинальной стоимостью облигаций, и их справедливой стоимостью в размере 249.828.000 тысяч тенге была признана в консолидированном отчете об изменениях в капитале.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2012 год</w:t>
      </w:r>
    </w:p>
    <w:p>
      <w:pPr>
        <w:spacing w:after="0"/>
        <w:ind w:left="0"/>
        <w:jc w:val="both"/>
      </w:pPr>
      <w:r>
        <w:rPr>
          <w:rFonts w:ascii="Times New Roman"/>
          <w:b w:val="false"/>
          <w:i w:val="false"/>
          <w:color w:val="000000"/>
          <w:sz w:val="28"/>
        </w:rPr>
        <w:t xml:space="preserve">
      В 2012 году были зарегистрированы изменения и дополнения в проспекты выпуск облигаций Фонда, выкупленным Национальным Банком Республики Казахстан. В соответствии с данными изменениями сроки обращения по данным облигациям были продлены до 2062 года и ставки вознаграждения были снижены до 0,01%. Изменения в проспекте привели к значительным изменениям в первоначальных условиях размещения облигаций, и, соответственно, к прекращению признания первоначального обязательства и признанию нового обязательства в соответствии с МСБУ 39. Разница между справедливой стоимостью нового обязательства и балансовой стоимостью первоначального обязательства на дату внесения изменений, в размере 304.650.000 тысяч тенге, была признана в консолидированном отчете об изменениях в капитале. </w:t>
      </w:r>
    </w:p>
    <w:p>
      <w:pPr>
        <w:spacing w:after="0"/>
        <w:ind w:left="0"/>
        <w:jc w:val="both"/>
      </w:pPr>
      <w:r>
        <w:rPr>
          <w:rFonts w:ascii="Times New Roman"/>
          <w:b w:val="false"/>
          <w:i w:val="false"/>
          <w:color w:val="000000"/>
          <w:sz w:val="28"/>
        </w:rPr>
        <w:t xml:space="preserve">
      В 2012 году Фонд разместил 73.000.000 и 70.196.000 купонных облигаций, номинальной стоимостью 1.000 тенге за облигацию на общую сумму 73.000.000 тысяч тенге и 70.196.000 тысяч тенге, соответственно. Срок обращения облигаций составляет 50 лет и 12 лет, купонное вознаграждение в размере 0,01% годовых и 4% годовых, частота выплат - два раза в год. Все облигации были выкуплены Национальным Банком Республики Казахстан. Данные облигации были первоначально отражены по справедливой стоимости, рассчитанной с использованием рыночных процентных ставок, применимых для Фонда на даты выпуска облигаций и впоследствии учитываются по амортизированной стоимости. Разница между номинальной стоимостью займов и их справедливой стоимостью в размере 82.646.000 тысяч тенге была признана в консолидированном отчете об изменениях в капитале.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2012-2014 годы" от 24 ноября 2011 года 13 августа 2012 года и 22 ноября 2012 года Фонд получил займы от Министерства финансов Республики Казахстан. Общая сумма займов составляет 15.285.000 тысяч тенге с номинальными процентными ставками от 0,15% до 0,5%. Займы были получены на срок от 10 до 25 лет. </w:t>
      </w:r>
    </w:p>
    <w:p>
      <w:pPr>
        <w:spacing w:after="0"/>
        <w:ind w:left="0"/>
        <w:jc w:val="both"/>
      </w:pPr>
      <w:r>
        <w:rPr>
          <w:rFonts w:ascii="Times New Roman"/>
          <w:b w:val="false"/>
          <w:i w:val="false"/>
          <w:color w:val="000000"/>
          <w:sz w:val="28"/>
        </w:rPr>
        <w:t>
      При первоначальном признании данные займы были оценены по справедливой стоимости, составляющей 8.314.000 тысяч тенге, с использованием соответствующей рыночной ставки вознаграждения и впоследствии учитываются по амортизированной стоимости. Разница между номинальной стоимостью займов и их справедливой стоимостью в размере 6.971.000 тысяч тенге была признана в консолидированном отчете об изменениях в капитале. На 31 декабря 2013 года эффективные процентные ставки по займам составляют от 5,5% до 6,62% в год (2012: от 0,33% до 7,21% в год).</w:t>
      </w:r>
    </w:p>
    <w:bookmarkStart w:name="z327" w:id="326"/>
    <w:p>
      <w:pPr>
        <w:spacing w:after="0"/>
        <w:ind w:left="0"/>
        <w:jc w:val="both"/>
      </w:pPr>
      <w:r>
        <w:rPr>
          <w:rFonts w:ascii="Times New Roman"/>
          <w:b w:val="false"/>
          <w:i w:val="false"/>
          <w:color w:val="000000"/>
          <w:sz w:val="28"/>
        </w:rPr>
        <w:t xml:space="preserve">
      </w:t>
      </w:r>
      <w:r>
        <w:rPr>
          <w:rFonts w:ascii="Times New Roman"/>
          <w:b/>
          <w:i w:val="false"/>
          <w:color w:val="000000"/>
          <w:sz w:val="28"/>
        </w:rPr>
        <w:t>Прочие финансовые обязательства</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4725"/>
        <w:gridCol w:w="4726"/>
      </w:tblGrid>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241.915.000</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742.721.000</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финансовой аренде</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88.680.000</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43.738.000</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330.595.000</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786.459.000</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суммы, подлежащей погашению в течение 12 месяцев</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(244.461.000)</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(644.483.000)</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погашению после 12 месяцев</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86.134.000</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Средства клиентов</w:t>
      </w:r>
    </w:p>
    <w:p>
      <w:pPr>
        <w:spacing w:after="0"/>
        <w:ind w:left="0"/>
        <w:jc w:val="both"/>
      </w:pPr>
      <w:r>
        <w:rPr>
          <w:rFonts w:ascii="Times New Roman"/>
          <w:b w:val="false"/>
          <w:i w:val="false"/>
          <w:color w:val="000000"/>
          <w:sz w:val="28"/>
        </w:rPr>
        <w:t>
      На 31 декабря средства клиентов включали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5029"/>
        <w:gridCol w:w="5029"/>
      </w:tblGrid>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включая</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185.254.000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533.946.000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82.337.000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147.841.000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442.539.000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включая</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53.848.000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196.271.000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24.407.000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105.442.000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29.441.000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78.290.000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прочие вклады с ограничительными условиями, включая</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241.915.000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742.721.000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Обязательства по финансовой аренде</w:t>
      </w:r>
    </w:p>
    <w:p>
      <w:pPr>
        <w:spacing w:after="0"/>
        <w:ind w:left="0"/>
        <w:jc w:val="both"/>
      </w:pPr>
      <w:r>
        <w:rPr>
          <w:rFonts w:ascii="Times New Roman"/>
          <w:b w:val="false"/>
          <w:i w:val="false"/>
          <w:color w:val="000000"/>
          <w:sz w:val="28"/>
        </w:rPr>
        <w:t xml:space="preserve">
      Группа заключила договоры финансовой аренды по ряду объектов основных средств, преимущественно воздушных суден, телекоммуникационного и железнодорожного оборудования. </w:t>
      </w:r>
    </w:p>
    <w:p>
      <w:pPr>
        <w:spacing w:after="0"/>
        <w:ind w:left="0"/>
        <w:jc w:val="both"/>
      </w:pPr>
      <w:r>
        <w:rPr>
          <w:rFonts w:ascii="Times New Roman"/>
          <w:b w:val="false"/>
          <w:i w:val="false"/>
          <w:color w:val="000000"/>
          <w:sz w:val="28"/>
        </w:rPr>
        <w:t>
      В 2013 и 2012 году АО "Эйр Астана", дочерняя организация Группы, приобрела 6 (шесть) и 4 (четыре) воздушных судна, соответственно, по договору финансовой аренды с фиксированной процентной ставкой. Срок аренды по каждому воздушному судну составляет 12 (двенадцать) лет. У АО "Эйр Астана" имеется возможность покупки каждого воздушного судна по номинальной цене в конце срока аренды. Займы, выданные финансовыми институтами лизингодателю в отношении 6 (шести) новых Airbus, обеспечены гарантией Европейских Экспортно-Кредитных Агентств, а 2 (два) Boeing – 767, которые были поставлены в сентябре и октябре 2013, находятся под гарантией US Export Import Bank. Обязательства АО "Эйр Астана" по финансовой аренде обеспечены правом арендодателя на арендованные активы с балансовой стоимостью 78.322.000 тысяч тенге (2012: 27.397.000 тысяч тенге).</w:t>
      </w:r>
    </w:p>
    <w:p>
      <w:pPr>
        <w:spacing w:after="0"/>
        <w:ind w:left="0"/>
        <w:jc w:val="both"/>
      </w:pPr>
      <w:r>
        <w:rPr>
          <w:rFonts w:ascii="Times New Roman"/>
          <w:b w:val="false"/>
          <w:i w:val="false"/>
          <w:color w:val="000000"/>
          <w:sz w:val="28"/>
        </w:rPr>
        <w:t>
      На 31 декабря 2013 года расчет суммы процентов основывается на эффективных ставках процента от 3,09% до 19,7% (2012: от 3,02% до 17,28%).</w:t>
      </w:r>
    </w:p>
    <w:p>
      <w:pPr>
        <w:spacing w:after="0"/>
        <w:ind w:left="0"/>
        <w:jc w:val="both"/>
      </w:pPr>
      <w:r>
        <w:rPr>
          <w:rFonts w:ascii="Times New Roman"/>
          <w:b w:val="false"/>
          <w:i w:val="false"/>
          <w:color w:val="000000"/>
          <w:sz w:val="28"/>
        </w:rPr>
        <w:t>
      На 31 декабря будущие минимальные арендные платежи по финансовой аренде, вместе с текущей стоимостью чистых минимальных арендных платежей,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1"/>
        <w:gridCol w:w="4629"/>
        <w:gridCol w:w="4630"/>
      </w:tblGrid>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арендные платежи</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стоимость минимальных арендных платежей </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года</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13.698.000</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лет включительно</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37.027.000</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пяти лет</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43.889.000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37.955.000</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суммы, представляющие финансовый доход</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(18.888.000)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минимальных арендных платежей</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88.680.000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88.680.000</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суммы, подлежащей погашению в течение 12 месяцев</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(13.698.000)</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погашению после 12 месяцев</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74.982.000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4791"/>
        <w:gridCol w:w="4361"/>
      </w:tblGrid>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арендные платежи</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минимальных арендных платежей</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года</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8.426.000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лет включительно</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26.789.000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пяти лет</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15.313.000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суммы, представляющие финансовые выплаты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минимальных арендных платежей</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43.739.000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суммы, подлежащей погашению в течение 12 месяцев</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(8.426.000)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погашению после 12 месяцев</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35.313.000</w:t>
            </w:r>
          </w:p>
        </w:tc>
      </w:tr>
    </w:tbl>
    <w:p>
      <w:pPr>
        <w:spacing w:after="0"/>
        <w:ind w:left="0"/>
        <w:jc w:val="left"/>
      </w:pPr>
      <w:r>
        <w:br/>
      </w:r>
      <w:r>
        <w:rPr>
          <w:rFonts w:ascii="Times New Roman"/>
          <w:b w:val="false"/>
          <w:i w:val="false"/>
          <w:color w:val="000000"/>
          <w:sz w:val="28"/>
        </w:rPr>
        <w:t>
</w:t>
      </w:r>
    </w:p>
    <w:bookmarkStart w:name="z328" w:id="327"/>
    <w:p>
      <w:pPr>
        <w:spacing w:after="0"/>
        <w:ind w:left="0"/>
        <w:jc w:val="both"/>
      </w:pPr>
      <w:r>
        <w:rPr>
          <w:rFonts w:ascii="Times New Roman"/>
          <w:b w:val="false"/>
          <w:i w:val="false"/>
          <w:color w:val="000000"/>
          <w:sz w:val="28"/>
        </w:rPr>
        <w:t xml:space="preserve">
      </w:t>
      </w:r>
      <w:r>
        <w:rPr>
          <w:rFonts w:ascii="Times New Roman"/>
          <w:b/>
          <w:i w:val="false"/>
          <w:color w:val="000000"/>
          <w:sz w:val="28"/>
        </w:rPr>
        <w:t>Резервы</w:t>
      </w:r>
    </w:p>
    <w:bookmarkEnd w:id="327"/>
    <w:p>
      <w:pPr>
        <w:spacing w:after="0"/>
        <w:ind w:left="0"/>
        <w:jc w:val="both"/>
      </w:pPr>
      <w:r>
        <w:rPr>
          <w:rFonts w:ascii="Times New Roman"/>
          <w:b w:val="false"/>
          <w:i w:val="false"/>
          <w:color w:val="000000"/>
          <w:sz w:val="28"/>
        </w:rPr>
        <w:t>
      На 31 декабря резервы включали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704"/>
        <w:gridCol w:w="1704"/>
        <w:gridCol w:w="1873"/>
        <w:gridCol w:w="1705"/>
        <w:gridCol w:w="1874"/>
        <w:gridCol w:w="1874"/>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выбытию активов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обязательству за ущерб окружающей среде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налогам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аккредитивы и банковские гарантии</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31 декабря 2011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22.936.000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128.620.000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222.172.000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валюты отчетности</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учетных оценок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 сумму дисконта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 год</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56.187.000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84.583.000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при объединении предприятий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резерва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(35.978.000)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Сторнирование неиспользованных сумм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(25.267.000)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 2012 года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34.808.000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144.263.000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260.514.000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валюты отчетности</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учетных оценок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 сумму дисконта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 год</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49.602.000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64.307.000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Прекращенная деятельность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резерва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(24.996.000)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(33.107.000)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Сторнирование неиспользованных сумм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 2013 года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71.433.000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158.222.000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277.957.000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Текущая и долгосрочная части резервов разделены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1744"/>
        <w:gridCol w:w="1744"/>
        <w:gridCol w:w="1745"/>
        <w:gridCol w:w="1566"/>
        <w:gridCol w:w="1922"/>
        <w:gridCol w:w="1923"/>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выбытию активов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обязательству за ущерб окружающей среде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налогам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аккредитивы и банковские гарантии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часть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8.749.000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109.944.000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124.202.000</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68.367.000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136.312.000</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 2012 года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69.583.000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34.808.000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8.749.000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144.263.000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260.514.000</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12.203.000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123.524.000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140.711.000</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70.272.000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34.698.000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137.246.000</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31 декабря 2013 года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71.433.000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12.203.000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158.222.000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277.957.000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Резервы под обязательства на строительство социальных объектов в составе Прочих резервов</w:t>
      </w:r>
    </w:p>
    <w:p>
      <w:pPr>
        <w:spacing w:after="0"/>
        <w:ind w:left="0"/>
        <w:jc w:val="both"/>
      </w:pPr>
      <w:r>
        <w:rPr>
          <w:rFonts w:ascii="Times New Roman"/>
          <w:b w:val="false"/>
          <w:i w:val="false"/>
          <w:color w:val="000000"/>
          <w:sz w:val="28"/>
        </w:rPr>
        <w:t>
      На 31 декабря 2013 года прочие резервы включают резервы дочерних организаций по строительству социальных объектов по поручению Правительства. НК КМГ включила в данное обязательство резерв на строительство Музея Истории Казахстана в г. Астана в размере 55.361.000 тысяч тенге (2012: 31.810.000 тысяч тенге) и резерв на реконструкцию объекта "Выставочный Центр" в г. Москва в размере 9.844.000 тысяч тенге (2012: 6.411.000 тысяч тенге), резерв на строительство гольф клуба в размере 13.321.000 тысяч тенге (в 2012 году: ноль).</w:t>
      </w:r>
    </w:p>
    <w:p>
      <w:pPr>
        <w:spacing w:after="0"/>
        <w:ind w:left="0"/>
        <w:jc w:val="both"/>
      </w:pPr>
      <w:r>
        <w:rPr>
          <w:rFonts w:ascii="Times New Roman"/>
          <w:b w:val="false"/>
          <w:i w:val="false"/>
          <w:color w:val="000000"/>
          <w:sz w:val="28"/>
        </w:rPr>
        <w:t>
      Также, НК КТЖ в 2012 году приняла на себя неотменяемые обязательства по строительству многофункционального ледового дворца в г. Астана. Руководство определило стоимость данного обязательства равной стоимости соответствующего договора на строительство на сумму 25.006.000 тысяч тенге. Завершение строительства планируется в июне 2015 года.</w:t>
      </w:r>
    </w:p>
    <w:p>
      <w:pPr>
        <w:spacing w:after="0"/>
        <w:ind w:left="0"/>
        <w:jc w:val="both"/>
      </w:pPr>
      <w:r>
        <w:rPr>
          <w:rFonts w:ascii="Times New Roman"/>
          <w:b w:val="false"/>
          <w:i w:val="false"/>
          <w:color w:val="000000"/>
          <w:sz w:val="28"/>
        </w:rPr>
        <w:t>
      В июне 2013 было завершено строительство Дворца творчества школьников в г. Астана на сумму 22.801.000 тысяч тенге.</w:t>
      </w:r>
    </w:p>
    <w:bookmarkStart w:name="z329" w:id="328"/>
    <w:p>
      <w:pPr>
        <w:spacing w:after="0"/>
        <w:ind w:left="0"/>
        <w:jc w:val="both"/>
      </w:pPr>
      <w:r>
        <w:rPr>
          <w:rFonts w:ascii="Times New Roman"/>
          <w:b w:val="false"/>
          <w:i w:val="false"/>
          <w:color w:val="000000"/>
          <w:sz w:val="28"/>
        </w:rPr>
        <w:t xml:space="preserve">
      </w:t>
      </w:r>
      <w:r>
        <w:rPr>
          <w:rFonts w:ascii="Times New Roman"/>
          <w:b/>
          <w:i w:val="false"/>
          <w:color w:val="000000"/>
          <w:sz w:val="28"/>
        </w:rPr>
        <w:t>Прочие краткосрочные обязательства</w:t>
      </w:r>
    </w:p>
    <w:bookmarkEnd w:id="328"/>
    <w:p>
      <w:pPr>
        <w:spacing w:after="0"/>
        <w:ind w:left="0"/>
        <w:jc w:val="both"/>
      </w:pPr>
      <w:r>
        <w:rPr>
          <w:rFonts w:ascii="Times New Roman"/>
          <w:b w:val="false"/>
          <w:i w:val="false"/>
          <w:color w:val="000000"/>
          <w:sz w:val="28"/>
        </w:rPr>
        <w:t>
      На 31 декабря прочие краткосрочные обязательства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5227"/>
        <w:gridCol w:w="5228"/>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и доходы будущих периодов</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123.260.000</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111.849.000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уплате за приобретение дополнительной доли в </w:t>
            </w:r>
          </w:p>
          <w:p>
            <w:pPr>
              <w:spacing w:after="20"/>
              <w:ind w:left="20"/>
              <w:jc w:val="both"/>
            </w:pPr>
            <w:r>
              <w:rPr>
                <w:rFonts w:ascii="Times New Roman"/>
                <w:b w:val="false"/>
                <w:i w:val="false"/>
                <w:color w:val="000000"/>
                <w:sz w:val="20"/>
              </w:rPr>
              <w:t>
"Северо-Каспийском Проекте"</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107.444.000</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113.183.000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к уплате</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128.470.000</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135.782.000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выплатам работникам</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4.578.000</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4.039.000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к выплате</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18.057.000</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3.761.000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5.508.000</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63.592.000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53.042.000</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71.222.000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440.359.000</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503.428.000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оценочные обязательства</w:t>
      </w:r>
    </w:p>
    <w:p>
      <w:pPr>
        <w:spacing w:after="0"/>
        <w:ind w:left="0"/>
        <w:jc w:val="both"/>
      </w:pPr>
      <w:r>
        <w:rPr>
          <w:rFonts w:ascii="Times New Roman"/>
          <w:b w:val="false"/>
          <w:i w:val="false"/>
          <w:color w:val="000000"/>
          <w:sz w:val="28"/>
        </w:rPr>
        <w:t xml:space="preserve">
      Изменения в прочих оценочных обязательствах в основном связаны с уменьшением обязательств НАК КАП перед "Beijing Sino-Kaz Uranium Resources Investment Company Limited" на сумму 46.676 миллионов тенге. Подробная информация раскрыта в </w:t>
      </w:r>
      <w:r>
        <w:rPr>
          <w:rFonts w:ascii="Times New Roman"/>
          <w:b w:val="false"/>
          <w:i/>
          <w:color w:val="000000"/>
          <w:sz w:val="28"/>
        </w:rPr>
        <w:t>Примечании 6</w:t>
      </w:r>
      <w:r>
        <w:rPr>
          <w:rFonts w:ascii="Times New Roman"/>
          <w:b w:val="false"/>
          <w:i w:val="false"/>
          <w:color w:val="000000"/>
          <w:sz w:val="28"/>
        </w:rPr>
        <w:t>.</w:t>
      </w:r>
    </w:p>
    <w:p>
      <w:pPr>
        <w:spacing w:after="0"/>
        <w:ind w:left="0"/>
        <w:jc w:val="both"/>
      </w:pPr>
      <w:r>
        <w:rPr>
          <w:rFonts w:ascii="Times New Roman"/>
          <w:b w:val="false"/>
          <w:i w:val="false"/>
          <w:color w:val="000000"/>
          <w:sz w:val="28"/>
        </w:rPr>
        <w:t>
      На 31 декабря 2013 и 2012 годов вознаграждение по прочим текущим обязательствам не начислялось.</w:t>
      </w:r>
    </w:p>
    <w:bookmarkStart w:name="z330" w:id="329"/>
    <w:p>
      <w:pPr>
        <w:spacing w:after="0"/>
        <w:ind w:left="0"/>
        <w:jc w:val="both"/>
      </w:pPr>
      <w:r>
        <w:rPr>
          <w:rFonts w:ascii="Times New Roman"/>
          <w:b w:val="false"/>
          <w:i w:val="false"/>
          <w:color w:val="000000"/>
          <w:sz w:val="28"/>
        </w:rPr>
        <w:t xml:space="preserve">
      </w:t>
      </w:r>
      <w:r>
        <w:rPr>
          <w:rFonts w:ascii="Times New Roman"/>
          <w:b/>
          <w:i w:val="false"/>
          <w:color w:val="000000"/>
          <w:sz w:val="28"/>
        </w:rPr>
        <w:t>Прочие долгосрочные обязательства</w:t>
      </w:r>
    </w:p>
    <w:bookmarkEnd w:id="329"/>
    <w:p>
      <w:pPr>
        <w:spacing w:after="0"/>
        <w:ind w:left="0"/>
        <w:jc w:val="both"/>
      </w:pPr>
      <w:r>
        <w:rPr>
          <w:rFonts w:ascii="Times New Roman"/>
          <w:b w:val="false"/>
          <w:i w:val="false"/>
          <w:color w:val="000000"/>
          <w:sz w:val="28"/>
        </w:rPr>
        <w:t>
      На 31 декабря 2013 года прочие долгосрочные обязательства включали в себя следующее: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Кредиторская задолженность за приобретение доли участия в Северо-Каспийском проекте</w:t>
      </w:r>
    </w:p>
    <w:p>
      <w:pPr>
        <w:spacing w:after="0"/>
        <w:ind w:left="0"/>
        <w:jc w:val="both"/>
      </w:pPr>
      <w:r>
        <w:rPr>
          <w:rFonts w:ascii="Times New Roman"/>
          <w:b w:val="false"/>
          <w:i w:val="false"/>
          <w:color w:val="000000"/>
          <w:sz w:val="28"/>
        </w:rPr>
        <w:t>
      31 октября 2008 года все участники Северо-Каспийского проекта (далее – "СКП") подписали соглашение, согласно которому все участники проекта, за исключением "КМГ Кашаган Б.В.", согласились частично передать часть своих долей в проекте, на пропорциональной основе, таким образом, чтобы увеличить долю "КМГ Кашаган Б.В." в СКП с 8,33% до 16,81% ретроспективно с 1 января 2008 года. Цена приобретения включает фиксированную сумму в размере 1.780.000 тысяч долларов США (263.000.000 тысяч тенге) и годовое вознаграждение в размере LIBOR плюс 3 процента, который ежегодно капитализируется в сумму основного долга. Данная задолженность обеспечена дополнительной приобретенной долей КМГ Кашаган Б.В. в размере 8,48%. По состоянию на 31 декабря 2013 года амортизированная стоимость этой задолженности составляла 322.330.000 тысяч тенге (2012 год: 339.550.000 тысяч тенге), сумма 107.444.000 тысяч тенге из которых отнесена в состав прочих текущих обязательств (2012 год: 113.183.000 тысяч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Обязательства по вознаграждениям работникам</w:t>
      </w:r>
    </w:p>
    <w:p>
      <w:pPr>
        <w:spacing w:after="0"/>
        <w:ind w:left="0"/>
        <w:jc w:val="both"/>
      </w:pPr>
      <w:r>
        <w:rPr>
          <w:rFonts w:ascii="Times New Roman"/>
          <w:b w:val="false"/>
          <w:i w:val="false"/>
          <w:color w:val="000000"/>
          <w:sz w:val="28"/>
        </w:rPr>
        <w:t xml:space="preserve">
      Группа выплачивает социальный налог в соответствии с действующими законодательными требованиями Республики Казахстан. Расходы по социальному налогу и зарплате относятся на расходы в момент их возникновения. </w:t>
      </w:r>
    </w:p>
    <w:p>
      <w:pPr>
        <w:spacing w:after="0"/>
        <w:ind w:left="0"/>
        <w:jc w:val="both"/>
      </w:pPr>
      <w:r>
        <w:rPr>
          <w:rFonts w:ascii="Times New Roman"/>
          <w:b w:val="false"/>
          <w:i w:val="false"/>
          <w:color w:val="000000"/>
          <w:sz w:val="28"/>
        </w:rPr>
        <w:t>
      Кроме того, Группа удерживает до 10% от зарплаты работников, выплачиваемые в качестве взносов работников в накопительные пенсионные фонды. Такие расходы отражаются в том периоде, в котором они имели место.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Пенсионный план с установленными выплатами</w:t>
      </w:r>
    </w:p>
    <w:p>
      <w:pPr>
        <w:spacing w:after="0"/>
        <w:ind w:left="0"/>
        <w:jc w:val="both"/>
      </w:pPr>
      <w:r>
        <w:rPr>
          <w:rFonts w:ascii="Times New Roman"/>
          <w:b w:val="false"/>
          <w:i w:val="false"/>
          <w:color w:val="000000"/>
          <w:sz w:val="28"/>
        </w:rPr>
        <w:t>
      Обязательства по выплатам работникам по данному плану подлежат оплате в соответствии с коллективными договорами, заключенными между некоторыми дочерними организациями Группы (АО "Национальная Компания "КазМунайГаз", АО "Национальная Компания "Казақстан Темір Жолы", АО "Казахтелеком", АО "Самрук-Энерго", АО "Национальная Атомная Компания "Казатомпром", АО "Национальная Компания "Казахстан Инжиниринг" и АО "Казпочта") и работниками этих дочерних организаций, в лице их профессиональных союзов.</w:t>
      </w:r>
    </w:p>
    <w:p>
      <w:pPr>
        <w:spacing w:after="0"/>
        <w:ind w:left="0"/>
        <w:jc w:val="both"/>
      </w:pPr>
      <w:r>
        <w:rPr>
          <w:rFonts w:ascii="Times New Roman"/>
          <w:b w:val="false"/>
          <w:i w:val="false"/>
          <w:color w:val="000000"/>
          <w:sz w:val="28"/>
        </w:rPr>
        <w:t>
      На 31 декабря общие обязательства Группы по пенсионному плану с установленными выплатами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4872"/>
        <w:gridCol w:w="4872"/>
      </w:tblGrid>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обязательств по пенсионному плану с установленными размерами выплат</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60.295.000</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49.979.000</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срок погашения которого наступает в течение года</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(4.578.000)</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(4.039.000)</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срок погашения которого наступает после года</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55.717.000</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31 декабря сверка текущей стоимости обязательств по пенсионному плану с установленными размерами выплат и фиксированных выплат представлена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5286"/>
        <w:gridCol w:w="5287"/>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сумма обязательств на начало года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49.979.000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41.539.000</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текущих услуг</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3.390.000</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прошлых услуг</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1.324.000</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вознаграждение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3.888.000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3.316.000</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произведенные за год</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(4.667.000)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(4.504.000)</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Непризнанная стоимость прошлых услуг</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645.000</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Актуарный убыток, признанный за год</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4.283.000</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Прекращенная деятельность</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на конец года</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60.295.000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Стоимость прошлых услуг, признанная за годы, закончившиеся 31 декабря 2013 и 2012 годов, в основном, связана с изменениями пенсионного законодательства в отношении поэтапного увеличения пенсионного возраста для женщин, а также изменениями в коллективных договорах.</w:t>
      </w:r>
    </w:p>
    <w:p>
      <w:pPr>
        <w:spacing w:after="0"/>
        <w:ind w:left="0"/>
        <w:jc w:val="both"/>
      </w:pPr>
      <w:r>
        <w:rPr>
          <w:rFonts w:ascii="Times New Roman"/>
          <w:b w:val="false"/>
          <w:i w:val="false"/>
          <w:color w:val="000000"/>
          <w:sz w:val="28"/>
        </w:rPr>
        <w:t>
      Общая стоимость услуг, включающая текущую стоимость, стоимость вознаграждения, стоимость прошлых услуг, непризнанную стоимость прошлых услуг и актуарный убыток, в размере 14.983.000 тысяч тенге была учтена в консолидированном отчете о прибылях и убытках в составе расходов по заработной плате в 2013 году (2012: 12.958.000 тысяч тенге).</w:t>
      </w:r>
    </w:p>
    <w:p>
      <w:pPr>
        <w:spacing w:after="0"/>
        <w:ind w:left="0"/>
        <w:jc w:val="both"/>
      </w:pPr>
      <w:r>
        <w:rPr>
          <w:rFonts w:ascii="Times New Roman"/>
          <w:b w:val="false"/>
          <w:i w:val="false"/>
          <w:color w:val="000000"/>
          <w:sz w:val="28"/>
        </w:rPr>
        <w:t>
      Расчеты обязательств Группы были подготовлены на основе публикуемых статистических данных по уровню смертности, а также фактических данных Группы по количеству, возрасту, полу и стажу работников. Прочие основные допущения на отчетную дату, рассчитанные как средневзвешенные значения для всех планов, представлены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4518"/>
        <w:gridCol w:w="4518"/>
      </w:tblGrid>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дисконта</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годовой прирост финансовой помощи в будущем</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годовой прирост минимальной заработной платы в будущем</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годовой прирост стоимости железнодорожных билетов в будущем</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Пенсионный план с установленными выплатами является нефинансируемым.</w:t>
      </w:r>
    </w:p>
    <w:bookmarkStart w:name="z331" w:id="330"/>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w:t>
      </w:r>
    </w:p>
    <w:bookmarkEnd w:id="330"/>
    <w:p>
      <w:pPr>
        <w:spacing w:after="0"/>
        <w:ind w:left="0"/>
        <w:jc w:val="both"/>
      </w:pPr>
      <w:r>
        <w:rPr>
          <w:rFonts w:ascii="Times New Roman"/>
          <w:b w:val="false"/>
          <w:i w:val="false"/>
          <w:color w:val="000000"/>
          <w:sz w:val="28"/>
        </w:rPr>
        <w:t xml:space="preserve">
      </w:t>
      </w:r>
      <w:r>
        <w:rPr>
          <w:rFonts w:ascii="Times New Roman"/>
          <w:b w:val="false"/>
          <w:i/>
          <w:color w:val="000000"/>
          <w:sz w:val="28"/>
        </w:rPr>
        <w:t>Выпуск акций</w:t>
      </w:r>
    </w:p>
    <w:p>
      <w:pPr>
        <w:spacing w:after="0"/>
        <w:ind w:left="0"/>
        <w:jc w:val="both"/>
      </w:pPr>
      <w:r>
        <w:rPr>
          <w:rFonts w:ascii="Times New Roman"/>
          <w:b w:val="false"/>
          <w:i w:val="false"/>
          <w:color w:val="000000"/>
          <w:sz w:val="28"/>
        </w:rPr>
        <w:t>
      В течение 2013 и 2012 годов, Фонд осуществил эмиссию акций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058"/>
        <w:gridCol w:w="6710"/>
        <w:gridCol w:w="2059"/>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акций</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разрешенных к выпуску и выпущенных акций</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акции, в тенге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 тысячах тенге</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2011 года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3.480.637.455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4.050.383.000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денежными средствами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имуществом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93.549; 90.092; 80.000; 72.800; 23.156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35.028.000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государственными пакетами акций</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282.174; 100.000; 46.000; 40.600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311.903.000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2012 года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3.481.526.139</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4.409.314.000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денежными средствами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901.000; 1.000.000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39.320.000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государственными пакетами акций</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1.000.000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26.234.000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имуществом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1.000;422.451;615.921; 1.000.000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2013 года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3.481.602.341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года 3.481.602.341 акция была полностью оплачена (2012: 3.481.526.139 акций).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2013</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2013-2015 годы" от 23 ноября 2012 года Акционер осуществил взнос в уставный капитал Фонда денежными средствами в размере 39.320.000 тысяч тенге. Данные средства предназначены для финансирования проектов, осуществляемых дочерними организациями Фонда.</w:t>
      </w:r>
    </w:p>
    <w:p>
      <w:pPr>
        <w:spacing w:after="0"/>
        <w:ind w:left="0"/>
        <w:jc w:val="both"/>
      </w:pPr>
      <w:r>
        <w:rPr>
          <w:rFonts w:ascii="Times New Roman"/>
          <w:b w:val="false"/>
          <w:i w:val="false"/>
          <w:color w:val="000000"/>
          <w:sz w:val="28"/>
        </w:rPr>
        <w:t xml:space="preserve">
      В 2013 году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939 от 14 сентября 2010 года Акционер осуществил взнос в уставный капитал Фонда имуществом на общую сумму 9.808.000 тысяч тенге.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1538 от 4 декабря 2012 года, 26 июля 2013 года Фонду был передан государственный пакет акций АО "Национальная компания "Актауский международный морской торговый порт". Поскольку передача пакета акций АО "Национальная компания "Актауский международный морской торговый порт" представляет собой объединение предприятий под общим контролем, данные консолидированные формы финансовой отчетности были подготовлены с использованием метода учета компании-предшественника. Соответственно, данные консолидированные формы финансовой отчетности представлены таким образом, как если бы передача акций АО "Национальная компания "Актауский международный морской торговый порт" произошла на дату наиболее раннего представленного периода, и, как результат, сравнительная информация была пересчитана. Балансовая стоимость внесенных чистых активов в данных консолидированных формах финансовой отчетности была учтена как корректировка нераспределенной прибыли, которая впоследствии, при выпуске акций Фонда, была перенесена в уставный капитал в сумме 26.234.000 тысяч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2012</w:t>
      </w:r>
    </w:p>
    <w:p>
      <w:pPr>
        <w:spacing w:after="0"/>
        <w:ind w:left="0"/>
        <w:jc w:val="both"/>
      </w:pPr>
      <w:r>
        <w:rPr>
          <w:rFonts w:ascii="Times New Roman"/>
          <w:b w:val="false"/>
          <w:i w:val="false"/>
          <w:color w:val="000000"/>
          <w:sz w:val="28"/>
        </w:rPr>
        <w:t>
      19 апреля 2012 года Фонду передан государственный пакет акций АО "Аркагаз" справедливая стоимость которого на дату получения составила 4.110.000 тысяч тенге.</w:t>
      </w:r>
    </w:p>
    <w:p>
      <w:pPr>
        <w:spacing w:after="0"/>
        <w:ind w:left="0"/>
        <w:jc w:val="both"/>
      </w:pPr>
      <w:r>
        <w:rPr>
          <w:rFonts w:ascii="Times New Roman"/>
          <w:b w:val="false"/>
          <w:i w:val="false"/>
          <w:color w:val="000000"/>
          <w:sz w:val="28"/>
        </w:rPr>
        <w:t xml:space="preserve">
      28 июня 2012 года Фонду передана 100% доля участия в КУДОСРП, в форме взноса в уставный капитал, со справедливой стоимостью 300.070.000 тысяч тенге </w:t>
      </w:r>
      <w:r>
        <w:rPr>
          <w:rFonts w:ascii="Times New Roman"/>
          <w:b w:val="false"/>
          <w:i/>
          <w:color w:val="000000"/>
          <w:sz w:val="28"/>
        </w:rPr>
        <w:t>(Примечание 5)</w:t>
      </w:r>
      <w:r>
        <w:rPr>
          <w:rFonts w:ascii="Times New Roman"/>
          <w:b w:val="false"/>
          <w:i w:val="false"/>
          <w:color w:val="000000"/>
          <w:sz w:val="28"/>
        </w:rPr>
        <w:t xml:space="preserve"> на дату получения. </w:t>
      </w:r>
    </w:p>
    <w:p>
      <w:pPr>
        <w:spacing w:after="0"/>
        <w:ind w:left="0"/>
        <w:jc w:val="both"/>
      </w:pPr>
      <w:r>
        <w:rPr>
          <w:rFonts w:ascii="Times New Roman"/>
          <w:b w:val="false"/>
          <w:i w:val="false"/>
          <w:color w:val="000000"/>
          <w:sz w:val="28"/>
        </w:rPr>
        <w:t xml:space="preserve">
      20 декабря 2012 года Правительство Республики Казахстан передало Фонду государственный пакет 100% доли ВК РЭК, справедливая стоимость которого на дату передачи составила 7.723.000 тысяч тенге. Активы и обязательства ВК РЭК были учтены в данных консолидированных формах финансовой отчетности по балансовой стоимости в финансовой отчетности ВК РЭК. Разница между балансовой стоимостью полученных чистых активов и суммой выпущенного уставного капитала в размере 4.149.000 тысяч тенге отражена как уменьшение нераспределенной прибыли в составе консолидированного отчета об изменениях в капитале </w:t>
      </w:r>
      <w:r>
        <w:rPr>
          <w:rFonts w:ascii="Times New Roman"/>
          <w:b w:val="false"/>
          <w:i/>
          <w:color w:val="000000"/>
          <w:sz w:val="28"/>
        </w:rPr>
        <w:t>(Примечание 5)</w:t>
      </w:r>
      <w:r>
        <w:rPr>
          <w:rFonts w:ascii="Times New Roman"/>
          <w:b w:val="false"/>
          <w:i w:val="false"/>
          <w:color w:val="000000"/>
          <w:sz w:val="28"/>
        </w:rPr>
        <w:t>.</w:t>
      </w:r>
    </w:p>
    <w:bookmarkStart w:name="z332" w:id="331"/>
    <w:p>
      <w:pPr>
        <w:spacing w:after="0"/>
        <w:ind w:left="0"/>
        <w:jc w:val="both"/>
      </w:pPr>
      <w:r>
        <w:rPr>
          <w:rFonts w:ascii="Times New Roman"/>
          <w:b w:val="false"/>
          <w:i w:val="false"/>
          <w:color w:val="000000"/>
          <w:sz w:val="28"/>
        </w:rPr>
        <w:t xml:space="preserve">
      </w:t>
      </w:r>
      <w:r>
        <w:rPr>
          <w:rFonts w:ascii="Times New Roman"/>
          <w:b w:val="false"/>
          <w:i/>
          <w:color w:val="000000"/>
          <w:sz w:val="28"/>
        </w:rPr>
        <w:t>Дисконт по займам от Правительства и по облигациям, выкупленным Национальным Банком Республики Казахстан</w:t>
      </w:r>
    </w:p>
    <w:bookmarkEnd w:id="331"/>
    <w:p>
      <w:pPr>
        <w:spacing w:after="0"/>
        <w:ind w:left="0"/>
        <w:jc w:val="both"/>
      </w:pPr>
      <w:r>
        <w:rPr>
          <w:rFonts w:ascii="Times New Roman"/>
          <w:b w:val="false"/>
          <w:i w:val="false"/>
          <w:color w:val="000000"/>
          <w:sz w:val="28"/>
        </w:rPr>
        <w:t xml:space="preserve">
      </w:t>
      </w:r>
      <w:r>
        <w:rPr>
          <w:rFonts w:ascii="Times New Roman"/>
          <w:b w:val="false"/>
          <w:i/>
          <w:color w:val="000000"/>
          <w:sz w:val="28"/>
        </w:rPr>
        <w:t>2013</w:t>
      </w:r>
    </w:p>
    <w:p>
      <w:pPr>
        <w:spacing w:after="0"/>
        <w:ind w:left="0"/>
        <w:jc w:val="both"/>
      </w:pPr>
      <w:r>
        <w:rPr>
          <w:rFonts w:ascii="Times New Roman"/>
          <w:b w:val="false"/>
          <w:i w:val="false"/>
          <w:color w:val="000000"/>
          <w:sz w:val="28"/>
        </w:rPr>
        <w:t>
      В январе 2013 года Фонд разместил купонные облигации по рыночной ставке вознаграждения, которые были выкуплены Национальным Банком Республики Казахстан и получил заем от Правительства по ставке ниже рыночных Дисконт при первоначальном признании данных обязательств в сумме 249.828.000 тысяч тенге был отражен как единовременный доход в консолидированном отчете об изменениях в капитале.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2012</w:t>
      </w:r>
    </w:p>
    <w:p>
      <w:pPr>
        <w:spacing w:after="0"/>
        <w:ind w:left="0"/>
        <w:jc w:val="both"/>
      </w:pPr>
      <w:r>
        <w:rPr>
          <w:rFonts w:ascii="Times New Roman"/>
          <w:b w:val="false"/>
          <w:i w:val="false"/>
          <w:color w:val="000000"/>
          <w:sz w:val="28"/>
        </w:rPr>
        <w:t>
      В 2012 году Фонд разместил купонные облигации по ставкам вознаграждения ниже рыночных. Дисконт при первоначальном признании данных обязательств в сумме 89.617.000 тысяч тенге был отражен в консолидированном отчете об изменениях в капитале.</w:t>
      </w:r>
    </w:p>
    <w:p>
      <w:pPr>
        <w:spacing w:after="0"/>
        <w:ind w:left="0"/>
        <w:jc w:val="both"/>
      </w:pPr>
      <w:r>
        <w:rPr>
          <w:rFonts w:ascii="Times New Roman"/>
          <w:b w:val="false"/>
          <w:i w:val="false"/>
          <w:color w:val="000000"/>
          <w:sz w:val="28"/>
        </w:rPr>
        <w:t>
      В 2012 году были зарегистрированы изменения и дополнения в проспекты по облигациям, размещенным Фондом и выкупленным Национальным Банком Республики Казахстан. В соответствии с данными изменениями сроки обращения по данным облигациям были продлены до 2062 года и ставки вознаграждения были снижены до 0,01%. Изменения в проспекте привели к значительным изменениям в первоначальных условиях размещения облигаций, и, соответственно, к прекращению признания первоначального обязательства и признанию нового обязательства в соответствии с МСБУ 39. Разница между справедливой стоимостью нового обязательства и балансовой стоимостью первоначального обязательства на дату внесения изменений в размере 304.650.000 тысяч тенге была признана в консолидированном отчете об изменениях в капитале.</w:t>
      </w:r>
    </w:p>
    <w:bookmarkStart w:name="z333" w:id="332"/>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w:t>
      </w:r>
    </w:p>
    <w:bookmarkEnd w:id="332"/>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 приходящиеся на Акционера материнской компании</w:t>
      </w:r>
    </w:p>
    <w:p>
      <w:pPr>
        <w:spacing w:after="0"/>
        <w:ind w:left="0"/>
        <w:jc w:val="both"/>
      </w:pPr>
      <w:r>
        <w:rPr>
          <w:rFonts w:ascii="Times New Roman"/>
          <w:b w:val="false"/>
          <w:i w:val="false"/>
          <w:color w:val="000000"/>
          <w:sz w:val="28"/>
        </w:rPr>
        <w:t>
      16 октября 2013 года Фонд осуществил выплату дивидендов Акционеру в размере 9.077.000 тысяч тенге по финансовым результатам за 2012 год в соответствии с Постановлением Правительства Республики Казахстан № 1060 от 5 октября 2013 года (2012 год: 159.113.000 тысяч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 приходящиеся на держателей неконтрольной доли участия</w:t>
      </w:r>
    </w:p>
    <w:p>
      <w:pPr>
        <w:spacing w:after="0"/>
        <w:ind w:left="0"/>
        <w:jc w:val="both"/>
      </w:pPr>
      <w:r>
        <w:rPr>
          <w:rFonts w:ascii="Times New Roman"/>
          <w:b w:val="false"/>
          <w:i w:val="false"/>
          <w:color w:val="000000"/>
          <w:sz w:val="28"/>
        </w:rPr>
        <w:t>
      В 2013 году Группа объявила дивиденды на сумму 40.591.000 тысяч тенге, 14.919.000 тысяч тенге и 2.885.000 тысяч тенге держателям неконтрольной доли участия в РД КМГ, КТК и КТО, соответственно (2012: 114.312.000 тысяч тенге и 34.322.000 тысяч тенге держателям неконтрольной доли участия КТК и РД КМГ, соответственно).</w:t>
      </w:r>
    </w:p>
    <w:p>
      <w:pPr>
        <w:spacing w:after="0"/>
        <w:ind w:left="0"/>
        <w:jc w:val="both"/>
      </w:pPr>
      <w:r>
        <w:rPr>
          <w:rFonts w:ascii="Times New Roman"/>
          <w:b w:val="false"/>
          <w:i w:val="false"/>
          <w:color w:val="000000"/>
          <w:sz w:val="28"/>
        </w:rPr>
        <w:t>
      В 2013 году дивиденды, выплаченные держателям неконтрольной доли участия в прочих дочерних организациях, составили 2.326.000 тысяч тенге (2012: 1.663.000 тысяч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операции с Акционером</w:t>
      </w:r>
    </w:p>
    <w:p>
      <w:pPr>
        <w:spacing w:after="0"/>
        <w:ind w:left="0"/>
        <w:jc w:val="both"/>
      </w:pPr>
      <w:r>
        <w:rPr>
          <w:rFonts w:ascii="Times New Roman"/>
          <w:b w:val="false"/>
          <w:i w:val="false"/>
          <w:color w:val="000000"/>
          <w:sz w:val="28"/>
        </w:rPr>
        <w:t xml:space="preserve">
      В соответствии с заключенными в апреле 2013 года договорами доверительного управления с правом полного контроля над институтами развития и финансовыми организациями, (АО "Фонд развития предпринимательства "Даму", АО "Kazyna Capital Management", АО "Экспортно-кредитная страховая корпорация "КазЭкспортГарант", АО "Инвестиционный Фонд Казахстана", АО "Банк Развития Казахстана"), ТОО "СКФармация" и АО "Досжан Темир Жолы", Фонд потерял контроль над данными предприятиями </w:t>
      </w:r>
      <w:r>
        <w:rPr>
          <w:rFonts w:ascii="Times New Roman"/>
          <w:b w:val="false"/>
          <w:i/>
          <w:color w:val="000000"/>
          <w:sz w:val="28"/>
        </w:rPr>
        <w:t>(Примечание 6)</w:t>
      </w:r>
      <w:r>
        <w:rPr>
          <w:rFonts w:ascii="Times New Roman"/>
          <w:b w:val="false"/>
          <w:i w:val="false"/>
          <w:color w:val="000000"/>
          <w:sz w:val="28"/>
        </w:rPr>
        <w:t xml:space="preserve">. Фонд прекратил признание и отразил выбытие данных дочерних организаций как распределение Акционеру в сумме 471.711.000 тысяч тенге в консолидированном отчете об изменениях в капитале. </w:t>
      </w:r>
    </w:p>
    <w:p>
      <w:pPr>
        <w:spacing w:after="0"/>
        <w:ind w:left="0"/>
        <w:jc w:val="both"/>
      </w:pPr>
      <w:r>
        <w:rPr>
          <w:rFonts w:ascii="Times New Roman"/>
          <w:b w:val="false"/>
          <w:i w:val="false"/>
          <w:color w:val="000000"/>
          <w:sz w:val="28"/>
        </w:rPr>
        <w:t xml:space="preserve">
      В июле 2013 года во исполнение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мая 2013 года № 516 "О мерах по реализации Указа Президента Республики Казахстан № 571 от 22 мая 2013 года "О некоторых мерах по оптимизации системы управления институтами развития и развития национальной экономики" Фонд и Комитет государственного имущества и приватизации Министерства финансов Республики Казахстан подписали договор мены, согласно которому права собственности на пакеты акций и долю участия в выше описанных предприятиях передаются в республиканскую собственность в обмен на республиканское имущество в соответствии с перечнем, указанном в Постановлении Правительства. </w:t>
      </w:r>
    </w:p>
    <w:p>
      <w:pPr>
        <w:spacing w:after="0"/>
        <w:ind w:left="0"/>
        <w:jc w:val="both"/>
      </w:pPr>
      <w:r>
        <w:rPr>
          <w:rFonts w:ascii="Times New Roman"/>
          <w:b w:val="false"/>
          <w:i w:val="false"/>
          <w:color w:val="000000"/>
          <w:sz w:val="28"/>
        </w:rPr>
        <w:t>
      В августе 2013 года в рамках вышеуказанного договора мены Фонд осуществил передачу в республиканскую собственность пакетов акций и доли участия в некоторых дочерних организациях (АО "Фонд развития предпринимательства "Даму", АО "Kazyna Capital Management", АО "Экспортно-кредитная страховая корпорация "КазЭкспортГарант", АО "Инвестиционный Фонд Казахстана", ТОО "СК-Фармация").</w:t>
      </w:r>
    </w:p>
    <w:p>
      <w:pPr>
        <w:spacing w:after="0"/>
        <w:ind w:left="0"/>
        <w:jc w:val="both"/>
      </w:pPr>
      <w:r>
        <w:rPr>
          <w:rFonts w:ascii="Times New Roman"/>
          <w:b w:val="false"/>
          <w:i w:val="false"/>
          <w:color w:val="000000"/>
          <w:sz w:val="28"/>
        </w:rPr>
        <w:t>
      Также, в соответствии с вышеупомянутым договором мены, юридические права на долю участия в АО "Национальная геологоразведочная компания "Казгеология" передаются в республиканскую собственность в обмен на республиканское имущество, в соответствии с перечнем, указанном в Постановлении Правительства. Фонд признал и отразил выбытие АО "Национальная геологоразведочная компания "Казгеология" как распределение Акционеру в сумме 8.966.000 тысяч тенге в консолидированном отчете об изменениях в капитале.</w:t>
      </w:r>
    </w:p>
    <w:bookmarkStart w:name="z334" w:id="333"/>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распределения Акционеру</w:t>
      </w:r>
    </w:p>
    <w:bookmarkEnd w:id="333"/>
    <w:p>
      <w:pPr>
        <w:spacing w:after="0"/>
        <w:ind w:left="0"/>
        <w:jc w:val="both"/>
      </w:pPr>
      <w:r>
        <w:rPr>
          <w:rFonts w:ascii="Times New Roman"/>
          <w:b w:val="false"/>
          <w:i w:val="false"/>
          <w:color w:val="000000"/>
          <w:sz w:val="28"/>
        </w:rPr>
        <w:t xml:space="preserve">
      </w:t>
      </w:r>
      <w:r>
        <w:rPr>
          <w:rFonts w:ascii="Times New Roman"/>
          <w:b w:val="false"/>
          <w:i/>
          <w:color w:val="000000"/>
          <w:sz w:val="28"/>
        </w:rPr>
        <w:t>Передача акций “Kazakhmys Plc”</w:t>
      </w:r>
    </w:p>
    <w:p>
      <w:pPr>
        <w:spacing w:after="0"/>
        <w:ind w:left="0"/>
        <w:jc w:val="both"/>
      </w:pPr>
      <w:r>
        <w:rPr>
          <w:rFonts w:ascii="Times New Roman"/>
          <w:b w:val="false"/>
          <w:i w:val="false"/>
          <w:color w:val="000000"/>
          <w:sz w:val="28"/>
        </w:rPr>
        <w:t>
      6 июня 2013 года Фонд осуществил безвозмездную передачу всех имеющихся во владении Фонда простых акций Kazakhmys Plc (58.876.793 акции) в республиканскую собственность путем их передачи Комитету государственного имущества и приватизации Министерства финансов Республики Казахстан. Фонд прекратил признание инвестиций в Kazakhmys Plc, ранее учитывавшихся как финансовые активы, имеющиеся в наличии для продажи, с текущей стоимостью на дату выбытия в размере 44.069.000 тысяч тенге и связанного накопленного резерва по переоценке финансовых активов, имеющихся в наличии для продажи, в размере 67.856.000 тысяч тенге. Данное выбытие было отражено как прочие распределения Акционеру на общую сумму 111.925.000 тысяч тенге в консолидированном отчете об изменениях в капитале.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Строительство и передача основных средств</w:t>
      </w:r>
    </w:p>
    <w:p>
      <w:pPr>
        <w:spacing w:after="0"/>
        <w:ind w:left="0"/>
        <w:jc w:val="both"/>
      </w:pPr>
      <w:r>
        <w:rPr>
          <w:rFonts w:ascii="Times New Roman"/>
          <w:b w:val="false"/>
          <w:i w:val="false"/>
          <w:color w:val="000000"/>
          <w:sz w:val="28"/>
        </w:rPr>
        <w:t>
      В 2012 году Группа создала обязательства по передаче Северо-Каспийской экологической базы реагирования на розливы нефти (далее "СКЭБР") в ведение Министерства по чрезвычайным ситуациям Республики Казахстан в сумме 13.537.000 тысяч тенге и отразила их в качестве распределения Акционеру.</w:t>
      </w:r>
    </w:p>
    <w:p>
      <w:pPr>
        <w:spacing w:after="0"/>
        <w:ind w:left="0"/>
        <w:jc w:val="both"/>
      </w:pPr>
      <w:r>
        <w:rPr>
          <w:rFonts w:ascii="Times New Roman"/>
          <w:b w:val="false"/>
          <w:i w:val="false"/>
          <w:color w:val="000000"/>
          <w:sz w:val="28"/>
        </w:rPr>
        <w:t>
      27 июня 2013 года Межведомственная комиссия по развитию нефтегазовой и энергетической отраслей приняла решение оставить СКЭБР у Группы. На основании этого Группа сторнировала признанное в 2012 году распределение Акционеру в размере 13.537.000 тысяч тенге.</w:t>
      </w:r>
    </w:p>
    <w:p>
      <w:pPr>
        <w:spacing w:after="0"/>
        <w:ind w:left="0"/>
        <w:jc w:val="both"/>
      </w:pPr>
      <w:r>
        <w:rPr>
          <w:rFonts w:ascii="Times New Roman"/>
          <w:b w:val="false"/>
          <w:i w:val="false"/>
          <w:color w:val="000000"/>
          <w:sz w:val="28"/>
        </w:rPr>
        <w:t xml:space="preserve">
      В 2013 году Группа увеличила резерв на реконструкцию Выставочного Центра в г. Москва на 3.433.000 тысяч тенге (2012: 2.451.000 тысяч тенге) и резерв в отношении затрат, которые будут понесены на строительство Музея Истории Казахстана в г. Астана в сумме 23.551.000 тысяч тенге (2012: 5.179.000 тысяч тенге), и соответственно, отразила их в качестве распределения Акционеру. </w:t>
      </w:r>
    </w:p>
    <w:p>
      <w:pPr>
        <w:spacing w:after="0"/>
        <w:ind w:left="0"/>
        <w:jc w:val="both"/>
      </w:pPr>
      <w:r>
        <w:rPr>
          <w:rFonts w:ascii="Times New Roman"/>
          <w:b w:val="false"/>
          <w:i w:val="false"/>
          <w:color w:val="000000"/>
          <w:sz w:val="28"/>
        </w:rPr>
        <w:t xml:space="preserve">
      В 2012 году Группа увеличила резерв на постройку прочих социальных объектов в городе Астана на сумму 28.330.000 тысяч тенге. </w:t>
      </w:r>
    </w:p>
    <w:p>
      <w:pPr>
        <w:spacing w:after="0"/>
        <w:ind w:left="0"/>
        <w:jc w:val="both"/>
      </w:pPr>
      <w:r>
        <w:rPr>
          <w:rFonts w:ascii="Times New Roman"/>
          <w:b w:val="false"/>
          <w:i w:val="false"/>
          <w:color w:val="000000"/>
          <w:sz w:val="28"/>
        </w:rPr>
        <w:t>
      Согласно плана развития Щучинско–Боровской курортной зоны, утвержденного Правительством, Группа обязана построить гольф-клуб в данной курортной зоне. Стоимость строительства и возмещаемая стоимость данного проекта были оценены на сумму 19.573.000 тысяч тенге и 6.252.000 тысяч тенге, соответственно. Разница между сметной стоимостью строительства и возмещаемой стоимостью в сумме 13.321.000 тысяч тенге была отражена в качестве распределения Акционеру в консолидированном отчете об изменениях в капитале за 2013 год.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Оказание благотворительной помощи по поручению Акционера</w:t>
      </w:r>
    </w:p>
    <w:p>
      <w:pPr>
        <w:spacing w:after="0"/>
        <w:ind w:left="0"/>
        <w:jc w:val="both"/>
      </w:pPr>
      <w:r>
        <w:rPr>
          <w:rFonts w:ascii="Times New Roman"/>
          <w:b w:val="false"/>
          <w:i w:val="false"/>
          <w:color w:val="000000"/>
          <w:sz w:val="28"/>
        </w:rPr>
        <w:t>
      В течение года, закончившегося 31 декабря 2013 года, по поручению Акционера, Группа выделила спонсорскую помощь в размере 8.833.000 тысяч тенге для финансирования социальных, культурно-массовых и спортивных мероприятий, которые были отражены в качестве распределения Акционеру (2012: 14.393.000 тысяч тенге).</w:t>
      </w:r>
    </w:p>
    <w:bookmarkStart w:name="z335" w:id="334"/>
    <w:p>
      <w:pPr>
        <w:spacing w:after="0"/>
        <w:ind w:left="0"/>
        <w:jc w:val="both"/>
      </w:pPr>
      <w:r>
        <w:rPr>
          <w:rFonts w:ascii="Times New Roman"/>
          <w:b w:val="false"/>
          <w:i w:val="false"/>
          <w:color w:val="000000"/>
          <w:sz w:val="28"/>
        </w:rPr>
        <w:t xml:space="preserve">
      </w:t>
      </w:r>
      <w:r>
        <w:rPr>
          <w:rFonts w:ascii="Times New Roman"/>
          <w:b w:val="false"/>
          <w:i/>
          <w:color w:val="000000"/>
          <w:sz w:val="28"/>
        </w:rPr>
        <w:t>Изменение долей участия в дочерних организациях – приобретение неконтрольной доли</w:t>
      </w:r>
    </w:p>
    <w:bookmarkEnd w:id="334"/>
    <w:p>
      <w:pPr>
        <w:spacing w:after="0"/>
        <w:ind w:left="0"/>
        <w:jc w:val="both"/>
      </w:pPr>
      <w:r>
        <w:rPr>
          <w:rFonts w:ascii="Times New Roman"/>
          <w:b w:val="false"/>
          <w:i w:val="false"/>
          <w:color w:val="000000"/>
          <w:sz w:val="28"/>
        </w:rPr>
        <w:t xml:space="preserve">
      </w:t>
      </w:r>
      <w:r>
        <w:rPr>
          <w:rFonts w:ascii="Times New Roman"/>
          <w:b w:val="false"/>
          <w:i/>
          <w:color w:val="000000"/>
          <w:sz w:val="28"/>
        </w:rPr>
        <w:t>БТА Банк</w:t>
      </w:r>
    </w:p>
    <w:p>
      <w:pPr>
        <w:spacing w:after="0"/>
        <w:ind w:left="0"/>
        <w:jc w:val="both"/>
      </w:pPr>
      <w:r>
        <w:rPr>
          <w:rFonts w:ascii="Times New Roman"/>
          <w:b w:val="false"/>
          <w:i w:val="false"/>
          <w:color w:val="000000"/>
          <w:sz w:val="28"/>
        </w:rPr>
        <w:t xml:space="preserve">
      В рамках плана реструктуризации обязательств БТА Банка, одобренного в декабре 2012 года, Фонд приобрел вновь выпущенные простые акции БТА Банка, увеличив свою долю владения с 81,48% до 97,28%. В результате данной сделки Фонд признал в консолидированных формах финансовой отчетности за 2012 год уменьшение нераспределенной прибыли на сумму 123.902.000 тысяч тенге и увеличение неконтрольной доли участия на сумму 126.033.000 тысяч тенге.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изменения долей участия в дочерних организациях</w:t>
      </w:r>
    </w:p>
    <w:p>
      <w:pPr>
        <w:spacing w:after="0"/>
        <w:ind w:left="0"/>
        <w:jc w:val="both"/>
      </w:pPr>
      <w:r>
        <w:rPr>
          <w:rFonts w:ascii="Times New Roman"/>
          <w:b w:val="false"/>
          <w:i w:val="false"/>
          <w:color w:val="000000"/>
          <w:sz w:val="28"/>
        </w:rPr>
        <w:t>
      В течение 2012 года прочие изменения долей участия в дочерних организациях в результате приобретения неконтролирующих долей повлекли за собой увеличение неконтрольной доли участия на сумму 9.539.000 тысяч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Неконтрольная доля участия</w:t>
      </w:r>
    </w:p>
    <w:p>
      <w:pPr>
        <w:spacing w:after="0"/>
        <w:ind w:left="0"/>
        <w:jc w:val="both"/>
      </w:pPr>
      <w:r>
        <w:rPr>
          <w:rFonts w:ascii="Times New Roman"/>
          <w:b w:val="false"/>
          <w:i w:val="false"/>
          <w:color w:val="000000"/>
          <w:sz w:val="28"/>
        </w:rPr>
        <w:t xml:space="preserve">
      Ниже представлена информация о дочерних организациях с существенными неконтрольными долями участия.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538"/>
        <w:gridCol w:w="1338"/>
        <w:gridCol w:w="2072"/>
        <w:gridCol w:w="1338"/>
        <w:gridCol w:w="2073"/>
      </w:tblGrid>
      <w:tr>
        <w:trPr>
          <w:trHeight w:val="30" w:hRule="atLeast"/>
        </w:trPr>
        <w:tc>
          <w:tcPr>
            <w:tcW w:w="4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и осуществления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Неконтрольная доля участия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"Разведка Добыча "КазМунайГаз"</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504.355.000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492.114.000</w:t>
            </w:r>
          </w:p>
        </w:tc>
      </w:tr>
      <w:tr>
        <w:trPr>
          <w:trHeight w:val="3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135.445.000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140.991.000</w:t>
            </w:r>
          </w:p>
        </w:tc>
      </w:tr>
      <w:tr>
        <w:trPr>
          <w:trHeight w:val="3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"КазТрансОйл"</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29.178.000</w:t>
            </w:r>
          </w:p>
        </w:tc>
      </w:tr>
      <w:tr>
        <w:trPr>
          <w:trHeight w:val="3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Rafinare S.A.</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35.097.000</w:t>
            </w:r>
          </w:p>
        </w:tc>
      </w:tr>
      <w:tr>
        <w:trPr>
          <w:trHeight w:val="3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"Эйр Астана"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20.855.000</w:t>
            </w:r>
          </w:p>
        </w:tc>
      </w:tr>
      <w:tr>
        <w:trPr>
          <w:trHeight w:val="3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Downstream S.R.L.</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20.437.000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21.546.000</w:t>
            </w:r>
          </w:p>
        </w:tc>
      </w:tr>
      <w:tr>
        <w:trPr>
          <w:trHeight w:val="3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742.282.000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739.781.000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Ниже представлена обобщенная финансовая информация о дочерних организациях, в которых имеются существенные неконтрольные доли участия по состоянию на 31 декабря 2013 года и за год, закончившийся на эту дату: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1643"/>
        <w:gridCol w:w="1487"/>
        <w:gridCol w:w="1487"/>
        <w:gridCol w:w="2449"/>
        <w:gridCol w:w="1487"/>
        <w:gridCol w:w="2856"/>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"Разведка Добыча "КазМунайГаз"</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"КазТрансОйл"</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Rafinare S.A.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"Эйр Астана"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Downstream S.R.L.</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Обобщенный бухгалтерский баланс</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666.034.000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319.084.000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182.211.000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93.247.000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928.791.000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123.617.000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43.628.000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55.337.000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(48.560.000)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(62.689.000)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(49.619.000)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(26.948.000)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(58.449.000)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1.371.093.000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344.522.000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47.238.000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45.044.000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Приходящийся на: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Акционера Материнской Компании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866.738.000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310.070.000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24.115.000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24.607.000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Неконтрольную долю участия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23.123.000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20.437.000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Обобщенный отчет о прибылях и убытках</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Прибыль/(убыток) за год от продолжающейся деятельности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83.490.000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7.814.000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совокупный доход/(убыток) за год, за вычетом подоходного налога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83.075.000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7.814.000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Приходящийся на: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Акционера Материнской Компании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74.916.000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Неконтрольную долю участия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3.829.000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выплаченные в пользу неконтрольной доли участия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Обобщенная информация о денежных потоках</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деятельность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95.859.000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8.214.000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деятельность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(28.848.000)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(8.062.000)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(уменьшение)/увеличение денежных средств и их эквивалентов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Ниже представлена обобщенная финансовая информация о дочерних организациях, в которых имеются существенные неконтрольные доли участия по состоянию на 31 декабря 2012 года и за год, закончившийся на эту дату: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643"/>
        <w:gridCol w:w="1620"/>
        <w:gridCol w:w="1487"/>
        <w:gridCol w:w="2404"/>
        <w:gridCol w:w="1487"/>
        <w:gridCol w:w="2777"/>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"Разведка Добыча "КазМунайГаз"</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"Каз-ТрансОйл"</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Rafinare S.A.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"Эйр Астана"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Downstream S.R.L.</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Обобщенный бухгалтерский баланс</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631.044.000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289.723.000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52.027.000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66.388.000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933.056.000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85.868.000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36.391.000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48.835.000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(22.330.000)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(184.556.000)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(38.024.000)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(23.477.000)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(60.673.000)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1.337.769.000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291.782.000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42.611.000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47.488.000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Приходящийся на: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Акционера Материнской Компании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845.655.000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262.604.000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21.756.000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25.942.000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Неконтрольную долю участия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20.855.000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Обобщенный отчет о прибылях и убытках</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Прибыль/(убыток) за год от продолжающейся деятельности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42.867.000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совокупный доход/(убыток) за год, за вычетом подоходного налога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164.478.000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Приходящийся на: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Акционера Материнской Компании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100.818.000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4.645.000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Неконтрольную долю участия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63.660.000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выплаченные в пользу неконтрольной доли участия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Обобщенная информация о денежных потоках</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деятельность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62.907.000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7.240.000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деятельность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(33.096.000)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(154.555.000)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(32.709.000)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(уменьшение)/увеличение денежных средств и их эквивалентов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(51.807.000)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2.952.000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Резерв по пересчету валют</w:t>
      </w:r>
    </w:p>
    <w:p>
      <w:pPr>
        <w:spacing w:after="0"/>
        <w:ind w:left="0"/>
        <w:jc w:val="both"/>
      </w:pPr>
      <w:r>
        <w:rPr>
          <w:rFonts w:ascii="Times New Roman"/>
          <w:b w:val="false"/>
          <w:i w:val="false"/>
          <w:color w:val="000000"/>
          <w:sz w:val="28"/>
        </w:rPr>
        <w:t>
      Резерв по пересчету валюты используется для учета курсовых разниц, возникающих от пересчета финансовой отчетности дочерних организаций, функциональной валютой которых не является тенге, и финансовая отчетность которых включена в данные консолидированные формы финансовой отчетности.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капитальные резервы</w:t>
      </w:r>
    </w:p>
    <w:p>
      <w:pPr>
        <w:spacing w:after="0"/>
        <w:ind w:left="0"/>
        <w:jc w:val="both"/>
      </w:pPr>
      <w:r>
        <w:rPr>
          <w:rFonts w:ascii="Times New Roman"/>
          <w:b w:val="false"/>
          <w:i w:val="false"/>
          <w:color w:val="000000"/>
          <w:sz w:val="28"/>
        </w:rPr>
        <w:t xml:space="preserve">
      Прочие капитальные резервы включают в себя влияние учета хеджирования потоков денежных средств для учета любых прибылей или убытков по справедливой стоимости в отношении определенного производного финансового инструмента в резерве по хеджированию в рамках капитала. Эти прибыли и убытки впоследствии непосредственно признаются в прибылях и убытках при проведении операции. </w:t>
      </w:r>
    </w:p>
    <w:p>
      <w:pPr>
        <w:spacing w:after="0"/>
        <w:ind w:left="0"/>
        <w:jc w:val="both"/>
      </w:pPr>
      <w:r>
        <w:rPr>
          <w:rFonts w:ascii="Times New Roman"/>
          <w:b w:val="false"/>
          <w:i w:val="false"/>
          <w:color w:val="000000"/>
          <w:sz w:val="28"/>
        </w:rPr>
        <w:t xml:space="preserve">
      Прочие капитальные резервы также включают в себя cуммы вознаграждений за предоставленные услуги, выплачиваемых работникам долевыми инструментами дочерней организации, в которой они работают. Расходы по выплатам на основе долевых инструментов признаются одновременно с соответствующим увеличением в прочих капитальных резервах в течение периода, в котором выполняются условия достижения результатов деятельности и/или условия выслуги определенного срока, и заканчивающегося на дату, когда работники получают полное право на вознаграждение.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Прибыль на акцию</w:t>
      </w:r>
    </w:p>
    <w:p>
      <w:pPr>
        <w:spacing w:after="0"/>
        <w:ind w:left="0"/>
        <w:jc w:val="both"/>
      </w:pPr>
      <w:r>
        <w:rPr>
          <w:rFonts w:ascii="Times New Roman"/>
          <w:b w:val="false"/>
          <w:i w:val="false"/>
          <w:color w:val="000000"/>
          <w:sz w:val="28"/>
        </w:rPr>
        <w:t>
      Суммы базовой прибыли на акцию рассчитаны путем деления чистой прибыли за год, приходящейся на держателей простых акций материнской компании, на средневзвешенное количество простых акций в обращении в течение года. Суммы разводненной прибыли на акцию рассчитаны путем деления чистой прибыли, приходящейся на держателей простых акций материнской компании, на средневзвешенное количество простых акций в обращении в течение года плюс средневзвешенное количество простых акций, которые будут выпущены в случае конвертации всех потенциальных простых акций с разводняющим эффектом.</w:t>
      </w:r>
    </w:p>
    <w:p>
      <w:pPr>
        <w:spacing w:after="0"/>
        <w:ind w:left="0"/>
        <w:jc w:val="both"/>
      </w:pPr>
      <w:r>
        <w:rPr>
          <w:rFonts w:ascii="Times New Roman"/>
          <w:b w:val="false"/>
          <w:i w:val="false"/>
          <w:color w:val="000000"/>
          <w:sz w:val="28"/>
        </w:rPr>
        <w:t>
      Ниже приводится информация о прибыли и количестве акций, которые использованы в расчетах базовой и разводненной прибыли на акцию: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4893"/>
        <w:gridCol w:w="4894"/>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продолжающейся деятельности, относящаяся к Акционеру материнской компании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573.201.000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598.654.000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от прекращенной деятельности, относящаяся к Акционеру материнской компании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(165.955.000)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468.923.000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относящаяся к Акционеру материнской компании для расчета базовой прибыли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407.246.000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1.067.577.000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 количество простых акций для расчета базовой и разводненной прибыли на акцию</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3.481.546.896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3.481.122.721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Балансовая стоимость акций</w:t>
      </w:r>
    </w:p>
    <w:p>
      <w:pPr>
        <w:spacing w:after="0"/>
        <w:ind w:left="0"/>
        <w:jc w:val="both"/>
      </w:pPr>
      <w:r>
        <w:rPr>
          <w:rFonts w:ascii="Times New Roman"/>
          <w:b w:val="false"/>
          <w:i w:val="false"/>
          <w:color w:val="000000"/>
          <w:sz w:val="28"/>
        </w:rPr>
        <w:t>
      В соответствии с решением Биржевого совета АО "Казахстанская фондовая биржа" (далее "КФБ") от 4 октября 2010 года, финансовая отчетность должна содержать данные о балансовой стоимости одной акции (простой и привилегированной) на отчетную дату, рассчитанной в соответствии с утвержденными КФБ правилами.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5148"/>
        <w:gridCol w:w="5148"/>
      </w:tblGrid>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15.294.489.000</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15.274.204.000</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(284.325.000)</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(358.276.000)</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(7.787.897.000)</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(7.858.745.000)</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для простых акций</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7.222.267.000</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7.057.183.000</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простых акций на 31 декабря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3.481.602.341</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3.481.526.139</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простой акции, тенге</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bl>
    <w:p>
      <w:pPr>
        <w:spacing w:after="0"/>
        <w:ind w:left="0"/>
        <w:jc w:val="left"/>
      </w:pPr>
      <w:r>
        <w:br/>
      </w:r>
      <w:r>
        <w:rPr>
          <w:rFonts w:ascii="Times New Roman"/>
          <w:b w:val="false"/>
          <w:i w:val="false"/>
          <w:color w:val="000000"/>
          <w:sz w:val="28"/>
        </w:rPr>
        <w:t>
</w:t>
      </w:r>
    </w:p>
    <w:bookmarkStart w:name="z336" w:id="335"/>
    <w:p>
      <w:pPr>
        <w:spacing w:after="0"/>
        <w:ind w:left="0"/>
        <w:jc w:val="both"/>
      </w:pPr>
      <w:r>
        <w:rPr>
          <w:rFonts w:ascii="Times New Roman"/>
          <w:b w:val="false"/>
          <w:i w:val="false"/>
          <w:color w:val="000000"/>
          <w:sz w:val="28"/>
        </w:rPr>
        <w:t xml:space="preserve">
      </w:t>
      </w:r>
      <w:r>
        <w:rPr>
          <w:rFonts w:ascii="Times New Roman"/>
          <w:b/>
          <w:i w:val="false"/>
          <w:color w:val="000000"/>
          <w:sz w:val="28"/>
        </w:rPr>
        <w:t>8. КОНСОЛИДИРОВАННЫЙ ОТЧЕТ О ПРИБЫЛЯХ И УБЫТКАХ</w:t>
      </w:r>
    </w:p>
    <w:bookmarkEnd w:id="335"/>
    <w:bookmarkStart w:name="z337" w:id="336"/>
    <w:p>
      <w:pPr>
        <w:spacing w:after="0"/>
        <w:ind w:left="0"/>
        <w:jc w:val="both"/>
      </w:pPr>
      <w:r>
        <w:rPr>
          <w:rFonts w:ascii="Times New Roman"/>
          <w:b w:val="false"/>
          <w:i w:val="false"/>
          <w:color w:val="000000"/>
          <w:sz w:val="28"/>
        </w:rPr>
        <w:t xml:space="preserve">
      </w:t>
      </w:r>
      <w:r>
        <w:rPr>
          <w:rFonts w:ascii="Times New Roman"/>
          <w:b/>
          <w:i w:val="false"/>
          <w:color w:val="000000"/>
          <w:sz w:val="28"/>
        </w:rPr>
        <w:t>Выручка</w:t>
      </w:r>
    </w:p>
    <w:bookmarkEnd w:id="336"/>
    <w:p>
      <w:pPr>
        <w:spacing w:after="0"/>
        <w:ind w:left="0"/>
        <w:jc w:val="both"/>
      </w:pPr>
      <w:r>
        <w:rPr>
          <w:rFonts w:ascii="Times New Roman"/>
          <w:b w:val="false"/>
          <w:i w:val="false"/>
          <w:color w:val="000000"/>
          <w:sz w:val="28"/>
        </w:rPr>
        <w:t>
      Выручка за годы, закончившиеся 31 декабря, включает: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5222"/>
        <w:gridCol w:w="5222"/>
      </w:tblGrid>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нефтепродуктов</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2.096.932.000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1.968.721.000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железнодорожные перевозки</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738.985.000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684.320.000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сырой нефти</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735.441.000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597.598.000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нефти и газа</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261.803.000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220.677.000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урановой продукции</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211.321.000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253.635.000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продукции переработки газа</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188.601.000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услуги</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182.555.000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167.340.000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комплекс</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144.877.000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125.372.000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Авиаперевозки</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143.813.000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128.046.000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Процентный доход</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83.241.000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железнодорожные перевозки</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74.421.000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64.337.000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электроэнергии</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70.687.000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63.730.000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услуги</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медикаментов</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субсидии</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доход</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322.683.000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297.953.000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налог на продажу и коммерческие скидки</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(295.988.000)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(241.828.000)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5.077.172.000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4.725.082.000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Государственные субсидии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1188 от 11 ноября 2004 года "Об утверждении Правил субсидирования убытков перевозчика, связанных с осуществлением пассажирских перевозок", с 1 января 2005 года АО "Национальная Компания "Казақстан Темір Жолы" (далее "НК КТЖ") начало получать субсидии в качестве покрытия убытков перевозчиков по социально значимым сообщениям. По данным субсидиям отсутствуют какие-либо невыполненные условия или условные обязательства. Сумма субсидии за год, закончившийся 31 декабря 2013 года, составила 23.881.000 тысяч тенге (2012 год: 22.148.000 тысяч тенге).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1039 от 7 октября 2004 года "Об утверждении Правил субсидирования стоимости универсальных услуг телекоммуникаций для компенсации убытков операторам связи, оказывающим универсальные услуги телекоммуникаций населению" начиная с 4-го квартала 2004 года, АО "Казахтелеком" получало правительственные дотации, предназначенные для компенсации убытков, понесенных операторами при оказании услуг связи в социально-значимых районах. Все условия и условные обязательства в отношении указанных дотаций выполнены. Общая сумма субсидий, полученных за год, закончившийся 31 декабря 2013 года, составила 5.029.000 тысяч тенге (2012 год: 5.309.000 тысяч тенге).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915 от 17 августа 2002 года, Правительство предоставляет субсидии компаниям, осуществляющим услуги по пассажирским авиаперевозкам по нерентабельным маршрутам из Астаны в другие города Казахстана. Субсидия основана на превышении затрат на рейс над полученным доходом. Сумма субсидии за год, закончившийся 31 декабря 2013 года, составила 46.000 тысяч тенге (2012 год: 353.000 тысяч тенге).</w:t>
      </w:r>
    </w:p>
    <w:p>
      <w:pPr>
        <w:spacing w:after="0"/>
        <w:ind w:left="0"/>
        <w:jc w:val="both"/>
      </w:pPr>
      <w:r>
        <w:rPr>
          <w:rFonts w:ascii="Times New Roman"/>
          <w:b w:val="false"/>
          <w:i w:val="false"/>
          <w:color w:val="000000"/>
          <w:sz w:val="28"/>
        </w:rPr>
        <w:t>
      Прочие государственные субсидии за год, закончившийся 31 декабря 2013 года, составили 40.000 тысяч тенге (2012 год: 47.000 тысяч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Прочий доход</w:t>
      </w:r>
    </w:p>
    <w:p>
      <w:pPr>
        <w:spacing w:after="0"/>
        <w:ind w:left="0"/>
        <w:jc w:val="both"/>
      </w:pPr>
      <w:r>
        <w:rPr>
          <w:rFonts w:ascii="Times New Roman"/>
          <w:b w:val="false"/>
          <w:i w:val="false"/>
          <w:color w:val="000000"/>
          <w:sz w:val="28"/>
        </w:rPr>
        <w:t>
      Прочий доход в основном включает комиссионный доход, доход от продажи запасов и предоставления прочих дополнительных услуг третьим сторонам, которые предоставляются вместе с основными услугами.</w:t>
      </w:r>
    </w:p>
    <w:bookmarkStart w:name="z338" w:id="337"/>
    <w:p>
      <w:pPr>
        <w:spacing w:after="0"/>
        <w:ind w:left="0"/>
        <w:jc w:val="both"/>
      </w:pPr>
      <w:r>
        <w:rPr>
          <w:rFonts w:ascii="Times New Roman"/>
          <w:b w:val="false"/>
          <w:i w:val="false"/>
          <w:color w:val="000000"/>
          <w:sz w:val="28"/>
        </w:rPr>
        <w:t xml:space="preserve">
      </w:t>
      </w:r>
      <w:r>
        <w:rPr>
          <w:rFonts w:ascii="Times New Roman"/>
          <w:b/>
          <w:i w:val="false"/>
          <w:color w:val="000000"/>
          <w:sz w:val="28"/>
        </w:rPr>
        <w:t>Себестоимость реализованных товаров и услуг</w:t>
      </w:r>
    </w:p>
    <w:bookmarkEnd w:id="337"/>
    <w:p>
      <w:pPr>
        <w:spacing w:after="0"/>
        <w:ind w:left="0"/>
        <w:jc w:val="both"/>
      </w:pPr>
      <w:r>
        <w:rPr>
          <w:rFonts w:ascii="Times New Roman"/>
          <w:b w:val="false"/>
          <w:i w:val="false"/>
          <w:color w:val="000000"/>
          <w:sz w:val="28"/>
        </w:rPr>
        <w:t>
      Себестоимость реализованных товаров и услуг за годы, закончившиеся 31 декабря, включала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5520"/>
        <w:gridCol w:w="5521"/>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запасы</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2.144.838.000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2.045.029.000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заработной плате</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574.378.000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525.843.000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истощение и амортизация</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317.025.000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284.795.000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производственные услуги</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124.830.000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117.222.000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97.698.000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75.520.000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74.785.000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37.742.000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34.822.000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186.426.000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146.848.000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3.647.010.000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3.390.245.000</w:t>
            </w:r>
          </w:p>
        </w:tc>
      </w:tr>
    </w:tbl>
    <w:p>
      <w:pPr>
        <w:spacing w:after="0"/>
        <w:ind w:left="0"/>
        <w:jc w:val="left"/>
      </w:pPr>
      <w:r>
        <w:br/>
      </w:r>
      <w:r>
        <w:rPr>
          <w:rFonts w:ascii="Times New Roman"/>
          <w:b w:val="false"/>
          <w:i w:val="false"/>
          <w:color w:val="000000"/>
          <w:sz w:val="28"/>
        </w:rPr>
        <w:t>
</w:t>
      </w:r>
    </w:p>
    <w:bookmarkStart w:name="z339" w:id="338"/>
    <w:p>
      <w:pPr>
        <w:spacing w:after="0"/>
        <w:ind w:left="0"/>
        <w:jc w:val="both"/>
      </w:pPr>
      <w:r>
        <w:rPr>
          <w:rFonts w:ascii="Times New Roman"/>
          <w:b w:val="false"/>
          <w:i w:val="false"/>
          <w:color w:val="000000"/>
          <w:sz w:val="28"/>
        </w:rPr>
        <w:t xml:space="preserve">
      </w:t>
      </w:r>
      <w:r>
        <w:rPr>
          <w:rFonts w:ascii="Times New Roman"/>
          <w:b/>
          <w:i w:val="false"/>
          <w:color w:val="000000"/>
          <w:sz w:val="28"/>
        </w:rPr>
        <w:t>Расходы по реализации</w:t>
      </w:r>
    </w:p>
    <w:bookmarkEnd w:id="338"/>
    <w:p>
      <w:pPr>
        <w:spacing w:after="0"/>
        <w:ind w:left="0"/>
        <w:jc w:val="both"/>
      </w:pPr>
      <w:r>
        <w:rPr>
          <w:rFonts w:ascii="Times New Roman"/>
          <w:b w:val="false"/>
          <w:i w:val="false"/>
          <w:color w:val="000000"/>
          <w:sz w:val="28"/>
        </w:rPr>
        <w:t>
      Расходы по реализации за годы, закончившиеся 31 декабря, включали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5442"/>
        <w:gridCol w:w="5443"/>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165.307.000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161.461.000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59.358.000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113.655.000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пошлина</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43.690.000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заработной плате</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20.849.000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амортизация</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 агентам и реклама</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20.868.000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347.457.000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377.334.000</w:t>
            </w:r>
          </w:p>
        </w:tc>
      </w:tr>
    </w:tbl>
    <w:p>
      <w:pPr>
        <w:spacing w:after="0"/>
        <w:ind w:left="0"/>
        <w:jc w:val="left"/>
      </w:pPr>
      <w:r>
        <w:br/>
      </w:r>
      <w:r>
        <w:rPr>
          <w:rFonts w:ascii="Times New Roman"/>
          <w:b w:val="false"/>
          <w:i w:val="false"/>
          <w:color w:val="000000"/>
          <w:sz w:val="28"/>
        </w:rPr>
        <w:t>
</w:t>
      </w:r>
    </w:p>
    <w:bookmarkStart w:name="z340" w:id="339"/>
    <w:p>
      <w:pPr>
        <w:spacing w:after="0"/>
        <w:ind w:left="0"/>
        <w:jc w:val="both"/>
      </w:pPr>
      <w:r>
        <w:rPr>
          <w:rFonts w:ascii="Times New Roman"/>
          <w:b w:val="false"/>
          <w:i w:val="false"/>
          <w:color w:val="000000"/>
          <w:sz w:val="28"/>
        </w:rPr>
        <w:t xml:space="preserve">
      </w:t>
      </w:r>
      <w:r>
        <w:rPr>
          <w:rFonts w:ascii="Times New Roman"/>
          <w:b/>
          <w:i w:val="false"/>
          <w:color w:val="000000"/>
          <w:sz w:val="28"/>
        </w:rPr>
        <w:t>Административные расходы</w:t>
      </w:r>
    </w:p>
    <w:bookmarkEnd w:id="339"/>
    <w:p>
      <w:pPr>
        <w:spacing w:after="0"/>
        <w:ind w:left="0"/>
        <w:jc w:val="both"/>
      </w:pPr>
      <w:r>
        <w:rPr>
          <w:rFonts w:ascii="Times New Roman"/>
          <w:b w:val="false"/>
          <w:i w:val="false"/>
          <w:color w:val="000000"/>
          <w:sz w:val="28"/>
        </w:rPr>
        <w:t>
      Административные расходы за годы, закончившиеся 31 декабря, включали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5442"/>
        <w:gridCol w:w="5443"/>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заработной плате</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152.338.000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144.102.000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Спонсорская помощь и благотворительность</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35.239.000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21.415.000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кроме подоходного налога</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46.638.000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42.846.000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амортизация</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23.304.000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сомнительной задолженности</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и пени</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67.519.000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378.782.000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343.669.000</w:t>
            </w:r>
          </w:p>
        </w:tc>
      </w:tr>
    </w:tbl>
    <w:p>
      <w:pPr>
        <w:spacing w:after="0"/>
        <w:ind w:left="0"/>
        <w:jc w:val="left"/>
      </w:pPr>
      <w:r>
        <w:br/>
      </w:r>
      <w:r>
        <w:rPr>
          <w:rFonts w:ascii="Times New Roman"/>
          <w:b w:val="false"/>
          <w:i w:val="false"/>
          <w:color w:val="000000"/>
          <w:sz w:val="28"/>
        </w:rPr>
        <w:t>
</w:t>
      </w:r>
    </w:p>
    <w:bookmarkStart w:name="z341" w:id="340"/>
    <w:p>
      <w:pPr>
        <w:spacing w:after="0"/>
        <w:ind w:left="0"/>
        <w:jc w:val="both"/>
      </w:pPr>
      <w:r>
        <w:rPr>
          <w:rFonts w:ascii="Times New Roman"/>
          <w:b w:val="false"/>
          <w:i w:val="false"/>
          <w:color w:val="000000"/>
          <w:sz w:val="28"/>
        </w:rPr>
        <w:t xml:space="preserve">
      </w:t>
      </w:r>
      <w:r>
        <w:rPr>
          <w:rFonts w:ascii="Times New Roman"/>
          <w:b/>
          <w:i w:val="false"/>
          <w:color w:val="000000"/>
          <w:sz w:val="28"/>
        </w:rPr>
        <w:t>Прочие расходы</w:t>
      </w:r>
    </w:p>
    <w:bookmarkEnd w:id="340"/>
    <w:p>
      <w:pPr>
        <w:spacing w:after="0"/>
        <w:ind w:left="0"/>
        <w:jc w:val="both"/>
      </w:pPr>
      <w:r>
        <w:rPr>
          <w:rFonts w:ascii="Times New Roman"/>
          <w:b w:val="false"/>
          <w:i w:val="false"/>
          <w:color w:val="000000"/>
          <w:sz w:val="28"/>
        </w:rPr>
        <w:t>
      Прочие расходы за годы, закончившиеся 31 декабря, включали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5442"/>
        <w:gridCol w:w="5443"/>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232.664.000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219.448.000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выбытия основных средств</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23.578.000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259.614.000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242.777.000</w:t>
            </w:r>
          </w:p>
        </w:tc>
      </w:tr>
    </w:tbl>
    <w:p>
      <w:pPr>
        <w:spacing w:after="0"/>
        <w:ind w:left="0"/>
        <w:jc w:val="left"/>
      </w:pPr>
      <w:r>
        <w:br/>
      </w:r>
      <w:r>
        <w:rPr>
          <w:rFonts w:ascii="Times New Roman"/>
          <w:b w:val="false"/>
          <w:i w:val="false"/>
          <w:color w:val="000000"/>
          <w:sz w:val="28"/>
        </w:rPr>
        <w:t>
</w:t>
      </w:r>
    </w:p>
    <w:bookmarkStart w:name="z342" w:id="341"/>
    <w:p>
      <w:pPr>
        <w:spacing w:after="0"/>
        <w:ind w:left="0"/>
        <w:jc w:val="both"/>
      </w:pPr>
      <w:r>
        <w:rPr>
          <w:rFonts w:ascii="Times New Roman"/>
          <w:b w:val="false"/>
          <w:i w:val="false"/>
          <w:color w:val="000000"/>
          <w:sz w:val="28"/>
        </w:rPr>
        <w:t xml:space="preserve">
      </w:t>
      </w:r>
      <w:r>
        <w:rPr>
          <w:rFonts w:ascii="Times New Roman"/>
          <w:b/>
          <w:i w:val="false"/>
          <w:color w:val="000000"/>
          <w:sz w:val="28"/>
        </w:rPr>
        <w:t>Убыток от обесценения</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4557"/>
        <w:gridCol w:w="4700"/>
      </w:tblGrid>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 (сторнирование обесценения) займов клиентам</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77.230.000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основных средств и нематериальных активов</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74.395.000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86.018.000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(сторнирование обесценения) инвестиций в совместные предприятия и ассоциированные компании</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61.427.000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активов, имеющихся в наличии для продажи</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146.848.000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гудвилла</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4.945.000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14.667.000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232.664.000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219.448.000</w:t>
            </w:r>
          </w:p>
        </w:tc>
      </w:tr>
    </w:tbl>
    <w:p>
      <w:pPr>
        <w:spacing w:after="0"/>
        <w:ind w:left="0"/>
        <w:jc w:val="left"/>
      </w:pPr>
      <w:r>
        <w:br/>
      </w:r>
      <w:r>
        <w:rPr>
          <w:rFonts w:ascii="Times New Roman"/>
          <w:b w:val="false"/>
          <w:i w:val="false"/>
          <w:color w:val="000000"/>
          <w:sz w:val="28"/>
        </w:rPr>
        <w:t>
</w:t>
      </w:r>
    </w:p>
    <w:bookmarkStart w:name="z343" w:id="342"/>
    <w:p>
      <w:pPr>
        <w:spacing w:after="0"/>
        <w:ind w:left="0"/>
        <w:jc w:val="both"/>
      </w:pPr>
      <w:r>
        <w:rPr>
          <w:rFonts w:ascii="Times New Roman"/>
          <w:b w:val="false"/>
          <w:i w:val="false"/>
          <w:color w:val="000000"/>
          <w:sz w:val="28"/>
        </w:rPr>
        <w:t xml:space="preserve">
      </w:t>
      </w:r>
      <w:r>
        <w:rPr>
          <w:rFonts w:ascii="Times New Roman"/>
          <w:b/>
          <w:i w:val="false"/>
          <w:color w:val="000000"/>
          <w:sz w:val="28"/>
        </w:rPr>
        <w:t>Прочие доходы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4317"/>
        <w:gridCol w:w="4317"/>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выбытия дочерних организаций</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23.916.000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4.823.000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от обменных операций с иностранной валютой</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выгодной покупки при приобретении</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от операций с финансовыми инструментами, учитываемыми по справедливой стоимости через прибыль или убыток</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16.033.000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57.182.000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43.220.000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82.355.000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65.285.000</w:t>
            </w:r>
          </w:p>
        </w:tc>
      </w:tr>
    </w:tbl>
    <w:p>
      <w:pPr>
        <w:spacing w:after="0"/>
        <w:ind w:left="0"/>
        <w:jc w:val="left"/>
      </w:pPr>
      <w:r>
        <w:br/>
      </w:r>
      <w:r>
        <w:rPr>
          <w:rFonts w:ascii="Times New Roman"/>
          <w:b w:val="false"/>
          <w:i w:val="false"/>
          <w:color w:val="000000"/>
          <w:sz w:val="28"/>
        </w:rPr>
        <w:t>
</w:t>
      </w:r>
    </w:p>
    <w:bookmarkStart w:name="z344" w:id="343"/>
    <w:p>
      <w:pPr>
        <w:spacing w:after="0"/>
        <w:ind w:left="0"/>
        <w:jc w:val="both"/>
      </w:pPr>
      <w:r>
        <w:rPr>
          <w:rFonts w:ascii="Times New Roman"/>
          <w:b w:val="false"/>
          <w:i w:val="false"/>
          <w:color w:val="000000"/>
          <w:sz w:val="28"/>
        </w:rPr>
        <w:t xml:space="preserve">
      </w:t>
      </w:r>
      <w:r>
        <w:rPr>
          <w:rFonts w:ascii="Times New Roman"/>
          <w:b/>
          <w:i w:val="false"/>
          <w:color w:val="000000"/>
          <w:sz w:val="28"/>
        </w:rPr>
        <w:t>Доходы по финансированию</w:t>
      </w:r>
    </w:p>
    <w:bookmarkEnd w:id="343"/>
    <w:p>
      <w:pPr>
        <w:spacing w:after="0"/>
        <w:ind w:left="0"/>
        <w:jc w:val="both"/>
      </w:pPr>
      <w:r>
        <w:rPr>
          <w:rFonts w:ascii="Times New Roman"/>
          <w:b w:val="false"/>
          <w:i w:val="false"/>
          <w:color w:val="000000"/>
          <w:sz w:val="28"/>
        </w:rPr>
        <w:t>
      Доходы по финансированию за годы, закончившиеся 31 декабря, включает: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4651"/>
        <w:gridCol w:w="4651"/>
      </w:tblGrid>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средствам в кредитных учреждениях и денежным средствам и их эквивалентам</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61.690.000</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37.397.000</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займам и финансовым активам</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4.699.000</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5.642.000</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полученным дивидендам</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10.094.000</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7.357.000</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7.419.000</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5.375.000</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83.902.000</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55.771.000</w:t>
            </w:r>
          </w:p>
        </w:tc>
      </w:tr>
    </w:tbl>
    <w:p>
      <w:pPr>
        <w:spacing w:after="0"/>
        <w:ind w:left="0"/>
        <w:jc w:val="left"/>
      </w:pPr>
      <w:r>
        <w:br/>
      </w:r>
      <w:r>
        <w:rPr>
          <w:rFonts w:ascii="Times New Roman"/>
          <w:b w:val="false"/>
          <w:i w:val="false"/>
          <w:color w:val="000000"/>
          <w:sz w:val="28"/>
        </w:rPr>
        <w:t>
</w:t>
      </w:r>
    </w:p>
    <w:bookmarkStart w:name="z345" w:id="344"/>
    <w:p>
      <w:pPr>
        <w:spacing w:after="0"/>
        <w:ind w:left="0"/>
        <w:jc w:val="both"/>
      </w:pPr>
      <w:r>
        <w:rPr>
          <w:rFonts w:ascii="Times New Roman"/>
          <w:b w:val="false"/>
          <w:i w:val="false"/>
          <w:color w:val="000000"/>
          <w:sz w:val="28"/>
        </w:rPr>
        <w:t xml:space="preserve">
      </w:t>
      </w:r>
      <w:r>
        <w:rPr>
          <w:rFonts w:ascii="Times New Roman"/>
          <w:b/>
          <w:i w:val="false"/>
          <w:color w:val="000000"/>
          <w:sz w:val="28"/>
        </w:rPr>
        <w:t>Расходы по финансированию</w:t>
      </w:r>
    </w:p>
    <w:bookmarkEnd w:id="344"/>
    <w:p>
      <w:pPr>
        <w:spacing w:after="0"/>
        <w:ind w:left="0"/>
        <w:jc w:val="both"/>
      </w:pPr>
      <w:r>
        <w:rPr>
          <w:rFonts w:ascii="Times New Roman"/>
          <w:b w:val="false"/>
          <w:i w:val="false"/>
          <w:color w:val="000000"/>
          <w:sz w:val="28"/>
        </w:rPr>
        <w:t>
      Расходы по финансированию за годы, закончившиеся 31 декабря, включают: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5029"/>
        <w:gridCol w:w="5029"/>
      </w:tblGrid>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по займам и выпущенным долговым ценным бумагам</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200.473.000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167.533.000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 сумму дисконта по резервам и прочей задолженности</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убыток по производным инструментам</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процентам по финансовой аренде</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230.746.000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208.751.000</w:t>
            </w:r>
          </w:p>
        </w:tc>
      </w:tr>
    </w:tbl>
    <w:p>
      <w:pPr>
        <w:spacing w:after="0"/>
        <w:ind w:left="0"/>
        <w:jc w:val="left"/>
      </w:pPr>
      <w:r>
        <w:br/>
      </w:r>
      <w:r>
        <w:rPr>
          <w:rFonts w:ascii="Times New Roman"/>
          <w:b w:val="false"/>
          <w:i w:val="false"/>
          <w:color w:val="000000"/>
          <w:sz w:val="28"/>
        </w:rPr>
        <w:t>
</w:t>
      </w:r>
    </w:p>
    <w:bookmarkStart w:name="z346" w:id="345"/>
    <w:p>
      <w:pPr>
        <w:spacing w:after="0"/>
        <w:ind w:left="0"/>
        <w:jc w:val="both"/>
      </w:pPr>
      <w:r>
        <w:rPr>
          <w:rFonts w:ascii="Times New Roman"/>
          <w:b w:val="false"/>
          <w:i w:val="false"/>
          <w:color w:val="000000"/>
          <w:sz w:val="28"/>
        </w:rPr>
        <w:t xml:space="preserve">
      </w:t>
      </w:r>
      <w:r>
        <w:rPr>
          <w:rFonts w:ascii="Times New Roman"/>
          <w:b/>
          <w:i w:val="false"/>
          <w:color w:val="000000"/>
          <w:sz w:val="28"/>
        </w:rPr>
        <w:t>Доля организации в прибыли (убытке) ассоциированных организаций и совместной деятельности, учитываемых по методу долевого участия</w:t>
      </w:r>
    </w:p>
    <w:bookmarkEnd w:id="345"/>
    <w:p>
      <w:pPr>
        <w:spacing w:after="0"/>
        <w:ind w:left="0"/>
        <w:jc w:val="both"/>
      </w:pPr>
      <w:r>
        <w:rPr>
          <w:rFonts w:ascii="Times New Roman"/>
          <w:b w:val="false"/>
          <w:i w:val="false"/>
          <w:color w:val="000000"/>
          <w:sz w:val="28"/>
        </w:rPr>
        <w:t>
      Доля организации в прибыли (убытке) ассоциированных организаций и совместной деятельности, учитываемых по методу долевого участия за годы, закончившиеся 31 декабря, включает: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5"/>
        <w:gridCol w:w="3627"/>
        <w:gridCol w:w="3628"/>
      </w:tblGrid>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"Тенгизшевройл"</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295.908.000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267.829.000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 Инвестментс Б.В.</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64.636.000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КазГерМунай"</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43.216.000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38.358.000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Инк.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23.747.000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"КазРосГаз"</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"Экибастузская ГРЭС-1" ("ЭГРЭС-1")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"Казахстанско-Китайский Трубопровод"</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"Казахойл-Актобе"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"КАТКО"</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"Экибастузская ГРЭС-2" ("ЭГРЕС-2")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"Каратау"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"Казцинк"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Sekerbank T.A.S.</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546.342.000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540.513.000</w:t>
            </w:r>
          </w:p>
        </w:tc>
      </w:tr>
    </w:tbl>
    <w:p>
      <w:pPr>
        <w:spacing w:after="0"/>
        <w:ind w:left="0"/>
        <w:jc w:val="left"/>
      </w:pPr>
      <w:r>
        <w:br/>
      </w:r>
      <w:r>
        <w:rPr>
          <w:rFonts w:ascii="Times New Roman"/>
          <w:b w:val="false"/>
          <w:i w:val="false"/>
          <w:color w:val="000000"/>
          <w:sz w:val="28"/>
        </w:rPr>
        <w:t>
</w:t>
      </w:r>
    </w:p>
    <w:bookmarkStart w:name="z347" w:id="346"/>
    <w:p>
      <w:pPr>
        <w:spacing w:after="0"/>
        <w:ind w:left="0"/>
        <w:jc w:val="both"/>
      </w:pPr>
      <w:r>
        <w:rPr>
          <w:rFonts w:ascii="Times New Roman"/>
          <w:b w:val="false"/>
          <w:i w:val="false"/>
          <w:color w:val="000000"/>
          <w:sz w:val="28"/>
        </w:rPr>
        <w:t xml:space="preserve">
      </w:t>
      </w:r>
      <w:r>
        <w:rPr>
          <w:rFonts w:ascii="Times New Roman"/>
          <w:b/>
          <w:i w:val="false"/>
          <w:color w:val="000000"/>
          <w:sz w:val="28"/>
        </w:rPr>
        <w:t>Расходы по подоходному налогу</w:t>
      </w:r>
    </w:p>
    <w:bookmarkEnd w:id="346"/>
    <w:p>
      <w:pPr>
        <w:spacing w:after="0"/>
        <w:ind w:left="0"/>
        <w:jc w:val="both"/>
      </w:pPr>
      <w:r>
        <w:rPr>
          <w:rFonts w:ascii="Times New Roman"/>
          <w:b w:val="false"/>
          <w:i w:val="false"/>
          <w:color w:val="000000"/>
          <w:sz w:val="28"/>
        </w:rPr>
        <w:t>
      За годы, закончившиеся 31 декабря, расходы по подоходному налогу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5050"/>
        <w:gridCol w:w="5051"/>
      </w:tblGrid>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текущему подоходному налогу</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145.016.000</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149.027.000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 выплаты по дивидендам и вознаграждениям</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62.579.000</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8.475.000</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Расход/(экономия) по отсроченному подоходному налогу</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48.971.000</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 выплаты по дивидендам и вознаграждениям</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7.077.000</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5.126.000</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277.244.000</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243.789.000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и 2012 года перенос налоговых убытков в Республике Казахстан истекает в налоговых целях через 10 (десять) лет с даты их возникновения.</w:t>
      </w:r>
    </w:p>
    <w:p>
      <w:pPr>
        <w:spacing w:after="0"/>
        <w:ind w:left="0"/>
        <w:jc w:val="both"/>
      </w:pPr>
      <w:r>
        <w:rPr>
          <w:rFonts w:ascii="Times New Roman"/>
          <w:b w:val="false"/>
          <w:i w:val="false"/>
          <w:color w:val="000000"/>
          <w:sz w:val="28"/>
        </w:rPr>
        <w:t xml:space="preserve">
      Сверка расходов по подоходному налогу, рассчитанных от бухгалтерской прибыли до учета подоходного налога по нормативной ставке подоходного налога (20% в 2013 и 2012 годах) к расходам по подоходному налогу, представлена следующим образом за годы, закончившиеся 31 декабря: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2"/>
        <w:gridCol w:w="4665"/>
        <w:gridCol w:w="4283"/>
      </w:tblGrid>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(пересчитано)</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до учета подоходного налога от продолжающейся деятельности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889.973.000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801.624.000</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 (прибыль) до учета подоходного налога от прекращенной деятельности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(177.801.000)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589.737.000</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 по бухгалтерской прибыли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142.434.000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278.272.000</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выбытия прекращенной деятельности, не облагаемый налогом</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(40.007.000)</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облигациям на восстановление, признанные БТА Банком</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(74.278.000)</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группы выбытия</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31.746.000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эффект статей, не относимых на вычеты или не подлежащих обложению в целях налогообложения</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57.585.000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90.147.000</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13.601.000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27.353.000</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различных ставок корпоративного подоходного налога</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15.929.000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13.500.000</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в совместных предприятиях и ассоциированных компаниях, не облагаемая налогом</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(63.844.000)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(67.137.000)</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непризнанных активах по отсроченному налогу</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74.964.000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23.935.000</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корпоративному подоходному налогу</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272.415.000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251.785.000</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экономии / (расходов) по подоходному налогу, относящихся к прекращенной деятельности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4.829.000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(7.996.000)</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 от продолжающейся деятельности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277.244.000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243.789.000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Сальдо отложенного налога, рассчитанного посредством применения установленных законом ставок налога, действующих на отчетную дату, к временным разницам между налоговой основой для расчета активов и обязательств и суммами, отраженными в консолидированных формах финансовой отчетности, включают следующее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620"/>
        <w:gridCol w:w="1353"/>
        <w:gridCol w:w="1487"/>
        <w:gridCol w:w="1620"/>
        <w:gridCol w:w="1620"/>
        <w:gridCol w:w="1353"/>
        <w:gridCol w:w="1487"/>
        <w:gridCol w:w="1620"/>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активы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19.200.000</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Перенесенные налоговые убытки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240.080.000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517.870.000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517.870.000</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обязательства в отношении работников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8.216.000</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активов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122.057.000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122.057.000</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обязательству за загрязнение окружающей среды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2.497.000</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начисления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31.836.000</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непризнанные отложенные налоговые активы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(201.619.000)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(569.666.000)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(569.666.000)</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отложенные налоговые активы, зачтенные с отложенными налоговыми обязательствами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(74.846.000)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(59.799.000)</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активы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77.964.000</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обязательства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334.979.000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338.013.000</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совместных предприятий и ассоциированных компаний</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39.724.000</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19.012.000</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отложенные налоговые активы, зачтенные с отложенными налоговыми обязательствами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(74.846.000)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(59.799.000)</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обязательства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295.412.000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336.950.000</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отложенные налоговые обязательства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(287.544.000)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(335.835.000)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(222.898.000)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годы, закончившиеся 31 декабря, изменения в чистых отложенных налоговых обязательствах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514"/>
        <w:gridCol w:w="1421"/>
        <w:gridCol w:w="1374"/>
        <w:gridCol w:w="1514"/>
        <w:gridCol w:w="1514"/>
        <w:gridCol w:w="1421"/>
        <w:gridCol w:w="1375"/>
        <w:gridCol w:w="1516"/>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1 января</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222.898.000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258.986.000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209.625.000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35.510.000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Пересчет валюты отчетности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Отражено в прочем совокупном доходе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дочерних компаний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Прекращенная деятельность (Примечание 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Отражено в прибылях и убытках</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42.335.000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31 декабря</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287.544.000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335.835.000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222.898.000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39.724.000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31 декабря 2013 года непризнанные активы в размере 201.619.000 тысяч тенге, в основном, относились к перенесенным налоговым убыткам некоторых дочерних организаций Фонда (2012 год: 569.666.000 тысяч тенге), которые могут быть зачтены против будущей налогооблагаемой прибыли в течение 10 (десяти) последовательных лет. Уменьшение в непризнанных отложенных налоговых активах в размере 443.011.000 тысяч тенге связано с выбытием и переводом в состав активов, классифицированных как предназначенных для продажи, некоторых дочерних организаций Группы </w:t>
      </w:r>
      <w:r>
        <w:rPr>
          <w:rFonts w:ascii="Times New Roman"/>
          <w:b w:val="false"/>
          <w:i/>
          <w:color w:val="000000"/>
          <w:sz w:val="28"/>
        </w:rPr>
        <w:t>(Примечание 6)</w:t>
      </w:r>
      <w:r>
        <w:rPr>
          <w:rFonts w:ascii="Times New Roman"/>
          <w:b w:val="false"/>
          <w:i w:val="false"/>
          <w:color w:val="000000"/>
          <w:sz w:val="28"/>
        </w:rPr>
        <w:t xml:space="preserve">. В отношении этих убытков не были признаны отложенные налоговые активы, поскольку они не могут быть зачтены против налогооблагаемой прибыли от прочих операционных сегментов Группы, и они возникли от деятельности, которая является убыточной в течение некоторого времени. Группа провела анализ и пришла к выводу, что вероятность возмещения отложенных налоговых активов по текущим налоговым убыткам не является вероятной. Если бы Группа могла признать все непризнанные отложенные налоговые активы, чистая прибыль в 2013 году увеличилась бы на 201.619.000 тысяч тенге. </w:t>
      </w:r>
    </w:p>
    <w:bookmarkStart w:name="z348" w:id="347"/>
    <w:p>
      <w:pPr>
        <w:spacing w:after="0"/>
        <w:ind w:left="0"/>
        <w:jc w:val="both"/>
      </w:pPr>
      <w:r>
        <w:rPr>
          <w:rFonts w:ascii="Times New Roman"/>
          <w:b w:val="false"/>
          <w:i w:val="false"/>
          <w:color w:val="000000"/>
          <w:sz w:val="28"/>
        </w:rPr>
        <w:t xml:space="preserve">
      </w:t>
      </w:r>
      <w:r>
        <w:rPr>
          <w:rFonts w:ascii="Times New Roman"/>
          <w:b/>
          <w:i w:val="false"/>
          <w:color w:val="000000"/>
          <w:sz w:val="28"/>
        </w:rPr>
        <w:t>9. КОНСОЛИДАЦИЯ</w:t>
      </w:r>
    </w:p>
    <w:bookmarkEnd w:id="347"/>
    <w:p>
      <w:pPr>
        <w:spacing w:after="0"/>
        <w:ind w:left="0"/>
        <w:jc w:val="both"/>
      </w:pPr>
      <w:r>
        <w:rPr>
          <w:rFonts w:ascii="Times New Roman"/>
          <w:b w:val="false"/>
          <w:i w:val="false"/>
          <w:color w:val="000000"/>
          <w:sz w:val="28"/>
        </w:rPr>
        <w:t>
      Следующие дочерние организации были включены в данные консолидированные формы финансовой отчетности: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5"/>
        <w:gridCol w:w="2242"/>
        <w:gridCol w:w="2243"/>
      </w:tblGrid>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"КазМунайГаз" ("НК КМГ") 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"Национальная Компания "Казақстан Темір Жолы" ("НК КТЖ") и дочерние организации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"Национальная Атомная Компания "КазАтомПром"("НАК КАП") и дочерние организации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 ("КТК") 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"Самрук–Энерго" ("Самрук-Энерго") 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"Казахстанская компания по управлению электрическими сетями" ("KEGOC") и дочерние организации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"Эйр Астана" ("Эйр Астана")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 ("БТА Банк")и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"Альянс Банк" ("Альянс Банк") 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"Казпочта" 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"Национальная Компания "Казахстан Инжиниринг" ("Казахстан Инжиниринг") и дочерние организации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недвижимости Самрук-Казына"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Актобе"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"Самрук-Казына Контракт"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Горнорудная Компания "Тау-Кен Самрук" 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"КазНИИ энергетики имени академика Ш.Ч. Чокина"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"Объединенная химическая компания" и дочерние организации ("ОХК")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"Самрук-Қазына Инвест"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"КОРЭМ"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Атырау"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"Аэропорт Павлодар"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"Карагандагипрошахт и 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"Темiрбанк"**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SLP</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IM</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Management</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 Финанс"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Геологическая Компания "Казгеология"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"СК-Фармация"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"Экспортно-кредитная страховая корпорация КазЭкспоГарант" (ГСК по страхованию экспортных кредитов и инвестиций)</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"Досжан Темир Жолы"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"Инвестиционный Фонд Казахстана"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Развития Казахстана" ("БРК") 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развития предпринимательства "Даму" ("Даму")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"Kazyna Capital Management" и дочерние 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"Восточно-Казахстанская региональная энергетическая компания"*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С 14 марта 2013 года АО "Восточно-Казахстанская региональная энергетическая компания" входит в состав АО "Самрук-Энерго", как дочерняя организация.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 состоянию на 31 декабря 2013 года Группа признала выбытие институтов развития и финансовых организаций как прекращенную деятельность. </w:t>
      </w:r>
      <w:r>
        <w:rPr>
          <w:rFonts w:ascii="Times New Roman"/>
          <w:b w:val="false"/>
          <w:i w:val="false"/>
          <w:color w:val="000000"/>
          <w:sz w:val="28"/>
        </w:rPr>
        <w:t xml:space="preserve"> </w:t>
      </w:r>
    </w:p>
    <w:bookmarkStart w:name="z349" w:id="348"/>
    <w:p>
      <w:pPr>
        <w:spacing w:after="0"/>
        <w:ind w:left="0"/>
        <w:jc w:val="both"/>
      </w:pPr>
      <w:r>
        <w:rPr>
          <w:rFonts w:ascii="Times New Roman"/>
          <w:b w:val="false"/>
          <w:i w:val="false"/>
          <w:color w:val="000000"/>
          <w:sz w:val="28"/>
        </w:rPr>
        <w:t xml:space="preserve">
      </w:t>
      </w:r>
      <w:r>
        <w:rPr>
          <w:rFonts w:ascii="Times New Roman"/>
          <w:b/>
          <w:i w:val="false"/>
          <w:color w:val="000000"/>
          <w:sz w:val="28"/>
        </w:rPr>
        <w:t>10. СУЩЕСТВЕННЫЕ НЕДЕНЕЖНЫЕ СДЕЛКИ</w:t>
      </w:r>
    </w:p>
    <w:bookmarkEnd w:id="348"/>
    <w:p>
      <w:pPr>
        <w:spacing w:after="0"/>
        <w:ind w:left="0"/>
        <w:jc w:val="both"/>
      </w:pPr>
      <w:r>
        <w:rPr>
          <w:rFonts w:ascii="Times New Roman"/>
          <w:b w:val="false"/>
          <w:i w:val="false"/>
          <w:color w:val="000000"/>
          <w:sz w:val="28"/>
        </w:rPr>
        <w:t>
      Следующие существенные неденежные операции были исключены из консолидированного отчета о движении денежных средств:</w:t>
      </w:r>
    </w:p>
    <w:p>
      <w:pPr>
        <w:spacing w:after="0"/>
        <w:ind w:left="0"/>
        <w:jc w:val="both"/>
      </w:pPr>
      <w:r>
        <w:rPr>
          <w:rFonts w:ascii="Times New Roman"/>
          <w:b w:val="false"/>
          <w:i w:val="false"/>
          <w:color w:val="000000"/>
          <w:sz w:val="28"/>
        </w:rPr>
        <w:t>
      В 2013 году Группа получила от Акционера вклады в уставный капитал в форме газопроводов высокого, среднего и низкого давления и сооружений на них, находящихся на территории Западно-Казахстанской, Жамбылской и Актюбинской областей в сумме 9.808.000 тысяч тенге и принадлежащие государству акции АО "Национальная Компания "Актауский Международный Торговый Морской Порт" в размере 26.234.000 тысяч тенге.</w:t>
      </w:r>
    </w:p>
    <w:p>
      <w:pPr>
        <w:spacing w:after="0"/>
        <w:ind w:left="0"/>
        <w:jc w:val="both"/>
      </w:pPr>
      <w:r>
        <w:rPr>
          <w:rFonts w:ascii="Times New Roman"/>
          <w:b w:val="false"/>
          <w:i w:val="false"/>
          <w:color w:val="000000"/>
          <w:sz w:val="28"/>
        </w:rPr>
        <w:t xml:space="preserve">
      В 2012 году Группа получила от Акционера некоторые акции, в том числе долю участия в Карачаганакский Проектный Консорциум, и прочее имущество в качестве вклада в уставный капитал и по договорам мены </w:t>
      </w:r>
      <w:r>
        <w:rPr>
          <w:rFonts w:ascii="Times New Roman"/>
          <w:b w:val="false"/>
          <w:i/>
          <w:color w:val="000000"/>
          <w:sz w:val="28"/>
        </w:rPr>
        <w:t>(Примечание 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 состоянию на 31 декабря 2013 года, кредиторская задолженность за приобретенные основные средства увеличилась на 25.610.000 тысяч тенге (2012: 95.343.000 тысяч тенге). </w:t>
      </w:r>
    </w:p>
    <w:p>
      <w:pPr>
        <w:spacing w:after="0"/>
        <w:ind w:left="0"/>
        <w:jc w:val="both"/>
      </w:pPr>
      <w:r>
        <w:rPr>
          <w:rFonts w:ascii="Times New Roman"/>
          <w:b w:val="false"/>
          <w:i w:val="false"/>
          <w:color w:val="000000"/>
          <w:sz w:val="28"/>
        </w:rPr>
        <w:t xml:space="preserve">
      В 2013 году Группа получила основные средства по договорам финансовой аренды стоимостью 52.724.000 тысячи тенге (2012: 35.290.000 тысяч тенге). </w:t>
      </w:r>
    </w:p>
    <w:p>
      <w:pPr>
        <w:spacing w:after="0"/>
        <w:ind w:left="0"/>
        <w:jc w:val="both"/>
      </w:pPr>
      <w:r>
        <w:rPr>
          <w:rFonts w:ascii="Times New Roman"/>
          <w:b w:val="false"/>
          <w:i w:val="false"/>
          <w:color w:val="000000"/>
          <w:sz w:val="28"/>
        </w:rPr>
        <w:t>
      В январе 2013 года Фонд разместил купонные облигации по ставкам ниже рыночных, которые были выкуплены Национальным Банком Республики Казахстан. Дисконт при первоначальном признании данных обязательств в сумме 249.828.000 тысяч тенге был отражен в качестве единовременного дохода в консолидированном отчете об изменениях в капитале.</w:t>
      </w:r>
    </w:p>
    <w:p>
      <w:pPr>
        <w:spacing w:after="0"/>
        <w:ind w:left="0"/>
        <w:jc w:val="both"/>
      </w:pPr>
      <w:r>
        <w:rPr>
          <w:rFonts w:ascii="Times New Roman"/>
          <w:b w:val="false"/>
          <w:i w:val="false"/>
          <w:color w:val="000000"/>
          <w:sz w:val="28"/>
        </w:rPr>
        <w:t>
      В 2013 году Группа увеличила резерв, связанный с расходами в результате строительства социальных объектов в г. Астана, реконструкции Выставочного Центра в г. Москва по поручениям Акционера, и Щучинско – Боровской курортной зоны, утвержденного Правительством и признала в качестве распределения Акционеру. Группа также сторнировала распределения Акционеру, которые связаны с обязательствами Группы по передаче Северо-Каспийской экологической базы реагирования на розливы нефти (СКЭБР) в ведение Министерства по чрезвычайным ситуациям Республики Казахстан, на общую сумму 26.768.000 тысяч тенге (2012: 50.135.000 тысяч тенге).</w:t>
      </w:r>
    </w:p>
    <w:p>
      <w:pPr>
        <w:spacing w:after="0"/>
        <w:ind w:left="0"/>
        <w:jc w:val="both"/>
      </w:pPr>
      <w:r>
        <w:rPr>
          <w:rFonts w:ascii="Times New Roman"/>
          <w:b w:val="false"/>
          <w:i w:val="false"/>
          <w:color w:val="000000"/>
          <w:sz w:val="28"/>
        </w:rPr>
        <w:t>
      В 2013 году Группа приобрела основные средства путем получения займов в сумме 17.854.000 тысяч тенге (2012: ноль)</w:t>
      </w:r>
    </w:p>
    <w:p>
      <w:pPr>
        <w:spacing w:after="0"/>
        <w:ind w:left="0"/>
        <w:jc w:val="both"/>
      </w:pPr>
      <w:r>
        <w:rPr>
          <w:rFonts w:ascii="Times New Roman"/>
          <w:b w:val="false"/>
          <w:i w:val="false"/>
          <w:color w:val="000000"/>
          <w:sz w:val="28"/>
        </w:rPr>
        <w:t xml:space="preserve">
      В 2013 году Группа капитализировала в балансовую стоимость основных средств суммы по увеличению резерва по обязательствам по выбытию активов и обязательству за ущерб окружающей среде на сумму 8.740.000 тысяч тенге (2012: 16.727.000 тысяч тенге). </w:t>
      </w:r>
    </w:p>
    <w:p>
      <w:pPr>
        <w:spacing w:after="0"/>
        <w:ind w:left="0"/>
        <w:jc w:val="both"/>
      </w:pPr>
      <w:r>
        <w:rPr>
          <w:rFonts w:ascii="Times New Roman"/>
          <w:b w:val="false"/>
          <w:i w:val="false"/>
          <w:color w:val="000000"/>
          <w:sz w:val="28"/>
        </w:rPr>
        <w:t xml:space="preserve">
      В 2013 году Группа капитализировала затраты по займам в размере 19.038.000 тысяч тенге (2012: 4.162.000 тысяч тенге). </w:t>
      </w:r>
    </w:p>
    <w:p>
      <w:pPr>
        <w:spacing w:after="0"/>
        <w:ind w:left="0"/>
        <w:jc w:val="both"/>
      </w:pPr>
      <w:r>
        <w:rPr>
          <w:rFonts w:ascii="Times New Roman"/>
          <w:b w:val="false"/>
          <w:i w:val="false"/>
          <w:color w:val="000000"/>
          <w:sz w:val="28"/>
        </w:rPr>
        <w:t>
      В 2012 году Фонд разместил купонные облигации по ставкам ниже рыночных, которые были выкуплены Национальным Банком Республики Казахстан и получил займы от Правительства по ставкам ниже рыночных. Дисконт облигаций при первоначальном признании в сумме 89.617.000 тысячи тенге был признан в качестве единовременного дохода в консолидированном отчете об изменениях в капитале.</w:t>
      </w:r>
    </w:p>
    <w:p>
      <w:pPr>
        <w:spacing w:after="0"/>
        <w:ind w:left="0"/>
        <w:jc w:val="both"/>
      </w:pPr>
      <w:r>
        <w:rPr>
          <w:rFonts w:ascii="Times New Roman"/>
          <w:b w:val="false"/>
          <w:i w:val="false"/>
          <w:color w:val="000000"/>
          <w:sz w:val="28"/>
        </w:rPr>
        <w:t xml:space="preserve">
      В 2012 году были зарегистрированы изменения относительно условий размещенных Фондом облигаций и выкупленных Национальным Банком Республики Казахстан. В соответствии с данными изменениями сроки обращения по данным облигациям были продлены до 2062 года и ставки вознаграждения были снижены до 0,01%. Изменения в проспекте привели к значительным изменениям в первоначальных условиях размещения облигаций, и, соответственно, к прекращению признания первоначального обязательства и признанию нового обязательства в соответствии с МСБУ 39. Разница между справедливой стоимостью нового обязательства и балансовой стоимостью первоначального обязательства на дату внесения изменений, в размере 304.650.000 тысяч тенге была признана в консолидированном отчете об изменениях в капитале. </w:t>
      </w:r>
    </w:p>
    <w:bookmarkStart w:name="z350" w:id="349"/>
    <w:p>
      <w:pPr>
        <w:spacing w:after="0"/>
        <w:ind w:left="0"/>
        <w:jc w:val="both"/>
      </w:pPr>
      <w:r>
        <w:rPr>
          <w:rFonts w:ascii="Times New Roman"/>
          <w:b w:val="false"/>
          <w:i w:val="false"/>
          <w:color w:val="000000"/>
          <w:sz w:val="28"/>
        </w:rPr>
        <w:t xml:space="preserve">
      </w:t>
      </w:r>
      <w:r>
        <w:rPr>
          <w:rFonts w:ascii="Times New Roman"/>
          <w:b/>
          <w:i w:val="false"/>
          <w:color w:val="000000"/>
          <w:sz w:val="28"/>
        </w:rPr>
        <w:t>11. РАСКРЫТИЕ ИНФОРМАЦИИ О СВЯЗАННЫХ СТОРОНАХ</w:t>
      </w:r>
    </w:p>
    <w:bookmarkEnd w:id="349"/>
    <w:p>
      <w:pPr>
        <w:spacing w:after="0"/>
        <w:ind w:left="0"/>
        <w:jc w:val="both"/>
      </w:pPr>
      <w:r>
        <w:rPr>
          <w:rFonts w:ascii="Times New Roman"/>
          <w:b w:val="false"/>
          <w:i w:val="false"/>
          <w:color w:val="000000"/>
          <w:sz w:val="28"/>
        </w:rPr>
        <w:t>
      В соответствии с МСБУ 24 "Раскрытия информации о связанных сторонах" стороны считаются связанными, если одна сторона имеет возможность контролировать другую сторону или осуществлять значительное влияние на другую сторону при принятии ею финансовых или операционных решений. При оценке возможного наличия отношений с каждой связанной стороной внимание уделяется сути взаимоотношений, а не только их юридическому оформлению.</w:t>
      </w:r>
    </w:p>
    <w:p>
      <w:pPr>
        <w:spacing w:after="0"/>
        <w:ind w:left="0"/>
        <w:jc w:val="both"/>
      </w:pPr>
      <w:r>
        <w:rPr>
          <w:rFonts w:ascii="Times New Roman"/>
          <w:b w:val="false"/>
          <w:i w:val="false"/>
          <w:color w:val="000000"/>
          <w:sz w:val="28"/>
        </w:rPr>
        <w:t>
      Связанные стороны включают в себя ключевой управляющий персонал Группы, организации, в которых ключевому управляющему персоналу Группы прямо или косвенно принадлежит существенная доля участия, а также прочие предприятия, контролируемые Правительством. Сделки со связанными сторонами осуществлялись на условиях, согласованных между сторонами, которые не обязательно соответствуют рыночным ставкам, за исключением некоторых регулируемых услуг, которые предоставлены на основании тарифов, предлагаемых для связанных и третьих сторон.</w:t>
      </w:r>
    </w:p>
    <w:p>
      <w:pPr>
        <w:spacing w:after="0"/>
        <w:ind w:left="0"/>
        <w:jc w:val="both"/>
      </w:pPr>
      <w:r>
        <w:rPr>
          <w:rFonts w:ascii="Times New Roman"/>
          <w:b w:val="false"/>
          <w:i w:val="false"/>
          <w:color w:val="000000"/>
          <w:sz w:val="28"/>
        </w:rPr>
        <w:t>
      Следующая таблица показывает общую сумму сделок, которые были совершены со связанными сторонами по состоянию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080"/>
        <w:gridCol w:w="2205"/>
        <w:gridCol w:w="2430"/>
        <w:gridCol w:w="2769"/>
        <w:gridCol w:w="2207"/>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предприятия, в которых Группа является участником</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предприятия, контролируемые государством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связанные стороны</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связанных сторон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339.000</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60.684.000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связанным сторонам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2.436.000</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52.693.000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 услуг</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60.667.000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222.474.000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73.016.000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1.984.000</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93.788.000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330.247.000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90.928.000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2.678.000</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и услуг</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40.271.000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331.902.000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2.894.000</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264.232.000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 вклады (обязательства)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624.000</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и средства в кредитных учреждениях (активы)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198.369.000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517.482.000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59.145.000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6.156.000</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41.802.000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19.835.000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27.159.000</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1.112.865.000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779.774.000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56.732.000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1.790.000</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33.157.000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143.356.000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50.502.000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полученное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4.392.000</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1.583.000</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58.973.000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49.232.000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31 декабря 2013 года ряд займов Группы в сумме 71.290.000 тысяч тенге был гарантирован Правительством Республики Казахстан (на 31 декабря 2012 года: 69.907.000 тысяч тенге). </w:t>
      </w:r>
    </w:p>
    <w:p>
      <w:pPr>
        <w:spacing w:after="0"/>
        <w:ind w:left="0"/>
        <w:jc w:val="both"/>
      </w:pPr>
      <w:r>
        <w:rPr>
          <w:rFonts w:ascii="Times New Roman"/>
          <w:b w:val="false"/>
          <w:i w:val="false"/>
          <w:color w:val="000000"/>
          <w:sz w:val="28"/>
        </w:rPr>
        <w:t>
      Общая сумма вознаграждений, выплаченных ключевому управленческому персоналу, включенная в расходы по заработной плате в прилагаемом консолидированном отчете о прибылях и убытках, составила 12.836.000 тысяч тенге за год, закончившийся 31 декабря 2013 года (2012: 11.979.000 тысяч тенге). Вознаграждение, выплаченное ключевому управленческому персоналу, преимущественно состоит из расходов по заработной плате, установленной контрактами, и премиями, основанными на операционных результатах.</w:t>
      </w:r>
    </w:p>
    <w:p>
      <w:pPr>
        <w:spacing w:after="0"/>
        <w:ind w:left="0"/>
        <w:jc w:val="both"/>
      </w:pPr>
      <w:r>
        <w:rPr>
          <w:rFonts w:ascii="Times New Roman"/>
          <w:b w:val="false"/>
          <w:i w:val="false"/>
          <w:color w:val="000000"/>
          <w:sz w:val="28"/>
        </w:rPr>
        <w:t>
      Правительство предоставляет некоторые субсидии дочерним организациям Группы.</w:t>
      </w:r>
    </w:p>
    <w:bookmarkStart w:name="z351" w:id="350"/>
    <w:p>
      <w:pPr>
        <w:spacing w:after="0"/>
        <w:ind w:left="0"/>
        <w:jc w:val="both"/>
      </w:pPr>
      <w:r>
        <w:rPr>
          <w:rFonts w:ascii="Times New Roman"/>
          <w:b w:val="false"/>
          <w:i w:val="false"/>
          <w:color w:val="000000"/>
          <w:sz w:val="28"/>
        </w:rPr>
        <w:t xml:space="preserve">
      </w:t>
      </w:r>
      <w:r>
        <w:rPr>
          <w:rFonts w:ascii="Times New Roman"/>
          <w:b/>
          <w:i w:val="false"/>
          <w:color w:val="000000"/>
          <w:sz w:val="28"/>
        </w:rPr>
        <w:t>12. ФИНАНСОВЫЕ ИНСТРУМЕНТЫ, ЦЕЛИ И ПОЛИТИКА УПРАВЛЕНИЯ ФИНАНСОВЫМИ РИСКАМИ</w:t>
      </w:r>
    </w:p>
    <w:bookmarkEnd w:id="350"/>
    <w:p>
      <w:pPr>
        <w:spacing w:after="0"/>
        <w:ind w:left="0"/>
        <w:jc w:val="both"/>
      </w:pPr>
      <w:r>
        <w:rPr>
          <w:rFonts w:ascii="Times New Roman"/>
          <w:b w:val="false"/>
          <w:i w:val="false"/>
          <w:color w:val="000000"/>
          <w:sz w:val="28"/>
        </w:rPr>
        <w:t>
      Основные финансовые инструменты Группы включают займы, займы от Правительства РК, обязательства по финансовой аренде, средства клиентов, производные инструменты, денежные средства и их эквиваленты, займы клиентам, средства в кредитных учреждениях, прочие финансовые активы, а также дебиторскую и кредиторскую задолженность. Основные риски, возникающие по финансовым инструментам Группы – это риск изменения процентных ставок, валютный риск и кредитный риск. Группа также отслеживает риск, связанный с ликвидностью, который возникает по всем финансовым инструментам.</w:t>
      </w:r>
    </w:p>
    <w:bookmarkStart w:name="z352" w:id="351"/>
    <w:p>
      <w:pPr>
        <w:spacing w:after="0"/>
        <w:ind w:left="0"/>
        <w:jc w:val="both"/>
      </w:pPr>
      <w:r>
        <w:rPr>
          <w:rFonts w:ascii="Times New Roman"/>
          <w:b w:val="false"/>
          <w:i w:val="false"/>
          <w:color w:val="000000"/>
          <w:sz w:val="28"/>
        </w:rPr>
        <w:t xml:space="preserve">
      </w:t>
      </w:r>
      <w:r>
        <w:rPr>
          <w:rFonts w:ascii="Times New Roman"/>
          <w:b/>
          <w:i w:val="false"/>
          <w:color w:val="000000"/>
          <w:sz w:val="28"/>
        </w:rPr>
        <w:t>Риск изменения процентных ставок</w:t>
      </w:r>
    </w:p>
    <w:bookmarkEnd w:id="351"/>
    <w:p>
      <w:pPr>
        <w:spacing w:after="0"/>
        <w:ind w:left="0"/>
        <w:jc w:val="both"/>
      </w:pPr>
      <w:r>
        <w:rPr>
          <w:rFonts w:ascii="Times New Roman"/>
          <w:b w:val="false"/>
          <w:i w:val="false"/>
          <w:color w:val="000000"/>
          <w:sz w:val="28"/>
        </w:rPr>
        <w:t>
      Риск изменения процентных ставок представляет собой риск колебания стоимости финансового инструмента в результате изменения ставок вознаграждения на рынке. Группа ограничивает риск изменения процентных ставок посредством осуществления контроля изменений ставок вознаграждения по валютам, в которых выражены ее собственные и заемные средства, а также ее инвестиции.</w:t>
      </w:r>
    </w:p>
    <w:p>
      <w:pPr>
        <w:spacing w:after="0"/>
        <w:ind w:left="0"/>
        <w:jc w:val="both"/>
      </w:pPr>
      <w:r>
        <w:rPr>
          <w:rFonts w:ascii="Times New Roman"/>
          <w:b w:val="false"/>
          <w:i w:val="false"/>
          <w:color w:val="000000"/>
          <w:sz w:val="28"/>
        </w:rPr>
        <w:t>
      Подверженность Группы риску изменения процентных ставок в основном относится к долгосрочным и краткосрочным долговым обязательствам Группы с плавающими процентными ставками.</w:t>
      </w:r>
    </w:p>
    <w:p>
      <w:pPr>
        <w:spacing w:after="0"/>
        <w:ind w:left="0"/>
        <w:jc w:val="both"/>
      </w:pPr>
      <w:r>
        <w:rPr>
          <w:rFonts w:ascii="Times New Roman"/>
          <w:b w:val="false"/>
          <w:i w:val="false"/>
          <w:color w:val="000000"/>
          <w:sz w:val="28"/>
        </w:rPr>
        <w:t>
      В следующей таблице представлена чувствительность прибыли Группы до учета подоходного налога (вследствие наличия займов с плавающими ставками вознаграждения) и капитала (вследствие изменения в справедливой стоимости инвестиций, имеющихся в наличии для продажи), к возможным изменениям в плавающих процентных ставках LIBOR при том условии, что все остальные параметры приняты величинами постоянными.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465"/>
        <w:gridCol w:w="4801"/>
        <w:gridCol w:w="4802"/>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(уменьшение) в базисных пунктах*</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прибыли и убытки</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влияние на капитал</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(1.034.000)/1.034.000</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(7.000)/7.000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(60.000)/60.000</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(285.000)/333.000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(284.000)/284.000</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(79.000)/105.000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(406.000)/426.000</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(1.351.000)/1.318.000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базисный пункт = 0,01%</w:t>
      </w:r>
    </w:p>
    <w:bookmarkStart w:name="z353" w:id="352"/>
    <w:p>
      <w:pPr>
        <w:spacing w:after="0"/>
        <w:ind w:left="0"/>
        <w:jc w:val="both"/>
      </w:pPr>
      <w:r>
        <w:rPr>
          <w:rFonts w:ascii="Times New Roman"/>
          <w:b w:val="false"/>
          <w:i w:val="false"/>
          <w:color w:val="000000"/>
          <w:sz w:val="28"/>
        </w:rPr>
        <w:t xml:space="preserve">
      </w:t>
      </w:r>
      <w:r>
        <w:rPr>
          <w:rFonts w:ascii="Times New Roman"/>
          <w:b/>
          <w:i w:val="false"/>
          <w:color w:val="000000"/>
          <w:sz w:val="28"/>
        </w:rPr>
        <w:t>Валютный риск</w:t>
      </w:r>
    </w:p>
    <w:bookmarkEnd w:id="352"/>
    <w:p>
      <w:pPr>
        <w:spacing w:after="0"/>
        <w:ind w:left="0"/>
        <w:jc w:val="both"/>
      </w:pPr>
      <w:r>
        <w:rPr>
          <w:rFonts w:ascii="Times New Roman"/>
          <w:b w:val="false"/>
          <w:i w:val="false"/>
          <w:color w:val="000000"/>
          <w:sz w:val="28"/>
        </w:rPr>
        <w:t>
      В результате значительных сумм займов, обязательств по финансовой аренде и торговой кредиторской задолженности, вкладов в банках, денежных средств и их эквивалентов и дебиторской задолженности, выраженных в долларах США, на консолидированное финансовое положение Группы может оказать значительное влияние изменения в обменных курсах доллара США к тенге.</w:t>
      </w:r>
    </w:p>
    <w:p>
      <w:pPr>
        <w:spacing w:after="0"/>
        <w:ind w:left="0"/>
        <w:jc w:val="both"/>
      </w:pPr>
      <w:r>
        <w:rPr>
          <w:rFonts w:ascii="Times New Roman"/>
          <w:b w:val="false"/>
          <w:i w:val="false"/>
          <w:color w:val="000000"/>
          <w:sz w:val="28"/>
        </w:rPr>
        <w:t xml:space="preserve">
      В следующей таблице представлена чувствительность прибыли Группы до учета подоходного налога к возможным изменениям в обменном курсе доллара США и евро при том условии, что все остальные параметры приняты величинами постоянными.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4215"/>
        <w:gridCol w:w="6739"/>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в обменных курсах</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прибыли и убытки</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(317.350.000)/(156.200.000)</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(13.426.000)/(6.713.000)</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(33.629.000)/33.629.000</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10,77%/(10,77%)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(1.854.000)/1.854.000</w:t>
            </w:r>
          </w:p>
        </w:tc>
      </w:tr>
    </w:tbl>
    <w:p>
      <w:pPr>
        <w:spacing w:after="0"/>
        <w:ind w:left="0"/>
        <w:jc w:val="left"/>
      </w:pPr>
      <w:r>
        <w:br/>
      </w:r>
      <w:r>
        <w:rPr>
          <w:rFonts w:ascii="Times New Roman"/>
          <w:b w:val="false"/>
          <w:i w:val="false"/>
          <w:color w:val="000000"/>
          <w:sz w:val="28"/>
        </w:rPr>
        <w:t>
</w:t>
      </w:r>
    </w:p>
    <w:bookmarkStart w:name="z354" w:id="353"/>
    <w:p>
      <w:pPr>
        <w:spacing w:after="0"/>
        <w:ind w:left="0"/>
        <w:jc w:val="both"/>
      </w:pPr>
      <w:r>
        <w:rPr>
          <w:rFonts w:ascii="Times New Roman"/>
          <w:b w:val="false"/>
          <w:i w:val="false"/>
          <w:color w:val="000000"/>
          <w:sz w:val="28"/>
        </w:rPr>
        <w:t xml:space="preserve">
      </w:t>
      </w:r>
      <w:r>
        <w:rPr>
          <w:rFonts w:ascii="Times New Roman"/>
          <w:b/>
          <w:i w:val="false"/>
          <w:color w:val="000000"/>
          <w:sz w:val="28"/>
        </w:rPr>
        <w:t>Кредитный риск</w:t>
      </w:r>
    </w:p>
    <w:bookmarkEnd w:id="353"/>
    <w:p>
      <w:pPr>
        <w:spacing w:after="0"/>
        <w:ind w:left="0"/>
        <w:jc w:val="both"/>
      </w:pPr>
      <w:r>
        <w:rPr>
          <w:rFonts w:ascii="Times New Roman"/>
          <w:b w:val="false"/>
          <w:i w:val="false"/>
          <w:color w:val="000000"/>
          <w:sz w:val="28"/>
        </w:rPr>
        <w:t>
      Кредитный риск, возникающий в результате невыполнения контрагентами условий договоров с финансовыми инструментами Группы, обычно ограничивается суммами, при наличии таковых, на которые величина обязательств контрагентов превышает обязательства Группы перед этими контрагентами. Политика Группы предусматривает совершение операций с финансовыми инструментами с рядом кредитоспособных контрагентов. Максимальная величина подверженности кредитному риску равна балансовой стоимости каждого финансового актива. Группа считает, что максимальная величина ее риска отражается суммой займов клиентам, суммой средств в кредитных учреждениях, торговой дебиторской задолженности и прочих текущих активов, прочих финансовых активов и денежных средств и их эквивалентов, за вычетом резервов на обесценение, отраженных на отчетную дату.</w:t>
      </w:r>
    </w:p>
    <w:p>
      <w:pPr>
        <w:spacing w:after="0"/>
        <w:ind w:left="0"/>
        <w:jc w:val="both"/>
      </w:pPr>
      <w:r>
        <w:rPr>
          <w:rFonts w:ascii="Times New Roman"/>
          <w:b w:val="false"/>
          <w:i w:val="false"/>
          <w:color w:val="000000"/>
          <w:sz w:val="28"/>
        </w:rPr>
        <w:t>
      Концентрация кредитного риска может возникать при наличии нескольких сумм задолженности от одного заемщика или от группы заемщиков со сходными условиями деятельности, в отношении которых есть основания ожидать, что изменения экономических условий или иных обстоятельств могут одинаково повлиять на их способность выполнять свои обязательства.</w:t>
      </w:r>
    </w:p>
    <w:p>
      <w:pPr>
        <w:spacing w:after="0"/>
        <w:ind w:left="0"/>
        <w:jc w:val="both"/>
      </w:pPr>
      <w:r>
        <w:rPr>
          <w:rFonts w:ascii="Times New Roman"/>
          <w:b w:val="false"/>
          <w:i w:val="false"/>
          <w:color w:val="000000"/>
          <w:sz w:val="28"/>
        </w:rPr>
        <w:t>
      В Группе действует политика, предусматривающая постоянный контроль за тем, чтобы сделки заключались с заказчиками, имеющими адекватную кредитную историю, и не превышали установленных лимитов кредитования. Кредитный риск снижается благодаря тому факту, что Группа работает с большинством своих клиентов на основе предоплаты.</w:t>
      </w:r>
    </w:p>
    <w:bookmarkStart w:name="z355" w:id="354"/>
    <w:p>
      <w:pPr>
        <w:spacing w:after="0"/>
        <w:ind w:left="0"/>
        <w:jc w:val="both"/>
      </w:pPr>
      <w:r>
        <w:rPr>
          <w:rFonts w:ascii="Times New Roman"/>
          <w:b w:val="false"/>
          <w:i w:val="false"/>
          <w:color w:val="000000"/>
          <w:sz w:val="28"/>
        </w:rPr>
        <w:t xml:space="preserve">
      </w:t>
      </w:r>
      <w:r>
        <w:rPr>
          <w:rFonts w:ascii="Times New Roman"/>
          <w:b/>
          <w:i w:val="false"/>
          <w:color w:val="000000"/>
          <w:sz w:val="28"/>
        </w:rPr>
        <w:t>Риск ликвидности</w:t>
      </w:r>
    </w:p>
    <w:bookmarkEnd w:id="354"/>
    <w:p>
      <w:pPr>
        <w:spacing w:after="0"/>
        <w:ind w:left="0"/>
        <w:jc w:val="both"/>
      </w:pPr>
      <w:r>
        <w:rPr>
          <w:rFonts w:ascii="Times New Roman"/>
          <w:b w:val="false"/>
          <w:i w:val="false"/>
          <w:color w:val="000000"/>
          <w:sz w:val="28"/>
        </w:rPr>
        <w:t>
      Риск ликвидности связан с возможностью того, что Группа столкнется с трудностями при привлечении средств для выполнения своих финансовых обязательств. Риск ликвидности может возникнуть в результате невозможности оперативно реализовать финансовый актив по стоимости, приближающейся к его справедливой стоимости.</w:t>
      </w:r>
    </w:p>
    <w:p>
      <w:pPr>
        <w:spacing w:after="0"/>
        <w:ind w:left="0"/>
        <w:jc w:val="both"/>
      </w:pPr>
      <w:r>
        <w:rPr>
          <w:rFonts w:ascii="Times New Roman"/>
          <w:b w:val="false"/>
          <w:i w:val="false"/>
          <w:color w:val="000000"/>
          <w:sz w:val="28"/>
        </w:rPr>
        <w:t>
      Требования к ликвидности регулярно контролируются и руководство следит за наличием средств в объеме, достаточном для выполнения обязательств по мере их возникновения.</w:t>
      </w:r>
    </w:p>
    <w:p>
      <w:pPr>
        <w:spacing w:after="0"/>
        <w:ind w:left="0"/>
        <w:jc w:val="both"/>
      </w:pPr>
      <w:r>
        <w:rPr>
          <w:rFonts w:ascii="Times New Roman"/>
          <w:b w:val="false"/>
          <w:i w:val="false"/>
          <w:color w:val="000000"/>
          <w:sz w:val="28"/>
        </w:rPr>
        <w:t>
      В следующей таблице представлена информация по состоянию на 31 декабря о договорных недисконтированных платежах по финансовым обязательствам Группы в разрезе сроков погашения этих обязательств.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700"/>
        <w:gridCol w:w="1700"/>
        <w:gridCol w:w="1700"/>
        <w:gridCol w:w="1938"/>
        <w:gridCol w:w="1938"/>
        <w:gridCol w:w="1938"/>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месяца, но не более 3 месяцев</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месяцев, но не более 1 года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года, но не более 5 лет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лет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2013 года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 РК</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71.170.000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1.373.642.000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1.467.625.000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245.459.000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123.789.000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405.202.000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2.192.807.000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2.807.861.000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5.775.118.000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финансовой аренде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45.668.000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107.027.000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81.797.000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46.973.000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45.847.000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54.983.000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311.521.000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и прочая кредиторская задолженность</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164.644.000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166.979.000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111.689.000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256.505.000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699.829.000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39.593.000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131.900.000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216.665.000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588.148.000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381.894.000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711.126.000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2.578.260.000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4.318.444.000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8.577.872.000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865"/>
        <w:gridCol w:w="1637"/>
        <w:gridCol w:w="1865"/>
        <w:gridCol w:w="1866"/>
        <w:gridCol w:w="1866"/>
        <w:gridCol w:w="1866"/>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месяца, но не более 3 месяцев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месяцев, но не более 1 года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года, но не более 5 лет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лет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 31 декабря 2012 года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 РК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458.887.000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109.107.000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1.140.801.000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1.733.649.000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187.161.000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157.597.000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755.108.000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1.798.934.000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3.102.669.000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6.001.469.000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финансовой аренде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55.434.000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221.676.000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105.004.000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260.089.000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147.549.000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77.178.000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811.496.000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и прочая кредиторская задолженность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181.502.000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126.417.000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186.146.000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229.200.000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728.091.000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42.561.000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54.683.000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103.895.000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208.659.000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391.537.000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1.153.151.000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443.901.000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1.528.170.000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2.293.731.000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4.357.406.000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9.776.359.000</w:t>
            </w:r>
          </w:p>
        </w:tc>
      </w:tr>
    </w:tbl>
    <w:p>
      <w:pPr>
        <w:spacing w:after="0"/>
        <w:ind w:left="0"/>
        <w:jc w:val="left"/>
      </w:pPr>
      <w:r>
        <w:br/>
      </w:r>
      <w:r>
        <w:rPr>
          <w:rFonts w:ascii="Times New Roman"/>
          <w:b w:val="false"/>
          <w:i w:val="false"/>
          <w:color w:val="000000"/>
          <w:sz w:val="28"/>
        </w:rPr>
        <w:t>
</w:t>
      </w:r>
    </w:p>
    <w:bookmarkStart w:name="z356" w:id="355"/>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капиталом</w:t>
      </w:r>
    </w:p>
    <w:bookmarkEnd w:id="355"/>
    <w:p>
      <w:pPr>
        <w:spacing w:after="0"/>
        <w:ind w:left="0"/>
        <w:jc w:val="both"/>
      </w:pPr>
      <w:r>
        <w:rPr>
          <w:rFonts w:ascii="Times New Roman"/>
          <w:b w:val="false"/>
          <w:i w:val="false"/>
          <w:color w:val="000000"/>
          <w:sz w:val="28"/>
        </w:rPr>
        <w:t>
      Группа управляет своим капиталом главным образом через управление капиталом своих дочерних организаций и реализуя свои контрольные функции. Главная цель управления капиталом состоит в том, чтобы обеспечить, что дочерние организации Группы будут в состоянии продолжать придерживаться принципа непрерывности деятельности наряду с максимизацией доходов для Акционера посредством оптимизации отношения задолженности и капитала.</w:t>
      </w:r>
    </w:p>
    <w:p>
      <w:pPr>
        <w:spacing w:after="0"/>
        <w:ind w:left="0"/>
        <w:jc w:val="both"/>
      </w:pPr>
      <w:r>
        <w:rPr>
          <w:rFonts w:ascii="Times New Roman"/>
          <w:b w:val="false"/>
          <w:i w:val="false"/>
          <w:color w:val="000000"/>
          <w:sz w:val="28"/>
        </w:rPr>
        <w:t xml:space="preserve">
      Группа управляет капиталом своих дочерних организаций, устанавливая определенные показатели деятельности, разработанные с учетом потребностей бизнеса и специфики деятельности каждой дочерней организации. Основные показатели деятельности, используемые Группой для управления капиталом своих дочерних организаций – это следующие коэффициенты: Долг к Доходу до Учета Процентов, Налогообложения, Износа и Амортизации ("D/EBITDA"); и долг к Капиталу ("D/E"). Долг равняется обязательствам по займам, долговым бумагам, гарантиям и финансовой аренде соответствующих дочерних организаций, уменьшенных на стоимость денежных средств и их эквивалентов. Капитал равняется всему капиталу дочерней организации, относящемуся к доле Акционера материнской компании. </w:t>
      </w:r>
    </w:p>
    <w:p>
      <w:pPr>
        <w:spacing w:after="0"/>
        <w:ind w:left="0"/>
        <w:jc w:val="both"/>
      </w:pPr>
      <w:r>
        <w:rPr>
          <w:rFonts w:ascii="Times New Roman"/>
          <w:b w:val="false"/>
          <w:i w:val="false"/>
          <w:color w:val="000000"/>
          <w:sz w:val="28"/>
        </w:rPr>
        <w:t>
      Разрешенные максимальные показатели одобрены для каждой дочерней организаций, на основании потребностей и специфических особенностей ее бизнеса и изменяются в пределах следующих диапазонов (консолидированные основные показатели деятельности для Группы были представлены справочно, так как Группа не контролирует основные показатели деятельности на консолидированном уровне):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5"/>
        <w:gridCol w:w="2992"/>
        <w:gridCol w:w="2993"/>
      </w:tblGrid>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деятельности</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D/EBITDA</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4"/>
        <w:gridCol w:w="3638"/>
        <w:gridCol w:w="3638"/>
      </w:tblGrid>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миллиардах тенге</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 Республики Казахстан</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за приобретение доли участия в СКП</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финансовой аренде</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сумма гарантируемого основного долга по обязательствам компаний, не входящих в Группу Фонда</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задолженность</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8"/>
        <w:gridCol w:w="3481"/>
        <w:gridCol w:w="3481"/>
      </w:tblGrid>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миллиардах тенге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до учета подоходного налога от продолжающейся деятельности</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займам и выпущенным долговым ценным бумагам</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финансовой аренде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истощение и амортизация</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капитала</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r>
    </w:tbl>
    <w:p>
      <w:pPr>
        <w:spacing w:after="0"/>
        <w:ind w:left="0"/>
        <w:jc w:val="left"/>
      </w:pPr>
      <w:r>
        <w:br/>
      </w:r>
      <w:r>
        <w:rPr>
          <w:rFonts w:ascii="Times New Roman"/>
          <w:b w:val="false"/>
          <w:i w:val="false"/>
          <w:color w:val="000000"/>
          <w:sz w:val="28"/>
        </w:rPr>
        <w:t>
</w:t>
      </w:r>
    </w:p>
    <w:bookmarkStart w:name="z357" w:id="356"/>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Справедливая стоимость финансовых инструментов</w:t>
      </w:r>
    </w:p>
    <w:bookmarkEnd w:id="356"/>
    <w:p>
      <w:pPr>
        <w:spacing w:after="0"/>
        <w:ind w:left="0"/>
        <w:jc w:val="both"/>
      </w:pPr>
      <w:r>
        <w:rPr>
          <w:rFonts w:ascii="Times New Roman"/>
          <w:b w:val="false"/>
          <w:i w:val="false"/>
          <w:color w:val="000000"/>
          <w:sz w:val="28"/>
        </w:rPr>
        <w:t>
      Группа использует следующую иерархию для определения справедливой стоимости финансовых инструментов и раскрытия информации о ней в разрезе моделей оценки:</w:t>
      </w:r>
    </w:p>
    <w:p>
      <w:pPr>
        <w:spacing w:after="0"/>
        <w:ind w:left="0"/>
        <w:jc w:val="both"/>
      </w:pPr>
      <w:r>
        <w:rPr>
          <w:rFonts w:ascii="Times New Roman"/>
          <w:b w:val="false"/>
          <w:i w:val="false"/>
          <w:color w:val="000000"/>
          <w:sz w:val="28"/>
        </w:rPr>
        <w:t>
      Уровень 1: цены на активных рынках по идентичным активам или обязательствам (без каких-либо корректировок).</w:t>
      </w:r>
    </w:p>
    <w:p>
      <w:pPr>
        <w:spacing w:after="0"/>
        <w:ind w:left="0"/>
        <w:jc w:val="both"/>
      </w:pPr>
      <w:r>
        <w:rPr>
          <w:rFonts w:ascii="Times New Roman"/>
          <w:b w:val="false"/>
          <w:i w:val="false"/>
          <w:color w:val="000000"/>
          <w:sz w:val="28"/>
        </w:rPr>
        <w:t>
      Уровень 2: другие методы, все исходные данные для которых, оказывающие существенное влияние на отражаемую справедливую стоимость, наблюдаются на рынке, либо непосредственно, либо опосредованно.</w:t>
      </w:r>
    </w:p>
    <w:p>
      <w:pPr>
        <w:spacing w:after="0"/>
        <w:ind w:left="0"/>
        <w:jc w:val="both"/>
      </w:pPr>
      <w:r>
        <w:rPr>
          <w:rFonts w:ascii="Times New Roman"/>
          <w:b w:val="false"/>
          <w:i w:val="false"/>
          <w:color w:val="000000"/>
          <w:sz w:val="28"/>
        </w:rPr>
        <w:t>
      Уровень 3: методы, в которых используются исходные данные, оказывающие существенное влияние на отражаемую справедливую стоимость, которые не основываются на наблюдаемой рыночной информации.</w:t>
      </w:r>
    </w:p>
    <w:p>
      <w:pPr>
        <w:spacing w:after="0"/>
        <w:ind w:left="0"/>
        <w:jc w:val="both"/>
      </w:pPr>
      <w:r>
        <w:rPr>
          <w:rFonts w:ascii="Times New Roman"/>
          <w:b w:val="false"/>
          <w:i w:val="false"/>
          <w:color w:val="000000"/>
          <w:sz w:val="28"/>
        </w:rPr>
        <w:t xml:space="preserve">
      Балансовая стоимость финансовых инструментов Группы по состоянию на 31 декабря 2013 и 2012 годов является обоснованным приближением их справедливой стоимости за исключением финансовых инструментов, представленных ниже: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2835"/>
        <w:gridCol w:w="2835"/>
        <w:gridCol w:w="2112"/>
        <w:gridCol w:w="2836"/>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финансовых инструментов</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50.639.000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13.636.000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726.000</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65.001.000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учитываемые по справедливой стоимости через прибыли и убытки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8.114.000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8.114.000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активы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46.427.000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46.427.000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обязательства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2766"/>
        <w:gridCol w:w="2766"/>
        <w:gridCol w:w="2511"/>
        <w:gridCol w:w="2767"/>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Категории финансовых инструментов</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283.039.000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128.006.000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6.441.000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417.486.000</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учитываемые по справедливой стоимости через прибыли и убытки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8.548.000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13.993.000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14.715.000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37.256.000</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ценные бумаги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70.421.000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70.421.000</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активы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49.719.000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50.278.000</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обязательства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7.965.000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Сверка начального и конечного балансов по Уровню 3 на основе иерархии справедливой стоимости по состоянию на 31 декабря 2013 года представлена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2460"/>
        <w:gridCol w:w="2704"/>
        <w:gridCol w:w="438"/>
        <w:gridCol w:w="1855"/>
        <w:gridCol w:w="2705"/>
      </w:tblGrid>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учитываемые по справедливой стоимости через прибыли/ убытки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ценные бумаги</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активы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 2012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14.654.000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прибыль/(убытки), признанная в прибылях и убытках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прибыль/(убытки), признанная в прочем совокупном доходе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уровня 1 и уровня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Реклассификации в прочие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(4.159.000)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14.715.000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прибыль/(убытки), признанная в прибылях и убытках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прибыль/(убытки), признанная в прочем совокупном доходе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уровня 1 и уровня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Реклассификации в прочие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Переводы в активы, предназначенные для продажи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(16.359.000)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595"/>
        <w:gridCol w:w="2595"/>
        <w:gridCol w:w="2278"/>
        <w:gridCol w:w="2278"/>
        <w:gridCol w:w="2068"/>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справедливой стоимости с использованием</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Котировок на активном рынке (Уровень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Существенных наблюдаемых исходных данных (Уровень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Существенных ненаблюдаемых исходных данных (Уровень 3)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1.574.564.000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1.541.964.000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933.766.000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549.624.000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2488"/>
        <w:gridCol w:w="2488"/>
        <w:gridCol w:w="2488"/>
        <w:gridCol w:w="2185"/>
        <w:gridCol w:w="2185"/>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3.974.366.000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4.019.557.000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2.945.574.000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742.846.000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331.137.000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Правительства Республики Казахстан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268.558.000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228.369.000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228.369.000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Справедливая стоимость вышеуказанных финансовых инструментов была рассчитана посредством дисконтирования ожидаемых будущих потоков денежных средств по преобладающим процентным ставкам. </w:t>
      </w:r>
    </w:p>
    <w:bookmarkStart w:name="z358" w:id="357"/>
    <w:p>
      <w:pPr>
        <w:spacing w:after="0"/>
        <w:ind w:left="0"/>
        <w:jc w:val="both"/>
      </w:pPr>
      <w:r>
        <w:rPr>
          <w:rFonts w:ascii="Times New Roman"/>
          <w:b w:val="false"/>
          <w:i w:val="false"/>
          <w:color w:val="000000"/>
          <w:sz w:val="28"/>
        </w:rPr>
        <w:t xml:space="preserve">
      </w:t>
      </w:r>
      <w:r>
        <w:rPr>
          <w:rFonts w:ascii="Times New Roman"/>
          <w:b/>
          <w:i w:val="false"/>
          <w:color w:val="000000"/>
          <w:sz w:val="28"/>
        </w:rPr>
        <w:t>13. ФИНАНСОВЫЕ И УСЛОВНЫЕ ОБЯЗАТЕЛЬСТВА</w:t>
      </w:r>
    </w:p>
    <w:bookmarkEnd w:id="357"/>
    <w:bookmarkStart w:name="z359" w:id="358"/>
    <w:p>
      <w:pPr>
        <w:spacing w:after="0"/>
        <w:ind w:left="0"/>
        <w:jc w:val="both"/>
      </w:pPr>
      <w:r>
        <w:rPr>
          <w:rFonts w:ascii="Times New Roman"/>
          <w:b w:val="false"/>
          <w:i w:val="false"/>
          <w:color w:val="000000"/>
          <w:sz w:val="28"/>
        </w:rPr>
        <w:t xml:space="preserve">
      </w:t>
      </w:r>
      <w:r>
        <w:rPr>
          <w:rFonts w:ascii="Times New Roman"/>
          <w:b/>
          <w:i w:val="false"/>
          <w:color w:val="000000"/>
          <w:sz w:val="28"/>
        </w:rPr>
        <w:t>Судебные разбирательства</w:t>
      </w:r>
    </w:p>
    <w:bookmarkEnd w:id="358"/>
    <w:p>
      <w:pPr>
        <w:spacing w:after="0"/>
        <w:ind w:left="0"/>
        <w:jc w:val="both"/>
      </w:pPr>
      <w:r>
        <w:rPr>
          <w:rFonts w:ascii="Times New Roman"/>
          <w:b w:val="false"/>
          <w:i w:val="false"/>
          <w:color w:val="000000"/>
          <w:sz w:val="28"/>
        </w:rPr>
        <w:t xml:space="preserve">
      </w:t>
      </w:r>
      <w:r>
        <w:rPr>
          <w:rFonts w:ascii="Times New Roman"/>
          <w:b w:val="false"/>
          <w:i/>
          <w:color w:val="000000"/>
          <w:sz w:val="28"/>
        </w:rPr>
        <w:t>БТА Банк</w:t>
      </w:r>
    </w:p>
    <w:p>
      <w:pPr>
        <w:spacing w:after="0"/>
        <w:ind w:left="0"/>
        <w:jc w:val="both"/>
      </w:pPr>
      <w:r>
        <w:rPr>
          <w:rFonts w:ascii="Times New Roman"/>
          <w:b w:val="false"/>
          <w:i w:val="false"/>
          <w:color w:val="000000"/>
          <w:sz w:val="28"/>
        </w:rPr>
        <w:t xml:space="preserve">
      В 2009 году БТА Банк подвергся рейдерским действиям, в результате которых с БТА Банка на основании решения суда взыскана сумма в размере 30.418.143 фунтов стерлингов, а также в счет исполнения данного решения обращено взыскание на акции ЗАО "БТА Банк" (Кыргызстан), принадлежащие БТА Банку, что привело к потере контроля над ЗАО "БТА Банк" (Кыргызстан). </w:t>
      </w:r>
    </w:p>
    <w:p>
      <w:pPr>
        <w:spacing w:after="0"/>
        <w:ind w:left="0"/>
        <w:jc w:val="both"/>
      </w:pPr>
      <w:r>
        <w:rPr>
          <w:rFonts w:ascii="Times New Roman"/>
          <w:b w:val="false"/>
          <w:i w:val="false"/>
          <w:color w:val="000000"/>
          <w:sz w:val="28"/>
        </w:rPr>
        <w:t xml:space="preserve">
      В целях возврата контроля и права собственности над данными акциями БТА Банк подал исковое заявление о признании торгов недействительными, что должно было привести к перерегистрации 71% доли участия в ЗАО "БТА Банк" (Кыргызстан) в пользу БТА Банка. 6 декабря 2012 года решение Бишкекского межрайонного суда о признании торгов недействительными вступило в законную силу. Указанное решение на дату одобрения к выпуску данных консолидированных форм финансовой отчетности не было исполнено (акции не зарегистрированы за БТА Банком) вследствие длительности судебного разбирательства по отмене имеющихся арестов.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Иски на территории Турции</w:t>
      </w:r>
    </w:p>
    <w:p>
      <w:pPr>
        <w:spacing w:after="0"/>
        <w:ind w:left="0"/>
        <w:jc w:val="both"/>
      </w:pPr>
      <w:r>
        <w:rPr>
          <w:rFonts w:ascii="Times New Roman"/>
          <w:b w:val="false"/>
          <w:i w:val="false"/>
          <w:color w:val="000000"/>
          <w:sz w:val="28"/>
        </w:rPr>
        <w:t xml:space="preserve">
      В соответствии с решением Коммерческого суда Стамбула от 7 февраля 2012 года по требованию Turkiye Vakiflar Bankasi T.A.O. на 101.726.214 акций Sekerbank T.A.S, принадлежащих АО "Дочерняя организация АО "БТА Банк" "БТА секьюритис" (далее "БТА Секьюритис"), наложен предварительный арест с запретом на передачу данных акций третьим лицам. Вопрос о снятии ареста акций, принадлежащих БТА Секьюритис, рассматривался в рамках судебных заседаний 13 мая 2013 года, 11 сентября 2013 года и 5 февраля 2014 года. Слушание эксперта назначено на 3 марта 2014 года, рассмотрение дела назначено на 2 июня 2014 года в 39 Коммерческом суде городе Стамбул. </w:t>
      </w:r>
    </w:p>
    <w:p>
      <w:pPr>
        <w:spacing w:after="0"/>
        <w:ind w:left="0"/>
        <w:jc w:val="both"/>
      </w:pPr>
      <w:r>
        <w:rPr>
          <w:rFonts w:ascii="Times New Roman"/>
          <w:b w:val="false"/>
          <w:i w:val="false"/>
          <w:color w:val="000000"/>
          <w:sz w:val="28"/>
        </w:rPr>
        <w:t>
      На дату одобрения к выпуску консолидированных форм финансовой отчетности Фонда неблагоприятный исход судебного дела не прогнозируется.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Rompetrol Rafinare S.A. (дочерняя организация НК КМГ)</w:t>
      </w:r>
    </w:p>
    <w:p>
      <w:pPr>
        <w:spacing w:after="0"/>
        <w:ind w:left="0"/>
        <w:jc w:val="both"/>
      </w:pPr>
      <w:r>
        <w:rPr>
          <w:rFonts w:ascii="Times New Roman"/>
          <w:b w:val="false"/>
          <w:i w:val="false"/>
          <w:color w:val="000000"/>
          <w:sz w:val="28"/>
        </w:rPr>
        <w:t>
      На 31 декабря 2009 года у НК КМГ, дочерней организации Группы, имелось непогашенное сальдо в размере 3.353.000 тысяч тенге конвертируемого долгового инструмента, выпущенного крупной дочерней организацией Ромпетрол – Rompetrol Rafinare S.A. в пользу Румынии. Номинальная стоимость обязательств составляет 570,3 миллионов евро. Срок обращения инструмента составлял 7 (семь) лет и истек 30 сентября 2010 года. Справедливая стоимость компонента обязательства на момент первоначального признания была определена как дисконтированные будущие денежные договорные платежи по инструменту. В соответствии с долей владения акциями на 31 декабря 2009 года, Группа потеряла бы контроль над Rompetrol Rafinare S.A., если бы весь долговой инструмент 30 сентября 2010 года был оплачен выпуском новых акций в пользу Румынии, без последующих действий со стороны Ромпетрол и/или Rompetrol Rafinare S.A.</w:t>
      </w:r>
    </w:p>
    <w:p>
      <w:pPr>
        <w:spacing w:after="0"/>
        <w:ind w:left="0"/>
        <w:jc w:val="both"/>
      </w:pPr>
      <w:r>
        <w:rPr>
          <w:rFonts w:ascii="Times New Roman"/>
          <w:b w:val="false"/>
          <w:i w:val="false"/>
          <w:color w:val="000000"/>
          <w:sz w:val="28"/>
        </w:rPr>
        <w:t>
      В течение первого полугодия 2010 года, в целях увеличения своей доли в Rompetrol Rafinare S.A. НК КМГ осуществила открытое предложение по приобретению долей у всех акционеров. В августе 2010 года Rompetrol Rafinare S.A. увеличила свой уставный капитал путем выпуска новых акций на сумму 329,4 миллионов румынских леев (эквивалентно 78 миллионов евро на дату подписки на акции). Ромпетрол подписалось на выпуск новых акций и полностью оплатила данный выпуск, таким образом, увеличив свою долю в Rompetrol Rafinare S.A. В течение августа 2010 года, Rompetrol Rafinare S.A., используя средства, полученные от выпуска акций, погасило 54 миллиона евро (эквивалентно 10.464.000 тысяч тенге) от общей суммы задолженности в 570,3 миллионов евро по конвертируемому долговому инструменту в пользу Румынии. В сентябре 2010 года Rompetrol Rafinare S.A. выплатило последний купон в размере 17 миллионов евро (эквивалентно 3.315.000 тысяч тенге), что привело к нулевому сальдо задолженности долгового компонента по конвертируемому долговому инструменту.</w:t>
      </w:r>
    </w:p>
    <w:p>
      <w:pPr>
        <w:spacing w:after="0"/>
        <w:ind w:left="0"/>
        <w:jc w:val="both"/>
      </w:pPr>
      <w:r>
        <w:rPr>
          <w:rFonts w:ascii="Times New Roman"/>
          <w:b w:val="false"/>
          <w:i w:val="false"/>
          <w:color w:val="000000"/>
          <w:sz w:val="28"/>
        </w:rPr>
        <w:t>
      30 сентября 2010 года внеочередное общее собрание акционеров Rompetrol Rafinare S.A утвердило решение о конвертации неоплаченной части конвертируемого долгового инструмента в акции, а также соответствующие увеличение уставного капитала и точное количество акций, причитающихся Румынии по конвертируемому долгу, рассчитанных на основании обменного курса, действующего на дату конвертации, а также эмиссионный доход, рассчитанный как разница между обменными курсами действительными на 30 сентября 2010 года и на дату выпуска конвертируемого долгового инструмента - 30 сентября 2003 года. В результате, неконтрольная доля участия Румынии составила 44,6959%.</w:t>
      </w:r>
    </w:p>
    <w:p>
      <w:pPr>
        <w:spacing w:after="0"/>
        <w:ind w:left="0"/>
        <w:jc w:val="both"/>
      </w:pPr>
      <w:r>
        <w:rPr>
          <w:rFonts w:ascii="Times New Roman"/>
          <w:b w:val="false"/>
          <w:i w:val="false"/>
          <w:color w:val="000000"/>
          <w:sz w:val="28"/>
        </w:rPr>
        <w:t>
      В результате данных операций нераспределенная прибыль уменьшилась на 113.467.000 тысяч тенге, а неконтрольная доля участия увеличилась на 103.003.000 тысяч тенге в 2010 году.</w:t>
      </w:r>
    </w:p>
    <w:p>
      <w:pPr>
        <w:spacing w:after="0"/>
        <w:ind w:left="0"/>
        <w:jc w:val="both"/>
      </w:pPr>
      <w:r>
        <w:rPr>
          <w:rFonts w:ascii="Times New Roman"/>
          <w:b w:val="false"/>
          <w:i w:val="false"/>
          <w:color w:val="000000"/>
          <w:sz w:val="28"/>
        </w:rPr>
        <w:t xml:space="preserve">
      В 2010 году Румынское Правительство, в лице Министерства финансов Румынии инициировало судебный иск против решения Rompetrol Rafinare S.A. об увеличении уставного капитала и решения о погашении конвертируемого долгового инструмента частично деньгами, частично выпуском акций. </w:t>
      </w:r>
    </w:p>
    <w:p>
      <w:pPr>
        <w:spacing w:after="0"/>
        <w:ind w:left="0"/>
        <w:jc w:val="both"/>
      </w:pPr>
      <w:r>
        <w:rPr>
          <w:rFonts w:ascii="Times New Roman"/>
          <w:b w:val="false"/>
          <w:i w:val="false"/>
          <w:color w:val="000000"/>
          <w:sz w:val="28"/>
        </w:rPr>
        <w:t xml:space="preserve">
      Трибунал г. Констанца отклонил просьбу Румынского Правительства: (а) ввиду некоторых из причин аннулирования, учитывая, что Румынское Правительство не имеет возможности предстать перед судом, утверждая, что не имеет возможности акционера, когда такие акты были приняты, и (б) ввиду некоторых из причин аннулирования, учитывая, что они были не обоснованы. </w:t>
      </w:r>
    </w:p>
    <w:p>
      <w:pPr>
        <w:spacing w:after="0"/>
        <w:ind w:left="0"/>
        <w:jc w:val="both"/>
      </w:pPr>
      <w:r>
        <w:rPr>
          <w:rFonts w:ascii="Times New Roman"/>
          <w:b w:val="false"/>
          <w:i w:val="false"/>
          <w:color w:val="000000"/>
          <w:sz w:val="28"/>
        </w:rPr>
        <w:t>
      Более того, 17 ноября 2010 года Министерство финансов Румынии издало указ на сумму 2.205.592.436 румынских леев (для целей представления 516,3 миллионов евро, в тенге по курсу на 31 декабря 2010 года - 100.797.000 тысяч тенге), как результат несогласия властей Румынии с решением НК КМГ о частичном погашении инструмента выпуском акций. Rompetrol Rafinare S.A. подало жалобу с прошением об отмене данного указа. В июне 2012 года слушание дела было приостановлено и может быть возобновлено в течении одного года до 6 июня 2013 года.</w:t>
      </w:r>
    </w:p>
    <w:p>
      <w:pPr>
        <w:spacing w:after="0"/>
        <w:ind w:left="0"/>
        <w:jc w:val="both"/>
      </w:pPr>
      <w:r>
        <w:rPr>
          <w:rFonts w:ascii="Times New Roman"/>
          <w:b w:val="false"/>
          <w:i w:val="false"/>
          <w:color w:val="000000"/>
          <w:sz w:val="28"/>
        </w:rPr>
        <w:t xml:space="preserve">
      Также, 10 сентября 2010 года власти Румынии, в лице Министерства финансов и АГСП издали указ о предупредительном наложении ареста на все доли участия Rompetrol Rafinare S.A. в зависимых организациях, а также о наложении ареста на движимое и недвижимое имущество Rompetrol Rafinare S.A., за исключением товарно-материальных запасов. Данный указ находится в действии, и НК КМГ пытается оспорить правомерность данного указа. На дату одобрения к выпуску данных консолидированных форм финансовой отчетности арест имущества не был осуществлен, так как румынские власти не инициировали принудительных процедур по взысканию. </w:t>
      </w:r>
    </w:p>
    <w:p>
      <w:pPr>
        <w:spacing w:after="0"/>
        <w:ind w:left="0"/>
        <w:jc w:val="both"/>
      </w:pPr>
      <w:r>
        <w:rPr>
          <w:rFonts w:ascii="Times New Roman"/>
          <w:b w:val="false"/>
          <w:i w:val="false"/>
          <w:color w:val="000000"/>
          <w:sz w:val="28"/>
        </w:rPr>
        <w:t xml:space="preserve">
      Руководство НК КМГ считает, что исполнение указа о наложении ареста властями Румынии не является осуществимым. </w:t>
      </w:r>
    </w:p>
    <w:p>
      <w:pPr>
        <w:spacing w:after="0"/>
        <w:ind w:left="0"/>
        <w:jc w:val="both"/>
      </w:pPr>
      <w:r>
        <w:rPr>
          <w:rFonts w:ascii="Times New Roman"/>
          <w:b w:val="false"/>
          <w:i w:val="false"/>
          <w:color w:val="000000"/>
          <w:sz w:val="28"/>
        </w:rPr>
        <w:t>
      15 февраля 2013 года Rompetrol Rafinare S.A. и Агентство государственной собственности и приватизации (далее "АГСП"), представляющее интересы румынского государства, подписали меморандум о взаимопонимании (далее "Меморандум"), в котором стороны договорились о прекращении разбирательств по вопросу конвертируемых долговых инструментов.</w:t>
      </w:r>
    </w:p>
    <w:p>
      <w:pPr>
        <w:spacing w:after="0"/>
        <w:ind w:left="0"/>
        <w:jc w:val="both"/>
      </w:pPr>
      <w:r>
        <w:rPr>
          <w:rFonts w:ascii="Times New Roman"/>
          <w:b w:val="false"/>
          <w:i w:val="false"/>
          <w:color w:val="000000"/>
          <w:sz w:val="28"/>
        </w:rPr>
        <w:t>
      22 января 2014 года, меморандум был утвержден решением Правительства № 35/2014, в результате Министерство финансов Румынии было назначено провести все процедуры, необходимые для отзыва исков и прекращения всех разбирательств. Меморандум включает следующие основные пункты:</w:t>
      </w:r>
    </w:p>
    <w:p>
      <w:pPr>
        <w:spacing w:after="0"/>
        <w:ind w:left="0"/>
        <w:jc w:val="both"/>
      </w:pPr>
      <w:r>
        <w:rPr>
          <w:rFonts w:ascii="Times New Roman"/>
          <w:b w:val="false"/>
          <w:i w:val="false"/>
          <w:color w:val="000000"/>
          <w:sz w:val="28"/>
        </w:rPr>
        <w:t>
      - АГСП реализует, а Rompetrol Rafinare S.A. приобретет акции Rompetrol Rafinare S.A. в размере 26,6959%, принадлежащие АГСП, за денежное вознаграждение в размере 200 миллионов долларов США;</w:t>
      </w:r>
    </w:p>
    <w:p>
      <w:pPr>
        <w:spacing w:after="0"/>
        <w:ind w:left="0"/>
        <w:jc w:val="both"/>
      </w:pPr>
      <w:r>
        <w:rPr>
          <w:rFonts w:ascii="Times New Roman"/>
          <w:b w:val="false"/>
          <w:i w:val="false"/>
          <w:color w:val="000000"/>
          <w:sz w:val="28"/>
        </w:rPr>
        <w:t>
      - Ромпетрол рассмотрит возможности инвестирования до 1 миллиарда долларов США в энергетические проекты, связанные с его основной деятельностью в течении 7 (семи) лет;</w:t>
      </w:r>
    </w:p>
    <w:p>
      <w:pPr>
        <w:spacing w:after="0"/>
        <w:ind w:left="0"/>
        <w:jc w:val="both"/>
      </w:pPr>
      <w:r>
        <w:rPr>
          <w:rFonts w:ascii="Times New Roman"/>
          <w:b w:val="false"/>
          <w:i w:val="false"/>
          <w:color w:val="000000"/>
          <w:sz w:val="28"/>
        </w:rPr>
        <w:t xml:space="preserve">
      - Министерство финансов Румынии обязуется отозвать все иски в отношении решения общего собрания акционеров Rompetrol Rafinare S.A., касающихся конвертируемых долговых инструментов и отменит указ о предупредительном наложении ареста на все доли участия Rompetrol Rafinare S.A. </w:t>
      </w:r>
    </w:p>
    <w:p>
      <w:pPr>
        <w:spacing w:after="0"/>
        <w:ind w:left="0"/>
        <w:jc w:val="both"/>
      </w:pPr>
      <w:r>
        <w:rPr>
          <w:rFonts w:ascii="Times New Roman"/>
          <w:b w:val="false"/>
          <w:i w:val="false"/>
          <w:color w:val="000000"/>
          <w:sz w:val="28"/>
        </w:rPr>
        <w:t>
      В результате заседания, состоявшегося 24 марта 2014 года, судебное разбирательство было прекращено после того, как Министерство финансов Румынии отозвало все вышеперечисленные иски.</w:t>
      </w:r>
    </w:p>
    <w:bookmarkStart w:name="z360" w:id="359"/>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обязательства</w:t>
      </w:r>
    </w:p>
    <w:bookmarkEnd w:id="359"/>
    <w:p>
      <w:pPr>
        <w:spacing w:after="0"/>
        <w:ind w:left="0"/>
        <w:jc w:val="both"/>
      </w:pPr>
      <w:r>
        <w:rPr>
          <w:rFonts w:ascii="Times New Roman"/>
          <w:b w:val="false"/>
          <w:i w:val="false"/>
          <w:color w:val="000000"/>
          <w:sz w:val="28"/>
        </w:rPr>
        <w:t>
      Законодательство по защите окружающей среды в Казахстане находится в процессе развития и поэтому подвержено постоянным изменениям. Штрафы за нарушение законодательства Республики Казахстан в области охраны окружающей среды могут быть весьма суровы. Потенциальные обязательства, которые могут возникнуть в результате более строгой интерпретации существующих положений, гражданских исков или изменений в законодательстве не могут быть достоверно оценены. Помимо тех сумм, по которым были сформированы резервы, руководство считает, что не существует вероятных либо возможных экологических обязательств, которые могут оказать существенное отрицательное влияние на консолидированный бухгалтерский баланс Группы, консолидированный отчет о прибылях и убытках и консолидированный отчет о движении денежных средств.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Экологическая проверка АО "Озенмунайгаз" 2011-2012 (РД КМГ)</w:t>
      </w:r>
    </w:p>
    <w:p>
      <w:pPr>
        <w:spacing w:after="0"/>
        <w:ind w:left="0"/>
        <w:jc w:val="both"/>
      </w:pPr>
      <w:r>
        <w:rPr>
          <w:rFonts w:ascii="Times New Roman"/>
          <w:b w:val="false"/>
          <w:i w:val="false"/>
          <w:color w:val="000000"/>
          <w:sz w:val="28"/>
        </w:rPr>
        <w:t xml:space="preserve">
      25 января 2013 года в АО "Озенмунайгаз" (далее "ОМГ") поступило уведомление от Департамента экологии Мангистауской области об уплате штрафа в государственный бюджет в размере 59.345.000 тысяч тенге за экологический ущерб. Общая сумма ущерба была установлена по результатам проверки за период с августа 2011 года по ноябрь 2012 года. ОМГ не согласилось с вышеуказанным уведомлением и 26 февраля 2013 года обратилось в Специализированный межрайонный экономический суд Мангистауской области с заявлением о признании акта незаконным и расчетов недостоверными. 7 марта 2013 года Департамент экологии Мангистауской области также подал исковое заявление о принудительном взыскании ущерба в тот же суд. </w:t>
      </w:r>
    </w:p>
    <w:p>
      <w:pPr>
        <w:spacing w:after="0"/>
        <w:ind w:left="0"/>
        <w:jc w:val="both"/>
      </w:pPr>
      <w:r>
        <w:rPr>
          <w:rFonts w:ascii="Times New Roman"/>
          <w:b w:val="false"/>
          <w:i w:val="false"/>
          <w:color w:val="000000"/>
          <w:sz w:val="28"/>
        </w:rPr>
        <w:t xml:space="preserve">
      22 мая 2013 года суд удовлетворил кассационную жалобу ОМГ в полном объеме и отклонил иск Департамента экологии Мангистауской области о принудительной выплате штрафа. 6 июня 2013 года Департамент экологии Мангистауской области подал аппеляцию в Аппеляционную судебную коллегию по гражданским и административным делам Мангистауского областного суда. 9 июля 2013 года данная апелляция была отклонена Апелляционной судебной коллегией. 23 декабря 2013 года Департамент экологии Мангистауской области подал жалобу в кассационную судебную коллегию Мангистауского областного суда. 12 февраля 2014 года данная жалоба была отклонена кассационной судебной коллегией Мангистауского областного суда. РД КМГ ожидает, что Департамент экологии Мангистауской области подаст последующую аппеляцию в Верховный суд Республики Казахстан. </w:t>
      </w:r>
    </w:p>
    <w:p>
      <w:pPr>
        <w:spacing w:after="0"/>
        <w:ind w:left="0"/>
        <w:jc w:val="both"/>
      </w:pPr>
      <w:r>
        <w:rPr>
          <w:rFonts w:ascii="Times New Roman"/>
          <w:b w:val="false"/>
          <w:i w:val="false"/>
          <w:color w:val="000000"/>
          <w:sz w:val="28"/>
        </w:rPr>
        <w:t xml:space="preserve">
      Руководство НК КМГ считает, что ОМГ имеет сильные доводы по этому вопросу, так как проверка была проведена с нарушениями законодательства Республики Казахстан в отношении процедуры инспекционного процесса, и Департамент экологии по Мангистауской области не имеет надежных доказательств, подтверждающих ущерб окружающей среде, в соответствии с требованиями гражданского процессуального и экологического кодекса Республики Казахстан. </w:t>
      </w:r>
    </w:p>
    <w:p>
      <w:pPr>
        <w:spacing w:after="0"/>
        <w:ind w:left="0"/>
        <w:jc w:val="both"/>
      </w:pPr>
      <w:r>
        <w:rPr>
          <w:rFonts w:ascii="Times New Roman"/>
          <w:b w:val="false"/>
          <w:i w:val="false"/>
          <w:color w:val="000000"/>
          <w:sz w:val="28"/>
        </w:rPr>
        <w:t>
      НК КМГ считает, что ОМГ будет продолжать успешно обжаловать результаты проверки и требование об уплате ущерба, нанесенного окружающей среде, и вследствие чего начисление резервов по данному вопросу не производилось по состоянию на 31 декабря 2013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Экологическая проверка АО "Озенмунайгаз" 2012-2013 (РД КМГ)</w:t>
      </w:r>
    </w:p>
    <w:p>
      <w:pPr>
        <w:spacing w:after="0"/>
        <w:ind w:left="0"/>
        <w:jc w:val="both"/>
      </w:pPr>
      <w:r>
        <w:rPr>
          <w:rFonts w:ascii="Times New Roman"/>
          <w:b w:val="false"/>
          <w:i w:val="false"/>
          <w:color w:val="000000"/>
          <w:sz w:val="28"/>
        </w:rPr>
        <w:t xml:space="preserve">
      24 января 2014 года ОМГ получило уведомление от Департамента экологии Мангистауской области об уплате штрафа в размере 213 миллиардов тенге за экологический ущерб. Итоговая сумма была определена по результатам проверки, которая охватывала период с 2012 по 2013 годы. </w:t>
      </w:r>
    </w:p>
    <w:p>
      <w:pPr>
        <w:spacing w:after="0"/>
        <w:ind w:left="0"/>
        <w:jc w:val="both"/>
      </w:pPr>
      <w:r>
        <w:rPr>
          <w:rFonts w:ascii="Times New Roman"/>
          <w:b w:val="false"/>
          <w:i w:val="false"/>
          <w:color w:val="000000"/>
          <w:sz w:val="28"/>
        </w:rPr>
        <w:t>
      7 февраля 2014 года ОМГ подала жалобу в судебном порядке на отмену данного штрафа, и определением Специализированного административного суда г. Актау от 21 февраля 2014 года жалоба была удовлетворена в полном объеме в пользу ОМГ. Данное определение суда в апелляционном и кассационном порядке обжалованию не подлежит, но может быть опротестовано прокурором.</w:t>
      </w:r>
    </w:p>
    <w:p>
      <w:pPr>
        <w:spacing w:after="0"/>
        <w:ind w:left="0"/>
        <w:jc w:val="both"/>
      </w:pPr>
      <w:r>
        <w:rPr>
          <w:rFonts w:ascii="Times New Roman"/>
          <w:b w:val="false"/>
          <w:i w:val="false"/>
          <w:color w:val="000000"/>
          <w:sz w:val="28"/>
        </w:rPr>
        <w:t>
      Кроме того, 14 февраля 2014 года Департаментом экологии по Мангистауской области предъявлена претензия ОМГ по возмещению ущерба окружающей среде на сумму 327.900.000 тысяч тенге. Ранее предъявленная и признанная незаконной судебными органами сумма ущерба в размере 59.345.000 тысяч тенге была связана с теми же нарушениями.</w:t>
      </w:r>
    </w:p>
    <w:p>
      <w:pPr>
        <w:spacing w:after="0"/>
        <w:ind w:left="0"/>
        <w:jc w:val="both"/>
      </w:pPr>
      <w:r>
        <w:rPr>
          <w:rFonts w:ascii="Times New Roman"/>
          <w:b w:val="false"/>
          <w:i w:val="false"/>
          <w:color w:val="000000"/>
          <w:sz w:val="28"/>
        </w:rPr>
        <w:t xml:space="preserve">
      ОМГ были предприняты соответствующие действия по обжалованию данной претензии. Решением Специализированного межрайонного экономического суда Мангистауской области от 6 марта 2014 года вышеуказанный акт был признан незаконным. </w:t>
      </w:r>
    </w:p>
    <w:p>
      <w:pPr>
        <w:spacing w:after="0"/>
        <w:ind w:left="0"/>
        <w:jc w:val="both"/>
      </w:pPr>
      <w:r>
        <w:rPr>
          <w:rFonts w:ascii="Times New Roman"/>
          <w:b w:val="false"/>
          <w:i w:val="false"/>
          <w:color w:val="000000"/>
          <w:sz w:val="28"/>
        </w:rPr>
        <w:t>
      Учитывая положительные результаты обжалования до настоящего дня, руководство НК КМГ считает, что сможет успешно отстаивать свою позицию и в других судебных инстанциях. Соответственно, Группа не производила начисление резервов по данным вопросам в консолидированных формах финансовой отчетности по состоянию на 31 декабря 2013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Экологическая проверка АО "Эмбамунайгаз" (РД КМГ)</w:t>
      </w:r>
    </w:p>
    <w:p>
      <w:pPr>
        <w:spacing w:after="0"/>
        <w:ind w:left="0"/>
        <w:jc w:val="both"/>
      </w:pPr>
      <w:r>
        <w:rPr>
          <w:rFonts w:ascii="Times New Roman"/>
          <w:b w:val="false"/>
          <w:i w:val="false"/>
          <w:color w:val="000000"/>
          <w:sz w:val="28"/>
        </w:rPr>
        <w:t xml:space="preserve">
      В июле 2013 года Департамент экологии Атырауской области провел проверку, для определения того соответствует ли производственная деятельность АО "Эмбамунайгаз" (далее "ЭМГ") экологическим требованиям, в том числе требованиям по утилизации попутного газа. Департамент экологии Атырауской области установил, что утилизация газа на трех месторождениях ЭМГ не соответствует утвержденным планам технологической разработки. </w:t>
      </w:r>
    </w:p>
    <w:p>
      <w:pPr>
        <w:spacing w:after="0"/>
        <w:ind w:left="0"/>
        <w:jc w:val="both"/>
      </w:pPr>
      <w:r>
        <w:rPr>
          <w:rFonts w:ascii="Times New Roman"/>
          <w:b w:val="false"/>
          <w:i w:val="false"/>
          <w:color w:val="000000"/>
          <w:sz w:val="28"/>
        </w:rPr>
        <w:t>
      24 сентября 2013 года Специализированный межрайонный экономический суд Атырауской области решил приостановить промышленную разработку данных трех месторождений до устранения нарушений экологических требований и получения положительного заключения государственной экологической экспертизы. 21 октября 2013 года ЭМГ обратилось в Атырауский областной суд с апелляционной жалобой об отмене данного решения. 21 ноября 2013 года ЭМГ получило положительное заключение государственной экологической проверки от Комитета экологического регулирования и контроля Министерства окружающей среды и водных ресурсов Республики Казахстан и 10 декабря 2013 года от Департамента экологии Атырауской области. В результате, судебное разбирательство по этому делу прекращено.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"Эмбамунайгаз", сжигание газа в факелах (РД КМГ)</w:t>
      </w:r>
    </w:p>
    <w:p>
      <w:pPr>
        <w:spacing w:after="0"/>
        <w:ind w:left="0"/>
        <w:jc w:val="both"/>
      </w:pPr>
      <w:r>
        <w:rPr>
          <w:rFonts w:ascii="Times New Roman"/>
          <w:b w:val="false"/>
          <w:i w:val="false"/>
          <w:color w:val="000000"/>
          <w:sz w:val="28"/>
        </w:rPr>
        <w:t xml:space="preserve">
      23 января 2014 года ЭМГ получило уведомление от Департамента экологии Атырауской области об уплате штрафа в размере 37.150.000 тысяч тенге за экологический ущерб, вызванный нарушениями экологического законодательства, в том числе сжигание попутного газа в факелах. Итоговая сумма была определена по результатам проверки, которая охватывала период c 2008 по 2013 годы. </w:t>
      </w:r>
    </w:p>
    <w:p>
      <w:pPr>
        <w:spacing w:after="0"/>
        <w:ind w:left="0"/>
        <w:jc w:val="both"/>
      </w:pPr>
      <w:r>
        <w:rPr>
          <w:rFonts w:ascii="Times New Roman"/>
          <w:b w:val="false"/>
          <w:i w:val="false"/>
          <w:color w:val="000000"/>
          <w:sz w:val="28"/>
        </w:rPr>
        <w:t>
      ЭМГ и НК КМГ не согласны с вышеуказанным предписанием и на сегодняшний день предпринимает соответствующие мероприятия по обжалованию данного уведомления со стороны Департамента экологии Атырауской области. Руководство НК КМГ считает, что успешно обжалует требование об уплате ущерба, нанесенного окружающей среде, вследствие чего, начисление резервов по данному вопросу не производилось по состоянию на 31 декабря 2013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Экологическая проверка Кашаган (КМГ Кашаган Б.В.)</w:t>
      </w:r>
    </w:p>
    <w:p>
      <w:pPr>
        <w:spacing w:after="0"/>
        <w:ind w:left="0"/>
        <w:jc w:val="both"/>
      </w:pPr>
      <w:r>
        <w:rPr>
          <w:rFonts w:ascii="Times New Roman"/>
          <w:b w:val="false"/>
          <w:i w:val="false"/>
          <w:color w:val="000000"/>
          <w:sz w:val="28"/>
        </w:rPr>
        <w:t>
      В отношении компании NCOC, Оператора Северо-Каспийского проекта, и его агента - компании Аджип ККО, в период с 12 сентября 2013 года по 7 февраля 2014 года Департаментом экологии Атырауской области была проведена проверка по вопросу соблюдения экологического законодательства. По итогам проверки были выпущены акты и протоколы о нарушении экологического законодательства, а также предписания о возмещении экологической оценки ущерба от загрязнения атмосферы выбросами загрязняющих веществ на общую сумму 134.300.000 тысяч тенге (доля Группы составляет 22.700.000 тысяч тенге).</w:t>
      </w:r>
    </w:p>
    <w:p>
      <w:pPr>
        <w:spacing w:after="0"/>
        <w:ind w:left="0"/>
        <w:jc w:val="both"/>
      </w:pPr>
      <w:r>
        <w:rPr>
          <w:rFonts w:ascii="Times New Roman"/>
          <w:b w:val="false"/>
          <w:i w:val="false"/>
          <w:color w:val="000000"/>
          <w:sz w:val="28"/>
        </w:rPr>
        <w:t>
      Руководство Оператора Северо-Каспийского проекта и Аджип ККО не согласны с выводами проверяющего органа, изложенными в актах, и намерены оспорить предъявленные суммы в полном объеме во всех надлежащих инстанциях, поскольку считают, что сжигание газа и эмиссии в окружающую среду были произведены в рамках и на условиях имеющихся разрешений государственных органов. Руководство НК КМГ поддерживает позицию Оператора Северо-Каспийского проекта и Аджип ККО и оценивает риск по данному вопросу как возможный, вследствие этого, начисление резервов по данному вопросу не производилось по состоянию на 31 декабря 2013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Экологическая проверка ТОО "Атырауский нефтеперерабатывающий завод"</w:t>
      </w:r>
    </w:p>
    <w:p>
      <w:pPr>
        <w:spacing w:after="0"/>
        <w:ind w:left="0"/>
        <w:jc w:val="both"/>
      </w:pPr>
      <w:r>
        <w:rPr>
          <w:rFonts w:ascii="Times New Roman"/>
          <w:b w:val="false"/>
          <w:i w:val="false"/>
          <w:color w:val="000000"/>
          <w:sz w:val="28"/>
        </w:rPr>
        <w:t>
      5 марта 2014 года Департамент экологии Атырауской области выпустил предписания в отношении ТОО "Атырауский нефтеперерабатывающий завод" (далее "АНПЗ") о возмещении ущерба окружающей среде на сумму 23.700.000 тысяч тенге. Департаментом экологии по Атырауской области и областной прокуратурой была проведена совместная проверка АНПЗ, в ходе которой был выявлен факт сжигания 693.753 кубометров сырого газа без разрешения регулирующих органов. В результате проверки, АНПЗ обязали выплатить штраф за экологический ущерб, причиненный в результате несанкционированного сжигания газа.</w:t>
      </w:r>
    </w:p>
    <w:p>
      <w:pPr>
        <w:spacing w:after="0"/>
        <w:ind w:left="0"/>
        <w:jc w:val="both"/>
      </w:pPr>
      <w:r>
        <w:rPr>
          <w:rFonts w:ascii="Times New Roman"/>
          <w:b w:val="false"/>
          <w:i w:val="false"/>
          <w:color w:val="000000"/>
          <w:sz w:val="28"/>
        </w:rPr>
        <w:t>
      Руководство НК КМГ считает, что требование Департамента экологии было наложено в результате использования в расчете несоответствующих данных. НК КМГ находится в процессе привлечения местных и иностранных экспертов для проведения независимой экспертизы. Руководство НК КМГ считает, что успешно обжалует предписание и оценивает риск, связанный с этим вопросом как возможный, вследствие чего начисление резервов по данному вопросу не производилось по состоянию на 31 декабря 2013 года.</w:t>
      </w:r>
    </w:p>
    <w:bookmarkStart w:name="z361" w:id="360"/>
    <w:p>
      <w:pPr>
        <w:spacing w:after="0"/>
        <w:ind w:left="0"/>
        <w:jc w:val="both"/>
      </w:pPr>
      <w:r>
        <w:rPr>
          <w:rFonts w:ascii="Times New Roman"/>
          <w:b w:val="false"/>
          <w:i w:val="false"/>
          <w:color w:val="000000"/>
          <w:sz w:val="28"/>
        </w:rPr>
        <w:t xml:space="preserve">
      </w:t>
      </w:r>
      <w:r>
        <w:rPr>
          <w:rFonts w:ascii="Times New Roman"/>
          <w:b/>
          <w:i w:val="false"/>
          <w:color w:val="000000"/>
          <w:sz w:val="28"/>
        </w:rPr>
        <w:t>Риск изменения цен на товары</w:t>
      </w:r>
    </w:p>
    <w:bookmarkEnd w:id="360"/>
    <w:p>
      <w:pPr>
        <w:spacing w:after="0"/>
        <w:ind w:left="0"/>
        <w:jc w:val="both"/>
      </w:pPr>
      <w:r>
        <w:rPr>
          <w:rFonts w:ascii="Times New Roman"/>
          <w:b w:val="false"/>
          <w:i w:val="false"/>
          <w:color w:val="000000"/>
          <w:sz w:val="28"/>
        </w:rPr>
        <w:t>
      Значительная часть доходов Группы генерируется от продажи товаров, в основном, сырой нефти и нефтепродуктов. Исторически, цены на данные продукты были непостоянными и значительно менялись в ответ на изменения в предложении и спросе, рыночную неопределенность, деятельность мировой и региональной экономики и цикличности в индустриях.</w:t>
      </w:r>
    </w:p>
    <w:p>
      <w:pPr>
        <w:spacing w:after="0"/>
        <w:ind w:left="0"/>
        <w:jc w:val="both"/>
      </w:pPr>
      <w:r>
        <w:rPr>
          <w:rFonts w:ascii="Times New Roman"/>
          <w:b w:val="false"/>
          <w:i w:val="false"/>
          <w:color w:val="000000"/>
          <w:sz w:val="28"/>
        </w:rPr>
        <w:t>
      Цены также подвержены влиянию действий правительства, включая наложение тарифов и импортных пошлин, биржевой спекуляции, увеличении в возможности или избыточного снабжения продуктов Группы на основные рынки. Эти внешние факторы и изменения на рынках осложняют оценку будущих цен.</w:t>
      </w:r>
    </w:p>
    <w:p>
      <w:pPr>
        <w:spacing w:after="0"/>
        <w:ind w:left="0"/>
        <w:jc w:val="both"/>
      </w:pPr>
      <w:r>
        <w:rPr>
          <w:rFonts w:ascii="Times New Roman"/>
          <w:b w:val="false"/>
          <w:i w:val="false"/>
          <w:color w:val="000000"/>
          <w:sz w:val="28"/>
        </w:rPr>
        <w:t>
      Существенное или затянувшееся снижение в ценах на товары может отрицательно повлиять на деятельность Группы, финансовые результаты и денежные потоки от операций. Группа не хеджирует значительно свою подверженность риску изменения цен на товары.</w:t>
      </w:r>
    </w:p>
    <w:bookmarkStart w:name="z362" w:id="361"/>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Налогообложение</w:t>
      </w:r>
    </w:p>
    <w:bookmarkEnd w:id="361"/>
    <w:p>
      <w:pPr>
        <w:spacing w:after="0"/>
        <w:ind w:left="0"/>
        <w:jc w:val="both"/>
      </w:pPr>
      <w:r>
        <w:rPr>
          <w:rFonts w:ascii="Times New Roman"/>
          <w:b w:val="false"/>
          <w:i w:val="false"/>
          <w:color w:val="000000"/>
          <w:sz w:val="28"/>
        </w:rPr>
        <w:t>
      Казахстанское налоговое законодательство и нормативно-правовые акты являются предметом постоянных изменений и различных толкований. Нередки случаи расхождения во мнениях между местными, региональными и республиканскими налоговыми органами. Применяемая в настоящее время система штрафов и пени за выявленные правонарушения на основании действующих в Казахстане законов, весьма сурова. Штрафные санкции включают в себя штрафы, как правило, в размере 50% от суммы дополнительно начисленных налогов, и пеню, начисленную по ставке рефинансирования, установленной Национальным Банком Республики Казахстан, умноженной на 2,5. В результате, сумма штрафных санкций и пени может в несколько раз превышать суммы подлежащих доначислению налогов. Финансовые периоды остаются открытыми для проверки налоговыми органами в течение 5 (пяти) календарных лет, предшествующих году, в котором проводится проверка. При определенных обстоятельствах налоговые проверки могут охватывать более длительные периоды. Ввиду вышеизложенного, окончательная сумма налогов, штрафных санкций и пени, если таковые имеются, может превысить сумму, отнесенную на расходы по настоящее время и начисленную на 31 декабря 2013 года.</w:t>
      </w:r>
    </w:p>
    <w:p>
      <w:pPr>
        <w:spacing w:after="0"/>
        <w:ind w:left="0"/>
        <w:jc w:val="both"/>
      </w:pPr>
      <w:r>
        <w:rPr>
          <w:rFonts w:ascii="Times New Roman"/>
          <w:b w:val="false"/>
          <w:i w:val="false"/>
          <w:color w:val="000000"/>
          <w:sz w:val="28"/>
        </w:rPr>
        <w:t>
      Руководство считает, что по состоянию на 31 декабря 2013 года его толкование применимого законодательства является соответствующим и существует вероятность того, что позиция Группы по налогам будет подтверждена, кроме случаев, когда резервы начислены в настоящих консолидированных формах финансовой отчетности.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Провизии в отношении активов, размещенных в АО "БТА Банк"</w:t>
      </w:r>
    </w:p>
    <w:p>
      <w:pPr>
        <w:spacing w:after="0"/>
        <w:ind w:left="0"/>
        <w:jc w:val="both"/>
      </w:pPr>
      <w:r>
        <w:rPr>
          <w:rFonts w:ascii="Times New Roman"/>
          <w:b w:val="false"/>
          <w:i w:val="false"/>
          <w:color w:val="000000"/>
          <w:sz w:val="28"/>
        </w:rPr>
        <w:t>
      В сентябре 2010 года Налоговый Комитет по г. Астана осуществил комплексную налоговую проверку деятельности Фонда за 2009 год. В ходе налоговой проверки налоговые органы подняли вопрос о правомочности вычитания провизий для целей расчета корпоративного подоходного налога за 2009 год. Фонд с результатами налоговой проверки не согласился, на дату выпуска консолидированных форм финансовой отчетности обжалование направлено в Налоговый комитет Министерства Финансов Республики Казахстан.</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2275 от 30 декабря 2009 года были утверждены Правила "отнесения активов и условных обязательств к категории сомнительных и безнадежных национальным управляющим холдингом, а также юридическими лицами,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имеющих право на вычет суммы расходов по созданию провизий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лиц либо третьим лицам по обязательствам взаимосвязанных лиц (кроме активов и условных обязательств кредитных товариществ) (далее "Правила"). </w:t>
      </w:r>
    </w:p>
    <w:p>
      <w:pPr>
        <w:spacing w:after="0"/>
        <w:ind w:left="0"/>
        <w:jc w:val="both"/>
      </w:pPr>
      <w:r>
        <w:rPr>
          <w:rFonts w:ascii="Times New Roman"/>
          <w:b w:val="false"/>
          <w:i w:val="false"/>
          <w:color w:val="000000"/>
          <w:sz w:val="28"/>
        </w:rPr>
        <w:t>
      В соответствии с Правилами, Фонд признал и отнес на вычеты для целей расчета корпоративного подоходного налога провизии в отношении активов, размещенных в АО "БТА Банк", на сумму 177.352.000 тысяч тенге (далее "Провизии").</w:t>
      </w:r>
    </w:p>
    <w:p>
      <w:pPr>
        <w:spacing w:after="0"/>
        <w:ind w:left="0"/>
        <w:jc w:val="both"/>
      </w:pPr>
      <w:r>
        <w:rPr>
          <w:rFonts w:ascii="Times New Roman"/>
          <w:b w:val="false"/>
          <w:i w:val="false"/>
          <w:color w:val="000000"/>
          <w:sz w:val="28"/>
        </w:rPr>
        <w:t>
      Руководство Фонда считает, что по состоянию на 31 декабря 2013 года его толкование применимого законодательства (включая Правила) является соответствующим и позиция Фонда в отношении отнесения на вычеты данных провизий будет подтверждена. Соответственно, в данных консолидированных формах финансовой отчетности Группа не признала какие-либо резервы, связанные с возможными доначислениями со стороны налоговых органов.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Провизии АО "БТА Банк" в отношении налоговых обязательств</w:t>
      </w:r>
    </w:p>
    <w:p>
      <w:pPr>
        <w:spacing w:after="0"/>
        <w:ind w:left="0"/>
        <w:jc w:val="both"/>
      </w:pPr>
      <w:r>
        <w:rPr>
          <w:rFonts w:ascii="Times New Roman"/>
          <w:b w:val="false"/>
          <w:i w:val="false"/>
          <w:color w:val="000000"/>
          <w:sz w:val="28"/>
        </w:rPr>
        <w:t>
      По состоянию на 31 декабря 2013 года у Банка имеется значительный объем проблемных займов, по которым полностью или частично созданы провизии под обесценение. Согласно действующему Налоговому Кодексу РК, уменьшение размера требования к должнику может повлечь следующие потенциальные налоговые последствия для Банка:</w:t>
      </w:r>
    </w:p>
    <w:p>
      <w:pPr>
        <w:spacing w:after="0"/>
        <w:ind w:left="0"/>
        <w:jc w:val="both"/>
      </w:pPr>
      <w:r>
        <w:rPr>
          <w:rFonts w:ascii="Times New Roman"/>
          <w:b w:val="false"/>
          <w:i w:val="false"/>
          <w:color w:val="000000"/>
          <w:sz w:val="28"/>
        </w:rPr>
        <w:t>
      - доход для целей корпоративного подоходного налога от снижения размеров созданных провизий (резервов), ранее отнесенных Банком на вычеты, за исключением случаев, предусмотренных Налоговым Кодексом РК;</w:t>
      </w:r>
    </w:p>
    <w:p>
      <w:pPr>
        <w:spacing w:after="0"/>
        <w:ind w:left="0"/>
        <w:jc w:val="both"/>
      </w:pPr>
      <w:r>
        <w:rPr>
          <w:rFonts w:ascii="Times New Roman"/>
          <w:b w:val="false"/>
          <w:i w:val="false"/>
          <w:color w:val="000000"/>
          <w:sz w:val="28"/>
        </w:rPr>
        <w:t>
      - обязательство по корпоративному или индивидуальному подоходному налогу у источника выплаты по ставке 20% по заемщикам-нерезидентам РК;</w:t>
      </w:r>
    </w:p>
    <w:p>
      <w:pPr>
        <w:spacing w:after="0"/>
        <w:ind w:left="0"/>
        <w:jc w:val="both"/>
      </w:pPr>
      <w:r>
        <w:rPr>
          <w:rFonts w:ascii="Times New Roman"/>
          <w:b w:val="false"/>
          <w:i w:val="false"/>
          <w:color w:val="000000"/>
          <w:sz w:val="28"/>
        </w:rPr>
        <w:t>
      Банк не может надежно определить сумму потенциальных налоговых обязательств, которые могут возникнуть в результате прощения долга по указанным проблемным займам. Вследствие этого Банком не были созданы провизии по данным потенциальным налоговым обязательствам.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 по трансфертному ценообразованию</w:t>
      </w:r>
    </w:p>
    <w:p>
      <w:pPr>
        <w:spacing w:after="0"/>
        <w:ind w:left="0"/>
        <w:jc w:val="both"/>
      </w:pPr>
      <w:r>
        <w:rPr>
          <w:rFonts w:ascii="Times New Roman"/>
          <w:b w:val="false"/>
          <w:i w:val="false"/>
          <w:color w:val="000000"/>
          <w:sz w:val="28"/>
        </w:rPr>
        <w:t>
      Контроль по трансфертному ценообразованию в Казахстане имеет очень широкий спектр и применяется ко многим операциям, которые напрямую или косвенно связаны с международными сделками, независимо от того, являются ли стороны сделок связанными или нет. Закон о трансфертном ценообразовании требует, чтобы все налоги, применимые к операциям, были рассчитаны на основании рыночных цен, определенных по принципу вытянутой руки.</w:t>
      </w:r>
    </w:p>
    <w:p>
      <w:pPr>
        <w:spacing w:after="0"/>
        <w:ind w:left="0"/>
        <w:jc w:val="both"/>
      </w:pPr>
      <w:r>
        <w:rPr>
          <w:rFonts w:ascii="Times New Roman"/>
          <w:b w:val="false"/>
          <w:i w:val="false"/>
          <w:color w:val="000000"/>
          <w:sz w:val="28"/>
        </w:rPr>
        <w:t xml:space="preserve">
      Новый закон о трансфертном ценообразовании в Казахстане вступил в силу с 1 января 2009 года. Новый закон не является четко выраженным и некоторые из его положений имеют малый опыт применения. Более того, закон не предоставляет детальных инструкций, которые находятся на стадии разработки. В результате, применение закона о трансфертном ценообразовании к различным видам операций не является четко выраженным. </w:t>
      </w:r>
    </w:p>
    <w:p>
      <w:pPr>
        <w:spacing w:after="0"/>
        <w:ind w:left="0"/>
        <w:jc w:val="both"/>
      </w:pPr>
      <w:r>
        <w:rPr>
          <w:rFonts w:ascii="Times New Roman"/>
          <w:b w:val="false"/>
          <w:i w:val="false"/>
          <w:color w:val="000000"/>
          <w:sz w:val="28"/>
        </w:rPr>
        <w:t>
      Из-за неопределенностей, связанных с Казахстанским законом о трансфертном ценообразовании, существует риск того, что позиция налоговых органов может отличаться от позиции Группы, что может привести к начислению дополнительных сумм налогов, штрафов и пени по состоянию на 31 декабря 2013 года.</w:t>
      </w:r>
    </w:p>
    <w:p>
      <w:pPr>
        <w:spacing w:after="0"/>
        <w:ind w:left="0"/>
        <w:jc w:val="both"/>
      </w:pPr>
      <w:r>
        <w:rPr>
          <w:rFonts w:ascii="Times New Roman"/>
          <w:b w:val="false"/>
          <w:i w:val="false"/>
          <w:color w:val="000000"/>
          <w:sz w:val="28"/>
        </w:rPr>
        <w:t>
      Руководство считает, что по состоянию на 31 декабря 2013 года его толкование применимого законодательства по трансфертному ценообразованию является соответствующим и существует вероятность того, что позиция Группы по трансфертному ценообразованию будет подтверждена.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Налоговые обязательства предприятий в Грузии (КТО)</w:t>
      </w:r>
    </w:p>
    <w:p>
      <w:pPr>
        <w:spacing w:after="0"/>
        <w:ind w:left="0"/>
        <w:jc w:val="both"/>
      </w:pPr>
      <w:r>
        <w:rPr>
          <w:rFonts w:ascii="Times New Roman"/>
          <w:b w:val="false"/>
          <w:i w:val="false"/>
          <w:color w:val="000000"/>
          <w:sz w:val="28"/>
        </w:rPr>
        <w:t>
      В соответствии с Налоговым кодексом Грузии (далее "НКГ"), налоговые органы Грузии имеют право принять решение об использовании рыночных цен для целей налогообложения в случае, если сделка осуществляется между связанными сторонами. Хотя НКГ содержит определенное руководство по определению рыночных цен товаров и услуг, сам механизм определения недостаточно разработан и в Грузии отсутствует отдельное законодательство по трансфертному ценообразованию. Наличие подобной неясности создает неопределенности в части позиции, которую могут занять налоговые органы при рассмотрении налогообложения сделок между связанными сторонами.</w:t>
      </w:r>
    </w:p>
    <w:p>
      <w:pPr>
        <w:spacing w:after="0"/>
        <w:ind w:left="0"/>
        <w:jc w:val="both"/>
      </w:pPr>
      <w:r>
        <w:rPr>
          <w:rFonts w:ascii="Times New Roman"/>
          <w:b w:val="false"/>
          <w:i w:val="false"/>
          <w:color w:val="000000"/>
          <w:sz w:val="28"/>
        </w:rPr>
        <w:t xml:space="preserve">
      Грузинские дочерние организации НК КМГ имеют существенный объем сделок с иностранными дочерними организациями НК КМГ, а также между собой. Эти сделки попадают под определение сделок между связанными сторонами и могут быть оспорены налоговыми органами Грузии. </w:t>
      </w:r>
    </w:p>
    <w:p>
      <w:pPr>
        <w:spacing w:after="0"/>
        <w:ind w:left="0"/>
        <w:jc w:val="both"/>
      </w:pPr>
      <w:r>
        <w:rPr>
          <w:rFonts w:ascii="Times New Roman"/>
          <w:b w:val="false"/>
          <w:i w:val="false"/>
          <w:color w:val="000000"/>
          <w:sz w:val="28"/>
        </w:rPr>
        <w:t>
      Руководство НК КМГ считает, что у него имеются существенные аргументы для обоснования того, что ценообразование в сделках между организациями НК КМГ осуществляется на рыночных условиях. Однако, вследствие отсутствия законодательной базы по определению рыночных цен, налоговые органы Грузии могут занять в этом вопросе позицию, которая отличается от позиции, занятой НК КМГ.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Налоговая проверка НК КТЖ</w:t>
      </w:r>
    </w:p>
    <w:p>
      <w:pPr>
        <w:spacing w:after="0"/>
        <w:ind w:left="0"/>
        <w:jc w:val="both"/>
      </w:pPr>
      <w:r>
        <w:rPr>
          <w:rFonts w:ascii="Times New Roman"/>
          <w:b w:val="false"/>
          <w:i w:val="false"/>
          <w:color w:val="000000"/>
          <w:sz w:val="28"/>
        </w:rPr>
        <w:t>
      В течение 2012 и 2011 годов в НК КТЖ проводилась комплексная налоговая проверка за период с 2007 года по 2010 год. По результатам данной проверки налоговые органы определили налоги к доначислению, включая штрафы и пени на сумму 13.289.000 тысяч тенге. НК КТЖ считает данные доначисления неправомерными и намерена оспаривать их в суде. НК КТЖ признала резерв по налогам в размере 757.000 тысяч тенге, которое представляет собой наилучшую оценку руководства в отношении сумм, необходимых для будущих выплат.</w:t>
      </w:r>
    </w:p>
    <w:bookmarkStart w:name="z363" w:id="362"/>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лицензиям и контрактам на недропользование</w:t>
      </w:r>
    </w:p>
    <w:bookmarkEnd w:id="362"/>
    <w:p>
      <w:pPr>
        <w:spacing w:after="0"/>
        <w:ind w:left="0"/>
        <w:jc w:val="both"/>
      </w:pPr>
      <w:r>
        <w:rPr>
          <w:rFonts w:ascii="Times New Roman"/>
          <w:b w:val="false"/>
          <w:i w:val="false"/>
          <w:color w:val="000000"/>
          <w:sz w:val="28"/>
        </w:rPr>
        <w:t>
      По состоянию на 31 декабря 2013 года Группа, включая совместные предприятия, имела следующие обязательства в отношении исполнения программ минимальных работ в соответствии с условиями лицензий, соглашений о разделе продукции и контрактов на недропользование, заключенных с Правительством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4276"/>
        <w:gridCol w:w="4276"/>
      </w:tblGrid>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201.491.000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52.428.000</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86.214.000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42.902.000</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73.332.000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45.033.000</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19.654.000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43.032.000</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2018-2024</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37.815.000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254.010.000</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418.506.000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437.405.000</w:t>
            </w:r>
          </w:p>
        </w:tc>
      </w:tr>
    </w:tbl>
    <w:p>
      <w:pPr>
        <w:spacing w:after="0"/>
        <w:ind w:left="0"/>
        <w:jc w:val="left"/>
      </w:pPr>
      <w:r>
        <w:br/>
      </w:r>
      <w:r>
        <w:rPr>
          <w:rFonts w:ascii="Times New Roman"/>
          <w:b w:val="false"/>
          <w:i w:val="false"/>
          <w:color w:val="000000"/>
          <w:sz w:val="28"/>
        </w:rPr>
        <w:t>
</w:t>
      </w:r>
    </w:p>
    <w:bookmarkStart w:name="z364" w:id="363"/>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поставкам на внутренний рынок</w:t>
      </w:r>
    </w:p>
    <w:bookmarkEnd w:id="363"/>
    <w:p>
      <w:pPr>
        <w:spacing w:after="0"/>
        <w:ind w:left="0"/>
        <w:jc w:val="both"/>
      </w:pPr>
      <w:r>
        <w:rPr>
          <w:rFonts w:ascii="Times New Roman"/>
          <w:b w:val="false"/>
          <w:i w:val="false"/>
          <w:color w:val="000000"/>
          <w:sz w:val="28"/>
        </w:rPr>
        <w:t>
      Правительство Республики Казахстан требует от компаний, занимающихся производством сырой нефти и продажей нефтепродуктов, на ежегодной основе поставлять часть продукции для удовлетворения энергетической потребности внутреннего рынка, в основном для поддержания баланса поставок нефтепродуктов на внутреннем рынке и для поддержки производителей сельскохозяйственной продукции в ходе весенней посевной и осенней уборочной кампаний. Цены на нефть на местном рынке значительно ниже экспортных цен и даже ниже обычных цен на внутреннем рынке, установленных в сделках между независимыми сторонами. В случае если Правительство обяжет поставить дополнительный объем сырой нефти, превышающий объем, поставляемый НК КМГ в настоящее время, такие поставки будут иметь приоритет перед поставками по рыночным ценам, и будут генерировать значительно меньше доходов от продажи сырой нефти на экспорт, что в свою очередь может отрицательно повлиять на деятельность, перспективы, финансовое положение и результаты деятельности НК КМГ. В 2013 году в соответствии со своими обязательствами Группа поставила 2.898.025 тонн сырой нефти (2012: 2.936.540 тонн) на внутренний рынок.</w:t>
      </w:r>
    </w:p>
    <w:bookmarkStart w:name="z365" w:id="364"/>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инвестиционного характера</w:t>
      </w:r>
    </w:p>
    <w:bookmarkEnd w:id="364"/>
    <w:p>
      <w:pPr>
        <w:spacing w:after="0"/>
        <w:ind w:left="0"/>
        <w:jc w:val="both"/>
      </w:pPr>
      <w:r>
        <w:rPr>
          <w:rFonts w:ascii="Times New Roman"/>
          <w:b w:val="false"/>
          <w:i w:val="false"/>
          <w:color w:val="000000"/>
          <w:sz w:val="28"/>
        </w:rPr>
        <w:t xml:space="preserve">
      </w:t>
      </w:r>
      <w:r>
        <w:rPr>
          <w:rFonts w:ascii="Times New Roman"/>
          <w:b w:val="false"/>
          <w:i/>
          <w:color w:val="000000"/>
          <w:sz w:val="28"/>
        </w:rPr>
        <w:t>НК КТЖ</w:t>
      </w:r>
    </w:p>
    <w:p>
      <w:pPr>
        <w:spacing w:after="0"/>
        <w:ind w:left="0"/>
        <w:jc w:val="both"/>
      </w:pPr>
      <w:r>
        <w:rPr>
          <w:rFonts w:ascii="Times New Roman"/>
          <w:b w:val="false"/>
          <w:i w:val="false"/>
          <w:color w:val="000000"/>
          <w:sz w:val="28"/>
        </w:rPr>
        <w:t>
      По состоянию на 31 декабря 2013 года у НК КТЖ имелись инвестиционные обязательства по строительству железнодорожных линий "Жезказган - Бейнеу" и "Аркалык - Шубарколь", строительству многофункционального Ледового дворца в г. Астана, первичной магистральной транспортной сети связи, приобретению грузовых и пассажирских электровозов, грузовых и пассажирских вагонов, магистральных тепловозов на общую сумму 567.979.000 тысяч тенге (2012: 748.373.000 тысяч тенге). Данная сумма включает обязательства на приобретение пассажирских электровозов у совместного предприятия ТОО "Электровоз қерастыру зауыты" на сумму 215.934.000 тысяч тенге (2012: 255.040.000 тысяч тенге) с поставкой до 31 декабря 2020 года, локомотивов у совместного предприятия АО "Локомотив қурастыру зауыты" на сумму 82.174.000 тысяч тенге, а также обязательства на приобретение пассажирских вагонов у совместного предприятия ТОО "Телпар–Тальго" на сумму 21.139.000 тысяч тенге (2012: 41.034.000 тысяч тенге) с поставкой до 31 декабря 2014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НК КМГ</w:t>
      </w:r>
    </w:p>
    <w:p>
      <w:pPr>
        <w:spacing w:after="0"/>
        <w:ind w:left="0"/>
        <w:jc w:val="both"/>
      </w:pPr>
      <w:r>
        <w:rPr>
          <w:rFonts w:ascii="Times New Roman"/>
          <w:b w:val="false"/>
          <w:i w:val="false"/>
          <w:color w:val="000000"/>
          <w:sz w:val="28"/>
        </w:rPr>
        <w:t>
      По состоянию на 31 декабря 2013 года у НК КМГ имелись договорные обязательства по приобретению и строительству основных средств на общую сумму 641 миллиард тенге (2012: 540 миллиардов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KEGOC</w:t>
      </w:r>
    </w:p>
    <w:p>
      <w:pPr>
        <w:spacing w:after="0"/>
        <w:ind w:left="0"/>
        <w:jc w:val="both"/>
      </w:pPr>
      <w:r>
        <w:rPr>
          <w:rFonts w:ascii="Times New Roman"/>
          <w:b w:val="false"/>
          <w:i w:val="false"/>
          <w:color w:val="000000"/>
          <w:sz w:val="28"/>
        </w:rPr>
        <w:t>
      На 31 декабря 2013 года KEGOC имело инвестиционные обязательства по проектам, связанным со строительством подстанций и линий электропередач и модернизацией электрической сети в сумме 68.612.000 тысяч тенге (2012: 31.678.000 тысяч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Эйр Астана</w:t>
      </w:r>
    </w:p>
    <w:p>
      <w:pPr>
        <w:spacing w:after="0"/>
        <w:ind w:left="0"/>
        <w:jc w:val="both"/>
      </w:pPr>
      <w:r>
        <w:rPr>
          <w:rFonts w:ascii="Times New Roman"/>
          <w:b w:val="false"/>
          <w:i w:val="false"/>
          <w:color w:val="000000"/>
          <w:sz w:val="28"/>
        </w:rPr>
        <w:t xml:space="preserve">
      В течение 2008 года, Эйр Астана подписала Соглашение с компанией Airbus на приобретение 6 (шести) узкофюзеляжных воздушных судов Airbus. Эйр Астана выплачивает предоплату в соответствии с оговоренной таблицей платежей. Выплаты начались в 2008 году, и последний платеж был выплачен в 2013 году. В течение 2012 года и 2013 года Эйр Астана заключила договоры финансовой аренды с фиксированной процентной ставкой на поставку 3 (трех) воздушных судов Airbus и оставшихся 3 (трех), соответственно. Данная аренда выражена в долларах США со сроком погашения 12 (двенадцать) лет. Займы, выданные финансовыми институтами лизингодателю, находятся под гарантией Европейских Экспортно-Кредитных Агентств. </w:t>
      </w:r>
    </w:p>
    <w:p>
      <w:pPr>
        <w:spacing w:after="0"/>
        <w:ind w:left="0"/>
        <w:jc w:val="both"/>
      </w:pPr>
      <w:r>
        <w:rPr>
          <w:rFonts w:ascii="Times New Roman"/>
          <w:b w:val="false"/>
          <w:i w:val="false"/>
          <w:color w:val="000000"/>
          <w:sz w:val="28"/>
        </w:rPr>
        <w:t xml:space="preserve">
      В течение 2011 года, Эйр Астана подписала соглашение с компанией Embraer на покупку 2 (двух) узкофюзеляжных воздушных судов Embraer-190. Эйр Астана выплачивала предоплату с 2011 года в соответствии с оговоренной таблицей платежей, с выполненной доставкой первого воздушного судна в ноябре 2012 года и второго воздушного судна в декабре 2013 года, выраженной в долларах США, с фиксированной процентной ставкой со сроком погашения 12 (двенадцать) лет. </w:t>
      </w:r>
    </w:p>
    <w:p>
      <w:pPr>
        <w:spacing w:after="0"/>
        <w:ind w:left="0"/>
        <w:jc w:val="both"/>
      </w:pPr>
      <w:r>
        <w:rPr>
          <w:rFonts w:ascii="Times New Roman"/>
          <w:b w:val="false"/>
          <w:i w:val="false"/>
          <w:color w:val="000000"/>
          <w:sz w:val="28"/>
        </w:rPr>
        <w:t>
      В течение 2012 года Эйр-Астана подписала соглашение с компанией Boeing на покупку 3 (трех) воздушных судов Boeing-767 и 3 (трех) Boeing-787. Эйр Астана выплачивает предоплату в соответствии с оговоренной таблицей платежей. В отношении Boeing-767 50% предоплаты выплачивается из собственных средств и 50% финансируется за счет займов. Заемные средства в отношении первых двух Boeing-767 были выплачены Эйр-Астана на поставку каждого воздушного судна в 2013 году. Последняя предоплата в отношении Boeing-767 была в 2013 году. Два Boeing-767 были поставлены в сентябре и октябре 2013 года, третий ожидается в середине 2014 года. Поставка Boeing-787 ожидается в 2017 и 2019 годах с последней ожидаемой предоплатой в 2018 году.</w:t>
      </w:r>
    </w:p>
    <w:p>
      <w:pPr>
        <w:spacing w:after="0"/>
        <w:ind w:left="0"/>
        <w:jc w:val="both"/>
      </w:pPr>
      <w:r>
        <w:rPr>
          <w:rFonts w:ascii="Times New Roman"/>
          <w:b w:val="false"/>
          <w:i w:val="false"/>
          <w:color w:val="000000"/>
          <w:sz w:val="28"/>
        </w:rPr>
        <w:t>
      В июне 2013 года Эйр Астана подписала предварительное соглашение с финансовой корпорацией США на финансирование покупки 3 (трех) воздушных судов Boeing-767 под гарантией US Export-Import Bank. Этот инструмент использовался для финансирования поставки Boeing-767 в сентябре и октябре 2013 года, соответственно, в то время как поставка третьего воздушного судна ожидается в середине 2014 года.</w:t>
      </w:r>
    </w:p>
    <w:p>
      <w:pPr>
        <w:spacing w:after="0"/>
        <w:ind w:left="0"/>
        <w:jc w:val="both"/>
      </w:pPr>
      <w:r>
        <w:rPr>
          <w:rFonts w:ascii="Times New Roman"/>
          <w:b w:val="false"/>
          <w:i w:val="false"/>
          <w:color w:val="000000"/>
          <w:sz w:val="28"/>
        </w:rPr>
        <w:t xml:space="preserve">
      Условия соглашений Эйр Астаны с вышеуказанными поставщиками исключают возможность раскрытия стоимости приобретения.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"Фонд недвижимости "Самрук-Казына" (далее "Фонд недвижимости")</w:t>
      </w:r>
    </w:p>
    <w:p>
      <w:pPr>
        <w:spacing w:after="0"/>
        <w:ind w:left="0"/>
        <w:jc w:val="both"/>
      </w:pPr>
      <w:r>
        <w:rPr>
          <w:rFonts w:ascii="Times New Roman"/>
          <w:b w:val="false"/>
          <w:i w:val="false"/>
          <w:color w:val="000000"/>
          <w:sz w:val="28"/>
        </w:rPr>
        <w:t>
      На 31 декабря 2013 года у Фонда недвижимости имелись договорные обязательства в сумме 25.243.000 тысяч тенге (2012: 16.013.000 тысяч тенге) по договорам со строительными компаниями.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Проект "Зеленый квартал"</w:t>
      </w:r>
    </w:p>
    <w:p>
      <w:pPr>
        <w:spacing w:after="0"/>
        <w:ind w:left="0"/>
        <w:jc w:val="both"/>
      </w:pPr>
      <w:r>
        <w:rPr>
          <w:rFonts w:ascii="Times New Roman"/>
          <w:b w:val="false"/>
          <w:i w:val="false"/>
          <w:color w:val="000000"/>
          <w:sz w:val="28"/>
        </w:rPr>
        <w:t xml:space="preserve">
      В соответствии с поручением Правительства Республики Казахстан о реализации проекта "Зеленый квартал" (далее "Проект"), Фонд недвижимости в декабре 2013 года заключил договор о совместной реализации Проекта с TОO "BI Corporation". Согласно заключенному договору, Фонд недвижимости финансирует Проект на общую сумму 44 миллиарда тенге, из которых собственные средства Фонда недвижимости составят 15 миллиардов тенге (оставшаяся сумма будет профинансирована за счет заемных средств, полученных от Материнской компании). </w:t>
      </w:r>
    </w:p>
    <w:p>
      <w:pPr>
        <w:spacing w:after="0"/>
        <w:ind w:left="0"/>
        <w:jc w:val="both"/>
      </w:pPr>
      <w:r>
        <w:rPr>
          <w:rFonts w:ascii="Times New Roman"/>
          <w:b w:val="false"/>
          <w:i w:val="false"/>
          <w:color w:val="000000"/>
          <w:sz w:val="28"/>
        </w:rPr>
        <w:t xml:space="preserve">
      Для реализации Проекта Фонд недвижимости разместит денежные средства в сумме 44 миллиарда тенге на целевой вклад в банках второго уровня на период 18 (восемнадцать) лет под 3,5% годовых, под финансирование банками ТОО "EXPO Village", осуществляющей реализацию Проекта (далее "Проектная компания"). </w:t>
      </w:r>
    </w:p>
    <w:p>
      <w:pPr>
        <w:spacing w:after="0"/>
        <w:ind w:left="0"/>
        <w:jc w:val="both"/>
      </w:pPr>
      <w:r>
        <w:rPr>
          <w:rFonts w:ascii="Times New Roman"/>
          <w:b w:val="false"/>
          <w:i w:val="false"/>
          <w:color w:val="000000"/>
          <w:sz w:val="28"/>
        </w:rPr>
        <w:t>
      В дополнение к договору о совместной реализации Проекта, между ТОО "СК Девелопмент" и ТОО "BI Corporation" подписан договор купли-продажи, по которому Фонд недвижимости имеет намерение приобрести 49,9% доли участия в ТОО "EXPO Village", дочерней организации TОO "BI Corporation" за 100 тенге, с отсрочкой перехода права собственности до более ранней из двух дат: 1 апреля 2017 года или даты ввода объекта в эксплуатацию в рамках Проекта, и будет участвовать в разделе чистой прибыли от реализации объекта недвижимости.</w:t>
      </w:r>
    </w:p>
    <w:p>
      <w:pPr>
        <w:spacing w:after="0"/>
        <w:ind w:left="0"/>
        <w:jc w:val="both"/>
      </w:pPr>
      <w:r>
        <w:rPr>
          <w:rFonts w:ascii="Times New Roman"/>
          <w:b w:val="false"/>
          <w:i w:val="false"/>
          <w:color w:val="000000"/>
          <w:sz w:val="28"/>
        </w:rPr>
        <w:t>
      Данные договора приводят к возникновению у Фонда недвижимости права покупки доли участия в ТОО "EXPO Village", которое является производным финансовым инструментом согласно МСБУ (IAS) 39, и должно быть признано по его справедливой стоимости в консолидированной финансовой отчетности Фонда недвижимости.</w:t>
      </w:r>
    </w:p>
    <w:p>
      <w:pPr>
        <w:spacing w:after="0"/>
        <w:ind w:left="0"/>
        <w:jc w:val="both"/>
      </w:pPr>
      <w:r>
        <w:rPr>
          <w:rFonts w:ascii="Times New Roman"/>
          <w:b w:val="false"/>
          <w:i w:val="false"/>
          <w:color w:val="000000"/>
          <w:sz w:val="28"/>
        </w:rPr>
        <w:t>
      По мнению руководства Фонда недвижимости, на отчетную дату существуют существенные неопределенности, связанные с реализацией данного Проекта, которые не позволяют оценить справедливую стоимость данного финансового инструмента с высокой долей уверенности, поскольку Фонд недвижимости пока еще не получила финансирование и не утвердила проектно-сметную документацию по Проекту. Соответственно, данное право на покупку доли участия не было признано в данных консолидированных формах финансовой отчетности Группы, как не удовлетворяющее критериям признания активов согласно МСФО.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"Интергаз Центральная Азия" (далее "ИЦА", дочерняя организация НК КМГ)</w:t>
      </w:r>
    </w:p>
    <w:p>
      <w:pPr>
        <w:spacing w:after="0"/>
        <w:ind w:left="0"/>
        <w:jc w:val="both"/>
      </w:pPr>
      <w:r>
        <w:rPr>
          <w:rFonts w:ascii="Times New Roman"/>
          <w:b w:val="false"/>
          <w:i w:val="false"/>
          <w:color w:val="000000"/>
          <w:sz w:val="28"/>
        </w:rPr>
        <w:t>
      По условиям Договора концессии с Правительством Республики Казахстан ИЦА имеет обязательство ежегодно инвестировать 30 миллионов долларов США (4.608.000 тысяч тенге) на улучшение и ремонт переданных газотранспортных активов и на инвестиции в новые газотранспортные активы. По состоянию на 31 декабря 2013 года ИЦА имела контрактные обязательства, относящиеся к данному инвестиционному обязательству, на сумму приблизительно 72.701.000 тысяч тенге (2012: 52.330.000 тысяч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Кыргызский обвод (ИЦА)</w:t>
      </w:r>
    </w:p>
    <w:p>
      <w:pPr>
        <w:spacing w:after="0"/>
        <w:ind w:left="0"/>
        <w:jc w:val="both"/>
      </w:pPr>
      <w:r>
        <w:rPr>
          <w:rFonts w:ascii="Times New Roman"/>
          <w:b w:val="false"/>
          <w:i w:val="false"/>
          <w:color w:val="000000"/>
          <w:sz w:val="28"/>
        </w:rPr>
        <w:t>
      Группа обязана, при соблюдении определенных условий, которые включают возмещение тарифа, разработать и построить Кыргызский обвод по стоимости, которая была определена в Договоре Концессии в размере примерно 90–100 миллионов долларов США. Данный актив будет передан в собственность Республики Казахстан либо по окончании срока Договора Концессии, либо через 20 (двадцать) лет после завершения, в зависимости оттого, что наступит позднее, за один доллар США. Строительство этого обвода еще не началось.</w:t>
      </w:r>
    </w:p>
    <w:p>
      <w:pPr>
        <w:spacing w:after="0"/>
        <w:ind w:left="0"/>
        <w:jc w:val="both"/>
      </w:pPr>
      <w:r>
        <w:rPr>
          <w:rFonts w:ascii="Times New Roman"/>
          <w:b w:val="false"/>
          <w:i w:val="false"/>
          <w:color w:val="000000"/>
          <w:sz w:val="28"/>
        </w:rPr>
        <w:t>
      Руководство считает, что оно предприняло все необходимые шаги для выполнения обязательств Группы в этом вопросе, в том числе рассматривает вопрос о принятии в управление участка газопровода, принадлежащего Республике Кыргызстан. Однако новые внутренние тарифы, которые по условиям Договора Концессии являются непременным условием начала строительства Кыргызского обвода, еще не опубликованы по состоянию на 31 декабря 2013 года.</w:t>
      </w:r>
    </w:p>
    <w:p>
      <w:pPr>
        <w:spacing w:after="0"/>
        <w:ind w:left="0"/>
        <w:jc w:val="both"/>
      </w:pPr>
      <w:r>
        <w:rPr>
          <w:rFonts w:ascii="Times New Roman"/>
          <w:b w:val="false"/>
          <w:i w:val="false"/>
          <w:color w:val="000000"/>
          <w:sz w:val="28"/>
        </w:rPr>
        <w:t>
      Правительство Республики Казахстан ежегодно осуществляет проверку выполнения Группы своих обязательств по Договору Концессии, включая выполнение Группой инвестиционных обязательств. Проверка выполнения обязательств по Договору Концессии за 2013 год будет проведена в 2014 году. Руководство считает, что Группа выполняет требования по инвестиционным обязательствам по состоянию на 31 декабря 2013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Самрук-Энерго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Обязательства капитального характера совместных предприят</w:t>
      </w:r>
      <w:r>
        <w:rPr>
          <w:rFonts w:ascii="Times New Roman"/>
          <w:b w:val="false"/>
          <w:i w:val="false"/>
          <w:color w:val="000000"/>
          <w:sz w:val="28"/>
        </w:rPr>
        <w:t>ий</w:t>
      </w:r>
    </w:p>
    <w:p>
      <w:pPr>
        <w:spacing w:after="0"/>
        <w:ind w:left="0"/>
        <w:jc w:val="both"/>
      </w:pPr>
      <w:r>
        <w:rPr>
          <w:rFonts w:ascii="Times New Roman"/>
          <w:b w:val="false"/>
          <w:i w:val="false"/>
          <w:color w:val="000000"/>
          <w:sz w:val="28"/>
        </w:rPr>
        <w:t>
      По состоянию на 31 декабря 2013 года доля Группы в капитальных обязательствах совместных предприятий составила 105.830.000 тысяч тенге (2012: 57.501.000 тысяч тенге). Жамбылская ГРЭС не имеет существенных обязательств капитального характера на 31 декабря 2013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Инвестиционные обязательства совместных предприятий</w:t>
      </w:r>
    </w:p>
    <w:p>
      <w:pPr>
        <w:spacing w:after="0"/>
        <w:ind w:left="0"/>
        <w:jc w:val="both"/>
      </w:pPr>
      <w:r>
        <w:rPr>
          <w:rFonts w:ascii="Times New Roman"/>
          <w:b w:val="false"/>
          <w:i w:val="false"/>
          <w:color w:val="000000"/>
          <w:sz w:val="28"/>
        </w:rPr>
        <w:t xml:space="preserve">
      По состоянию на 31 декабря 2013 года доля Группы в инвестиционных обязательствах Экибастузской ГРЭС-1 и Экибастузской ГРЭС-2 составляет 42.377.000 тысяч тенге (2012: 57.501.000 тысяч тенге). Жамбылская ГРЭС не имеет существенных инвестиционных обязательств по состоянию на 31 декабря 2013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контрактные обязательства</w:t>
      </w:r>
    </w:p>
    <w:p>
      <w:pPr>
        <w:spacing w:after="0"/>
        <w:ind w:left="0"/>
        <w:jc w:val="both"/>
      </w:pPr>
      <w:r>
        <w:rPr>
          <w:rFonts w:ascii="Times New Roman"/>
          <w:b w:val="false"/>
          <w:i w:val="false"/>
          <w:color w:val="000000"/>
          <w:sz w:val="28"/>
        </w:rPr>
        <w:t>
      На 31 декабря 2013 года прочие контрактные обязательства Группы по приобретению основных средств составляли примерно 81.552.000 тысяч тенге (2012: 36.426.000 тысяч тенге)</w:t>
      </w:r>
    </w:p>
    <w:bookmarkStart w:name="z366" w:id="365"/>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операционной аренде</w:t>
      </w:r>
    </w:p>
    <w:bookmarkEnd w:id="365"/>
    <w:p>
      <w:pPr>
        <w:spacing w:after="0"/>
        <w:ind w:left="0"/>
        <w:jc w:val="both"/>
      </w:pPr>
      <w:r>
        <w:rPr>
          <w:rFonts w:ascii="Times New Roman"/>
          <w:b w:val="false"/>
          <w:i w:val="false"/>
          <w:color w:val="000000"/>
          <w:sz w:val="28"/>
        </w:rPr>
        <w:t xml:space="preserve">
      Обязательства по операционной аренде в основном связаны с арендой самолетов со сроками аренды от 5 (пяти) до 10 (десяти) лет. Все договора операционной аренды содержат разделы по обновлению рыночных цен в случае, если Эйр Астана воспользуется возможностью их продления. Эйр Астана не имеет возможности приобретения арендованных активов по окончании срока аренды. </w:t>
      </w:r>
    </w:p>
    <w:p>
      <w:pPr>
        <w:spacing w:after="0"/>
        <w:ind w:left="0"/>
        <w:jc w:val="both"/>
      </w:pPr>
      <w:r>
        <w:rPr>
          <w:rFonts w:ascii="Times New Roman"/>
          <w:b w:val="false"/>
          <w:i w:val="false"/>
          <w:color w:val="000000"/>
          <w:sz w:val="28"/>
        </w:rPr>
        <w:t>
      На 31 декабря обязательства по операционной аренде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5262"/>
        <w:gridCol w:w="5262"/>
      </w:tblGrid>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года</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17.505.000</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18.427.000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одного года до пяти лет</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53.995.000</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41.136.000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пяти лет</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4.406.000</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15.135.000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75.906.000</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74.698.000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Обязательные платежи по операционной аренде включают в себя как фиксированные арендные платежи, так и определенную часть платежей по техническому обслуживанию, которая варьируется в зависимости от налета часов. </w:t>
      </w:r>
    </w:p>
    <w:p>
      <w:pPr>
        <w:spacing w:after="0"/>
        <w:ind w:left="0"/>
        <w:jc w:val="both"/>
      </w:pPr>
      <w:r>
        <w:rPr>
          <w:rFonts w:ascii="Times New Roman"/>
          <w:b w:val="false"/>
          <w:i w:val="false"/>
          <w:color w:val="000000"/>
          <w:sz w:val="28"/>
        </w:rPr>
        <w:t>
      Фиксированные и переменные арендные платежи деноминированы и подлежат оплате в долларах США. Данная валюта повседневно используется в международных расчетах при аренде воздушных судов.</w:t>
      </w:r>
    </w:p>
    <w:bookmarkStart w:name="z367" w:id="366"/>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Лицензионные обязательства Казахтелеком</w:t>
      </w:r>
    </w:p>
    <w:bookmarkEnd w:id="366"/>
    <w:p>
      <w:pPr>
        <w:spacing w:after="0"/>
        <w:ind w:left="0"/>
        <w:jc w:val="both"/>
      </w:pPr>
      <w:r>
        <w:rPr>
          <w:rFonts w:ascii="Times New Roman"/>
          <w:b w:val="false"/>
          <w:i w:val="false"/>
          <w:color w:val="000000"/>
          <w:sz w:val="28"/>
        </w:rPr>
        <w:t>
      В соответствии с условиями ряда лицензий на оказание услуг беспроводной связи Казахтелеком имеет определенные обязательства в отношении зоны покрытия своей сети. Казахтелеком обязан расширять покрытие мобильной сети, охватывая районы вдоль основных магистралей, мелких городов и поселков городского типа Республики Казахстан. Руководство считает, что Казахтелеком соблюдает условия лицензий.</w:t>
      </w:r>
    </w:p>
    <w:bookmarkStart w:name="z368" w:id="367"/>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выдаче кредита, гарантий, аккредитивов и прочие обязательства, относящиеся к расчетным операциям</w:t>
      </w:r>
    </w:p>
    <w:bookmarkEnd w:id="367"/>
    <w:p>
      <w:pPr>
        <w:spacing w:after="0"/>
        <w:ind w:left="0"/>
        <w:jc w:val="both"/>
      </w:pPr>
      <w:r>
        <w:rPr>
          <w:rFonts w:ascii="Times New Roman"/>
          <w:b w:val="false"/>
          <w:i w:val="false"/>
          <w:color w:val="000000"/>
          <w:sz w:val="28"/>
        </w:rPr>
        <w:t xml:space="preserve">
      Группа, в любое время, имеет непогашенные обязательства по выдаче кредитов. Эти обязательства принимают форму утвержденных займов и лимитов по кредитным карточкам и овердрафтам и являются аннулируемыми при определенных условиях. </w:t>
      </w:r>
    </w:p>
    <w:p>
      <w:pPr>
        <w:spacing w:after="0"/>
        <w:ind w:left="0"/>
        <w:jc w:val="both"/>
      </w:pPr>
      <w:r>
        <w:rPr>
          <w:rFonts w:ascii="Times New Roman"/>
          <w:b w:val="false"/>
          <w:i w:val="false"/>
          <w:color w:val="000000"/>
          <w:sz w:val="28"/>
        </w:rPr>
        <w:t xml:space="preserve">
      Группа предоставляет финансовые гарантии и аккредитивы с целью гарантирования выполнения клиентами обязательств перед третьими сторонами. Эти соглашения имеют фиксированные лимиты и обычно выдаются на срок до 5 (пяти) лет. </w:t>
      </w:r>
    </w:p>
    <w:p>
      <w:pPr>
        <w:spacing w:after="0"/>
        <w:ind w:left="0"/>
        <w:jc w:val="both"/>
      </w:pPr>
      <w:r>
        <w:rPr>
          <w:rFonts w:ascii="Times New Roman"/>
          <w:b w:val="false"/>
          <w:i w:val="false"/>
          <w:color w:val="000000"/>
          <w:sz w:val="28"/>
        </w:rPr>
        <w:t>
      Контрактные суммы обязательств указаны в следующей таблице по категории. Суммы по обязательствам, показанные в таблице, предполагают, что суммы будут полностью исполнены. Суммы, показанные в таблице по аккредитивам, представляют максимальный учетный убыток, который был бы признан на отчетную дату, если контрагенты полностью не выполнят своих обязательств по контракту.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5029"/>
        <w:gridCol w:w="5029"/>
      </w:tblGrid>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Договорная сумма</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кредитная линия и обязательства по финансовой аренде</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136.225.000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284.196.000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405.920.000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110.879.000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и прочие обязательства, относящиеся к расчетным операциям</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99.274.000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гарантии и вклады с ограничительными условиями</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резерв под банковские аккредитивы и гарантии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Группа использует такую же политику кредитного контроля и управления при принятии на себя забалансовых потенциальных обязательств, которую она использует при осуществлении балансовых операций.</w:t>
      </w:r>
    </w:p>
    <w:p>
      <w:pPr>
        <w:spacing w:after="0"/>
        <w:ind w:left="0"/>
        <w:jc w:val="both"/>
      </w:pPr>
      <w:r>
        <w:rPr>
          <w:rFonts w:ascii="Times New Roman"/>
          <w:b w:val="false"/>
          <w:i w:val="false"/>
          <w:color w:val="000000"/>
          <w:sz w:val="28"/>
        </w:rPr>
        <w:t>
      Общая сумма имеющихся договорных обязательств по выдаче кредита, указанная выше, необязательно представляет собой будущую потребность в денежных средствах, так как эти обязательства могут истечь или быть закрыты до того, как они будут профинансированы. Группа также может запросить обеспечение по кредитным финансовым инструментам.</w:t>
      </w:r>
    </w:p>
    <w:bookmarkStart w:name="z369" w:id="368"/>
    <w:p>
      <w:pPr>
        <w:spacing w:after="0"/>
        <w:ind w:left="0"/>
        <w:jc w:val="both"/>
      </w:pPr>
      <w:r>
        <w:rPr>
          <w:rFonts w:ascii="Times New Roman"/>
          <w:b w:val="false"/>
          <w:i w:val="false"/>
          <w:color w:val="000000"/>
          <w:sz w:val="28"/>
        </w:rPr>
        <w:t xml:space="preserve">
      </w:t>
      </w:r>
      <w:r>
        <w:rPr>
          <w:rFonts w:ascii="Times New Roman"/>
          <w:b/>
          <w:i w:val="false"/>
          <w:color w:val="000000"/>
          <w:sz w:val="28"/>
        </w:rPr>
        <w:t>Доверительное управление (трастовая деятельность)</w:t>
      </w:r>
    </w:p>
    <w:bookmarkEnd w:id="368"/>
    <w:p>
      <w:pPr>
        <w:spacing w:after="0"/>
        <w:ind w:left="0"/>
        <w:jc w:val="both"/>
      </w:pPr>
      <w:r>
        <w:rPr>
          <w:rFonts w:ascii="Times New Roman"/>
          <w:b w:val="false"/>
          <w:i w:val="false"/>
          <w:color w:val="000000"/>
          <w:sz w:val="28"/>
        </w:rPr>
        <w:t>
      Некоторые дочерние организации Группы оказывают услуги по доверительному управлению физическим лицам, трастовым компаниям, пенсионным фондам и прочим организациям, а именно, управляют активами либо инвестируют полученные средства в различные финансовые инструменты в соответствии с указаниями клиента. Группа получает комиссионное вознаграждение за оказание данных услуг. Активы, полученные в доверительное управление, не являются активами Группы и, соответственно, не отражаются в ее консолидированном бухгалтерском балансе. Группа не подвергается кредитному риску при осуществлении указанных вложений, так как она не выдает гарантии под указанные инвестиции.</w:t>
      </w:r>
    </w:p>
    <w:bookmarkStart w:name="z370" w:id="369"/>
    <w:p>
      <w:pPr>
        <w:spacing w:after="0"/>
        <w:ind w:left="0"/>
        <w:jc w:val="both"/>
      </w:pPr>
      <w:r>
        <w:rPr>
          <w:rFonts w:ascii="Times New Roman"/>
          <w:b w:val="false"/>
          <w:i w:val="false"/>
          <w:color w:val="000000"/>
          <w:sz w:val="28"/>
        </w:rPr>
        <w:t xml:space="preserve">
      </w:t>
      </w:r>
      <w:r>
        <w:rPr>
          <w:rFonts w:ascii="Times New Roman"/>
          <w:b/>
          <w:i w:val="false"/>
          <w:color w:val="000000"/>
          <w:sz w:val="28"/>
        </w:rPr>
        <w:t>Ковенанты по займам</w:t>
      </w:r>
    </w:p>
    <w:bookmarkEnd w:id="369"/>
    <w:p>
      <w:pPr>
        <w:spacing w:after="0"/>
        <w:ind w:left="0"/>
        <w:jc w:val="both"/>
      </w:pPr>
      <w:r>
        <w:rPr>
          <w:rFonts w:ascii="Times New Roman"/>
          <w:b w:val="false"/>
          <w:i w:val="false"/>
          <w:color w:val="000000"/>
          <w:sz w:val="28"/>
        </w:rPr>
        <w:t>
      По состоянию на 31 декабря 2013 года Группа соблюдала все ковенанты.</w:t>
      </w:r>
    </w:p>
    <w:bookmarkStart w:name="z371" w:id="370"/>
    <w:p>
      <w:pPr>
        <w:spacing w:after="0"/>
        <w:ind w:left="0"/>
        <w:jc w:val="both"/>
      </w:pPr>
      <w:r>
        <w:rPr>
          <w:rFonts w:ascii="Times New Roman"/>
          <w:b w:val="false"/>
          <w:i w:val="false"/>
          <w:color w:val="000000"/>
          <w:sz w:val="28"/>
        </w:rPr>
        <w:t xml:space="preserve">
      </w:t>
      </w:r>
      <w:r>
        <w:rPr>
          <w:rFonts w:ascii="Times New Roman"/>
          <w:b/>
          <w:i w:val="false"/>
          <w:color w:val="000000"/>
          <w:sz w:val="28"/>
        </w:rPr>
        <w:t>Проверки возмещаемости затрат (КМГ Кашаган)</w:t>
      </w:r>
    </w:p>
    <w:bookmarkEnd w:id="370"/>
    <w:p>
      <w:pPr>
        <w:spacing w:after="0"/>
        <w:ind w:left="0"/>
        <w:jc w:val="both"/>
      </w:pPr>
      <w:r>
        <w:rPr>
          <w:rFonts w:ascii="Times New Roman"/>
          <w:b w:val="false"/>
          <w:i w:val="false"/>
          <w:color w:val="000000"/>
          <w:sz w:val="28"/>
        </w:rPr>
        <w:t>
      В соответствии с основными принципами Северо-Каспийского Соглашения о Разделе Продукции (далее "СКСРП") Правительство Республики Казахстан передало подрядчикам эксклюзивные права на проведение деятельности в районе недропользования, но не передавало права на данный район недропользования ни в собственность, ни в аренду. Вследствие этого, все объемы извлеченной и переработанной продукции (т.е. готовой продукции) являются собственностью государства. Работы осуществляются на основе компенсирования, при этом государство осуществляет выплаты подрядчикам не в денежной форме, а в виде части готовой продукции, тем самым позволяя подрядчикам возместить свои затраты и заработать доходы. Это, так называемое, разделение продукции, т.е. разделение результатов работы, проведенной инвестором.</w:t>
      </w:r>
    </w:p>
    <w:p>
      <w:pPr>
        <w:spacing w:after="0"/>
        <w:ind w:left="0"/>
        <w:jc w:val="both"/>
      </w:pPr>
      <w:r>
        <w:rPr>
          <w:rFonts w:ascii="Times New Roman"/>
          <w:b w:val="false"/>
          <w:i w:val="false"/>
          <w:color w:val="000000"/>
          <w:sz w:val="28"/>
        </w:rPr>
        <w:t xml:space="preserve">
      В соответствии с СКСРП, не все затраты, понесенные подрядчиками, могут быть возмещены. Определенные затраты на возмещение должны утверждаться Управляющим Комитетом (далее "УправКом"). </w:t>
      </w:r>
    </w:p>
    <w:p>
      <w:pPr>
        <w:spacing w:after="0"/>
        <w:ind w:left="0"/>
        <w:jc w:val="both"/>
      </w:pPr>
      <w:r>
        <w:rPr>
          <w:rFonts w:ascii="Times New Roman"/>
          <w:b w:val="false"/>
          <w:i w:val="false"/>
          <w:color w:val="000000"/>
          <w:sz w:val="28"/>
        </w:rPr>
        <w:t>
      НК КМГ считает, что все возмещаемые затраты в отчете о возмещаемых расходах классифицированы в соответствии с СКСРП, и расходы, определенные как возмещаемые, правомерно подлежат возмещению на 31 декабря 2013 года.</w:t>
      </w:r>
    </w:p>
    <w:p>
      <w:pPr>
        <w:spacing w:after="0"/>
        <w:ind w:left="0"/>
        <w:jc w:val="both"/>
      </w:pPr>
      <w:r>
        <w:rPr>
          <w:rFonts w:ascii="Times New Roman"/>
          <w:b w:val="false"/>
          <w:i w:val="false"/>
          <w:color w:val="000000"/>
          <w:sz w:val="28"/>
        </w:rPr>
        <w:t>
      Тем не менее, определенные затраты не были утверждены УправКомом в соответствии с разделами 13 и 14 СКСРП. Такие расходы считаются невозмещаемыми расходами для КМГ Кашаган до утверждения УправКомом. Продолжаются переговоры с Уполномоченным органом для разрешения этих вопросов.</w:t>
      </w:r>
    </w:p>
    <w:p>
      <w:pPr>
        <w:spacing w:after="0"/>
        <w:ind w:left="0"/>
        <w:jc w:val="both"/>
      </w:pPr>
      <w:r>
        <w:rPr>
          <w:rFonts w:ascii="Times New Roman"/>
          <w:b w:val="false"/>
          <w:i w:val="false"/>
          <w:color w:val="000000"/>
          <w:sz w:val="28"/>
        </w:rPr>
        <w:t>
      В результате проверок возмещения затрат за период с 2001 по 2008 годы, расходы на сумму 7.975 миллионов долларов США (1.224.991.000 тысяч тенге по курсу на 31 декабря 2013 года) считались невозмещаемыми. Доля НК КМГ в этих затратах составляла 1.340 миллионов долларов США (205.889.000 тысяч тенге по курсу на 31 декабря 2013 года). В результате длительных переговоров между подрядчиками и устранения большинства указанных замечаний, 28 ноября 2011 года Полномочным органом (ТОО "PSA") и подрядчиками была подписана резолюция, согласно которой сумма невозмещаемых затрат была снижена до 2.959 миллионов долларов США (454.476.000 тысяч тенге по курсу на 31 декабря 2013 года), с долей НК КМГ в этих расходах, составляющей 497 миллионов долларов США (76.382.000 тысяч тенге по курсу на 31 декабря 2013 года).</w:t>
      </w:r>
    </w:p>
    <w:p>
      <w:pPr>
        <w:spacing w:after="0"/>
        <w:ind w:left="0"/>
        <w:jc w:val="both"/>
      </w:pPr>
      <w:r>
        <w:rPr>
          <w:rFonts w:ascii="Times New Roman"/>
          <w:b w:val="false"/>
          <w:i w:val="false"/>
          <w:color w:val="000000"/>
          <w:sz w:val="28"/>
        </w:rPr>
        <w:t>
      В рамках Соглашения об урегулировании, подписанного 17 мая 2012 года, были проведены дополнительные переговоры с Полномочным органом, в результате которых сумма невозмещаемых затрат была снижена до 230 миллионов долларов США (35.315.000 тысяч тенге по курсу на 31 декабря 2013 года) с долей НК КМГ в размере 39 миллионов долларов США (5.953.000 тысяч тенге по курсу на 31 декабря 2013 года).</w:t>
      </w:r>
    </w:p>
    <w:p>
      <w:pPr>
        <w:spacing w:after="0"/>
        <w:ind w:left="0"/>
        <w:jc w:val="both"/>
      </w:pPr>
      <w:r>
        <w:rPr>
          <w:rFonts w:ascii="Times New Roman"/>
          <w:b w:val="false"/>
          <w:i w:val="false"/>
          <w:color w:val="000000"/>
          <w:sz w:val="28"/>
        </w:rPr>
        <w:t>
      Проверка возмещаемости затрат за 2009 год была завершена в 2012 году. В результате проведенной проверки затраты в размере 875 миллионов долларов США (134.409.000 тысяч тенге по курсу на 31 декабря 2013 года) были классифицированы как невозмещаемые. Доля НК КМГ в данных затратах составляет 147 миллионов долларов США (22.590.000 тысяч тенге по курсу на 31 декабря 2013 года). Переговоры для решения вопроса продолжаются.</w:t>
      </w:r>
    </w:p>
    <w:p>
      <w:pPr>
        <w:spacing w:after="0"/>
        <w:ind w:left="0"/>
        <w:jc w:val="both"/>
      </w:pPr>
      <w:r>
        <w:rPr>
          <w:rFonts w:ascii="Times New Roman"/>
          <w:b w:val="false"/>
          <w:i w:val="false"/>
          <w:color w:val="000000"/>
          <w:sz w:val="28"/>
        </w:rPr>
        <w:t>
      Проверка возмещаемости затрат за 2010 год была завершена в 2013 году. В результате проведенной проверки первоначально невозмещаемыми затратами была признана сумма в 1.336 миллионов долларов США (205.824.000 тысяч тенге по курсу на 31 декабря 2013 года). В результате переговоров и мероприятий, проведенных подрядчиками для устранения замечаний, сумма в 2.083 тысячи долларов США (320.907 тысяч тенге по курсу на 31 декабря 2013 года) была классифицирована как невозмещаемые затраты, а сумма в 785.101 тысячу долларов США (120.952.660 тысяч тенге по курсу на 31 декабря 2013 года) остается неурегулированной. Доля Группы в данных затратах составляет 350 тысяч долларов США (53.921 тысяча тенге по курсу на 31 декабря 2013 года) и 131.950 тысяч долларов США (20.328.217 тысяч тенге по курсу на 31 декабря 2013 года), соответственно. Переговоры для решения вопроса продолжаются.</w:t>
      </w:r>
    </w:p>
    <w:bookmarkStart w:name="z372" w:id="371"/>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контракту на недропользование (КМГ Карачаганак)</w:t>
      </w:r>
    </w:p>
    <w:bookmarkEnd w:id="371"/>
    <w:p>
      <w:pPr>
        <w:spacing w:after="0"/>
        <w:ind w:left="0"/>
        <w:jc w:val="both"/>
      </w:pPr>
      <w:r>
        <w:rPr>
          <w:rFonts w:ascii="Times New Roman"/>
          <w:b w:val="false"/>
          <w:i w:val="false"/>
          <w:color w:val="000000"/>
          <w:sz w:val="28"/>
        </w:rPr>
        <w:t xml:space="preserve">
      Карачаганакское ОСРП (далее "ОСРП") является объектом периодических проверок со стороны государственных органов касательно выполнения требований контракта на недропользование. Руководство сотрудничает с государственными органами по согласованию исправительных мер, необходимых для разрешения вопросов, выявленных в ходе таких проверок. Невыполнение положений, содержащихся в ОСРП, может привести к штрафам, пени, ограничению, приостановлению или отзыву ОСРП. </w:t>
      </w:r>
    </w:p>
    <w:p>
      <w:pPr>
        <w:spacing w:after="0"/>
        <w:ind w:left="0"/>
        <w:jc w:val="both"/>
      </w:pPr>
      <w:r>
        <w:rPr>
          <w:rFonts w:ascii="Times New Roman"/>
          <w:b w:val="false"/>
          <w:i w:val="false"/>
          <w:color w:val="000000"/>
          <w:sz w:val="28"/>
        </w:rPr>
        <w:t>
      На основании ОСРП, Правительство Республики Казахстан передало эксклюзивные права Компаниям-подрядчикам (далее "КП") на ведение деятельности, в том числе включая право на недропользование, но не передало права собственности или аренды на данное месторождение. Как следствие, все полученные и обработанные углеводороды (т.е. готовый продукт) является собственностью государства. Работа по добыче углеводородов осуществляется на основе компенсации, где государство возмещает деятельность КП в неденежной форме, в виде части готовой продукции, таким образом позволяя КП возмещать их затраты и зарабатывать доходы.</w:t>
      </w:r>
    </w:p>
    <w:p>
      <w:pPr>
        <w:spacing w:after="0"/>
        <w:ind w:left="0"/>
        <w:jc w:val="both"/>
      </w:pPr>
      <w:r>
        <w:rPr>
          <w:rFonts w:ascii="Times New Roman"/>
          <w:b w:val="false"/>
          <w:i w:val="false"/>
          <w:color w:val="000000"/>
          <w:sz w:val="28"/>
        </w:rPr>
        <w:t>
      В соответствии с ОСРП не все затраты, понесенные КП, могут быть возмещены. Будущие затраты на возмещение должны утверждаться Совместным комитетом по управлению.</w:t>
      </w:r>
    </w:p>
    <w:p>
      <w:pPr>
        <w:spacing w:after="0"/>
        <w:ind w:left="0"/>
        <w:jc w:val="both"/>
      </w:pPr>
      <w:r>
        <w:rPr>
          <w:rFonts w:ascii="Times New Roman"/>
          <w:b w:val="false"/>
          <w:i w:val="false"/>
          <w:color w:val="000000"/>
          <w:sz w:val="28"/>
        </w:rPr>
        <w:t>
      Уполномоченный орган предоставил акты ревизии возмещаемых затрат за 2010-2011 годы. В настоящий момент между КП по Карачаганакскому ОСРП и Полномочным органом (ТОО "PSA"), идет обсуждение результатов "Акта ревизии о результатах проверки расчета возмещаемых затрат Счета Нефтегазовых Операций за 2010 Подрядный год по соглашению о разделе продукции подрядного участка Карачаганакского нефтегазоконденсатного месторождения от 18 ноября 1997 года" (далее "Акт ревизии 2010 года"). Согласно вышеуказанному Акту ревизии Полномочный орган предъявил претензии по включению в состав возмещаемых затрат за 2010 год сумму в размере 456.866 тысяч долларов США (70.179.000 тысяч тенге по курсу на 31 декабря 2013 года). При этом КП в качестве невозмещаемых были признаны 8.869 тысяч долларов США (1.362.000 тысяч тенге по курсу на 31 декабря 2013 года). По результатам 3-го раунда переговоров между КП и Полномочным органом (по состоянию на январь 2014 года) сумма потенциального спора/арбитража составила 205.563 тысячи долларов США (31.577.000 тысяч тенге по курсу на 31 декабря 2013 года).</w:t>
      </w:r>
    </w:p>
    <w:p>
      <w:pPr>
        <w:spacing w:after="0"/>
        <w:ind w:left="0"/>
        <w:jc w:val="both"/>
      </w:pPr>
      <w:r>
        <w:rPr>
          <w:rFonts w:ascii="Times New Roman"/>
          <w:b w:val="false"/>
          <w:i w:val="false"/>
          <w:color w:val="000000"/>
          <w:sz w:val="28"/>
        </w:rPr>
        <w:t>
      Согласно Акту ревизии 2011 года Полномочный орган предъявил претензии по включению в состав возмещаемых затрат за 2011 год сумму в размере 200.606 тысяч долларов США (30.815.000 тысяч тенге по курсу на 31 декабря 2013 года). В данный момент результаты рассматриваются КП.</w:t>
      </w:r>
    </w:p>
    <w:bookmarkStart w:name="z373" w:id="372"/>
    <w:p>
      <w:pPr>
        <w:spacing w:after="0"/>
        <w:ind w:left="0"/>
        <w:jc w:val="both"/>
      </w:pPr>
      <w:r>
        <w:rPr>
          <w:rFonts w:ascii="Times New Roman"/>
          <w:b w:val="false"/>
          <w:i w:val="false"/>
          <w:color w:val="000000"/>
          <w:sz w:val="28"/>
        </w:rPr>
        <w:t xml:space="preserve">
      </w:t>
      </w:r>
      <w:r>
        <w:rPr>
          <w:rFonts w:ascii="Times New Roman"/>
          <w:b/>
          <w:i w:val="false"/>
          <w:color w:val="000000"/>
          <w:sz w:val="28"/>
        </w:rPr>
        <w:t>Экспроприация активов Морского Порта Батуми (КТО)</w:t>
      </w:r>
    </w:p>
    <w:bookmarkEnd w:id="372"/>
    <w:p>
      <w:pPr>
        <w:spacing w:after="0"/>
        <w:ind w:left="0"/>
        <w:jc w:val="both"/>
      </w:pPr>
      <w:r>
        <w:rPr>
          <w:rFonts w:ascii="Times New Roman"/>
          <w:b w:val="false"/>
          <w:i w:val="false"/>
          <w:color w:val="000000"/>
          <w:sz w:val="28"/>
        </w:rPr>
        <w:t>
      В соответствии с Cоглашением о доверительном управлении Морским портом Батуми (далее "МПБ") между BTL (ранее BIHL) и Правительством Грузии, Правительство Грузии имеет право на экспроприацию активов МПБ, в случае если МПБ не сможет выполнить свои обязательства по минимальному объему перевалки в 6 миллиона тонн в год. По состоянию на 31 декабря 2013 года, МПБ не был подвержен риску государственной экспроприации со стороны Правительства Грузии, так как фактические объемы перевалки через МПБ составили 10.170 миллионов тонн.</w:t>
      </w:r>
    </w:p>
    <w:bookmarkStart w:name="z374" w:id="373"/>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поставке и приобретению газа (АО "КазТрансГаз")</w:t>
      </w:r>
    </w:p>
    <w:bookmarkEnd w:id="373"/>
    <w:p>
      <w:pPr>
        <w:spacing w:after="0"/>
        <w:ind w:left="0"/>
        <w:jc w:val="both"/>
      </w:pPr>
      <w:r>
        <w:rPr>
          <w:rFonts w:ascii="Times New Roman"/>
          <w:b w:val="false"/>
          <w:i w:val="false"/>
          <w:color w:val="000000"/>
          <w:sz w:val="28"/>
        </w:rPr>
        <w:t>
      На 31 декабря 2013 года у АО "КазТрансГаз" (далее "КТГ") имелись договорные обязательства по поставке газа на экспорт на сумму 754.498 тысяч долларов США (115.898.000 тысяч тенге) (в 2012 году: 13.512.000 тысяч тенге). Сумма договорных обязательств по приобретению газа составила 528.200 тысяч долларов США (81.137.000 тысяч тенге).</w:t>
      </w:r>
    </w:p>
    <w:p>
      <w:pPr>
        <w:spacing w:after="0"/>
        <w:ind w:left="0"/>
        <w:jc w:val="both"/>
      </w:pPr>
      <w:r>
        <w:rPr>
          <w:rFonts w:ascii="Times New Roman"/>
          <w:b w:val="false"/>
          <w:i w:val="false"/>
          <w:color w:val="000000"/>
          <w:sz w:val="28"/>
        </w:rPr>
        <w:t xml:space="preserve">
      В соответствии с контрактами на продажу с Gazprom Schweiz AG в случае непоставки Месячного контрактного количества природного газа по вине КТГ, Группа должна выплатить штраф в размере 0,01% от стоимости не поставленного объема природного газа. На 31 декабря 2013 и 2012 годов руководство НК КМГ считает, что не существует каких-либо обязательств перед Gazprom Schweiz AG в отношении данного положения об ответственности в соответствии с указанным контрактом на продажу. </w:t>
      </w:r>
    </w:p>
    <w:bookmarkStart w:name="z375" w:id="374"/>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поставке и приобретению газа (КТГ-Аймак)</w:t>
      </w:r>
    </w:p>
    <w:bookmarkEnd w:id="374"/>
    <w:p>
      <w:pPr>
        <w:spacing w:after="0"/>
        <w:ind w:left="0"/>
        <w:jc w:val="both"/>
      </w:pPr>
      <w:r>
        <w:rPr>
          <w:rFonts w:ascii="Times New Roman"/>
          <w:b w:val="false"/>
          <w:i w:val="false"/>
          <w:color w:val="000000"/>
          <w:sz w:val="28"/>
        </w:rPr>
        <w:t>
      На 31 декабря 2013 года договорные обязательства КТГ-Аймак по приобретению газа составили 13.246 миллионов тенге (2012: 3.221.000 тысяч тенге), по продаже газа сумма обязательств составила 3.598.000 тысяч тенге (в 2012 году: 48.748.000 тысяч тенге).</w:t>
      </w:r>
    </w:p>
    <w:bookmarkStart w:name="z376" w:id="375"/>
    <w:p>
      <w:pPr>
        <w:spacing w:after="0"/>
        <w:ind w:left="0"/>
        <w:jc w:val="both"/>
      </w:pPr>
      <w:r>
        <w:rPr>
          <w:rFonts w:ascii="Times New Roman"/>
          <w:b w:val="false"/>
          <w:i w:val="false"/>
          <w:color w:val="000000"/>
          <w:sz w:val="28"/>
        </w:rPr>
        <w:t xml:space="preserve">
      </w:t>
      </w:r>
      <w:r>
        <w:rPr>
          <w:rFonts w:ascii="Times New Roman"/>
          <w:b/>
          <w:i w:val="false"/>
          <w:color w:val="000000"/>
          <w:sz w:val="28"/>
        </w:rPr>
        <w:t>Опцион "пут" с компанией Сино Каз</w:t>
      </w:r>
    </w:p>
    <w:bookmarkEnd w:id="375"/>
    <w:p>
      <w:pPr>
        <w:spacing w:after="0"/>
        <w:ind w:left="0"/>
        <w:jc w:val="both"/>
      </w:pPr>
      <w:r>
        <w:rPr>
          <w:rFonts w:ascii="Times New Roman"/>
          <w:b w:val="false"/>
          <w:i w:val="false"/>
          <w:color w:val="000000"/>
          <w:sz w:val="28"/>
        </w:rPr>
        <w:t>
      НАК КАП заключила опционное соглашение, которое обеспечивает компанию Sino-Kaz возможностью продать свою 49% долю участия в ТОО "Семизбай" НАК КАП по цене, равной сумме, уплаченной Sino-Kaz, за минусом приведенной стоимости чистого дохода, полученного компанией Sino-Kaz. Опцион может быть исполнен в случае, если решение о поставке топливных таблеток, произведенных АО "Ульбинский металлургический завод", дочерней организацией НАК КАП, для реакторов на китайской ядерно-энергетической корпорации Guangdong Nuclear Power Corporation не будет принято до 1 июля 2014 года.</w:t>
      </w:r>
    </w:p>
    <w:p>
      <w:pPr>
        <w:spacing w:after="0"/>
        <w:ind w:left="0"/>
        <w:jc w:val="both"/>
      </w:pPr>
      <w:r>
        <w:rPr>
          <w:rFonts w:ascii="Times New Roman"/>
          <w:b w:val="false"/>
          <w:i w:val="false"/>
          <w:color w:val="000000"/>
          <w:sz w:val="28"/>
        </w:rPr>
        <w:t xml:space="preserve">
      В случае, если вышеуказанное решение не будет принято НАК КАП и CGNPC-URC до 1 июля 2014 года, НАК КАП выкупит, а Sino-Kaz продаст долю участия в ТОО "Семизбай-U" по стоимости, рассчитанной по формуле, определенной в дополнительном соглашении к основному договору. </w:t>
      </w:r>
    </w:p>
    <w:bookmarkStart w:name="z377" w:id="376"/>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Плану Стабилизации</w:t>
      </w:r>
    </w:p>
    <w:bookmarkEnd w:id="376"/>
    <w:p>
      <w:pPr>
        <w:spacing w:after="0"/>
        <w:ind w:left="0"/>
        <w:jc w:val="both"/>
      </w:pPr>
      <w:r>
        <w:rPr>
          <w:rFonts w:ascii="Times New Roman"/>
          <w:b w:val="false"/>
          <w:i w:val="false"/>
          <w:color w:val="000000"/>
          <w:sz w:val="28"/>
        </w:rPr>
        <w:t xml:space="preserve">
      Фонд назначен основным оператором Правительства в осуществлении Плана Стабилизации, утвержденного Правительством в 2008 году </w:t>
      </w:r>
      <w:r>
        <w:rPr>
          <w:rFonts w:ascii="Times New Roman"/>
          <w:b w:val="false"/>
          <w:i/>
          <w:color w:val="000000"/>
          <w:sz w:val="28"/>
        </w:rPr>
        <w:t>(Примечание 1).</w:t>
      </w:r>
    </w:p>
    <w:p>
      <w:pPr>
        <w:spacing w:after="0"/>
        <w:ind w:left="0"/>
        <w:jc w:val="both"/>
      </w:pPr>
      <w:r>
        <w:rPr>
          <w:rFonts w:ascii="Times New Roman"/>
          <w:b w:val="false"/>
          <w:i w:val="false"/>
          <w:color w:val="000000"/>
          <w:sz w:val="28"/>
        </w:rPr>
        <w:t>
      В соответствии с протоколами государственной комиссии по вопросам модернизации экономики Республики Казахстан запланировано повторно использовать средства, предусмотренные по Плану стабилизации.</w:t>
      </w:r>
    </w:p>
    <w:bookmarkStart w:name="z378" w:id="377"/>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повторному использованию антикризисных средств</w:t>
      </w:r>
    </w:p>
    <w:bookmarkEnd w:id="377"/>
    <w:p>
      <w:pPr>
        <w:spacing w:after="0"/>
        <w:ind w:left="0"/>
        <w:jc w:val="both"/>
      </w:pPr>
      <w:r>
        <w:rPr>
          <w:rFonts w:ascii="Times New Roman"/>
          <w:b w:val="false"/>
          <w:i w:val="false"/>
          <w:color w:val="000000"/>
          <w:sz w:val="28"/>
        </w:rPr>
        <w:t>
      В соответствии с протоколами заседаний Государственной комиссии по вопросам модернизации экономики Республики Казахстан № 17-5/И-380 от 5 апреля 2012 года, № 17-5/11-10 от 30 января 2013 года и № 17-5/И-788 от 7 октября 2013 года Фонду надлежит осуществить финансирование ряда инвестиционных проектов на общую сумму 540.752.000 тысяч тенге в течение 2012-2014 годов. С учетом освоенных средств в 2012 – 2013 годах, обязательства Фонда по состоянию на 31 декабря 2013 года к освоению в 2014 году составляют 193.714.000 тысяч тенге (2012: 415.324.000 тысяч тенге), в том числе по следующим проектам: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Финансирование программы жилищного строительства - реализация программы "Доступное жилье"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21 июня 2012 года № 821 на строительство жилья через АО "Фонд недвижимости "Самрук-Казына" должны будут использоваться средства Фонда и средства Национального Фонда. В соответствии с протоколом заседания Государственной комиссии по вопросам модернизации экономики Республики Казахстан № 17-5/11-10 от 30 января 2013 года Фонд перераспределил средства на финансирование инвестиционного проекта "Строительство магистрального газопровода Запад-Север-Центр" (Карталы-Тобол-Кокшетау-Астана) в размере 56.615.000 тысяч тенге из средств, предусмотренных на финансирование программы "Доступное жилье". По состоянию на 31 декабря 2013 года обязательства Фонда по финансированию программы "Доступное жилье - 2020" с учетом перераспределенных средств составляют 8.100.000 тысяч тенге (2012: 36.200.000 тысяч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Реализация прочих инвестиционных проектов Фонда</w:t>
      </w:r>
    </w:p>
    <w:p>
      <w:pPr>
        <w:spacing w:after="0"/>
        <w:ind w:left="0"/>
        <w:jc w:val="both"/>
      </w:pPr>
      <w:r>
        <w:rPr>
          <w:rFonts w:ascii="Times New Roman"/>
          <w:b w:val="false"/>
          <w:i w:val="false"/>
          <w:color w:val="000000"/>
          <w:sz w:val="28"/>
        </w:rPr>
        <w:t>
      По состоянию на 31 декабря 2013 года обязательства Фонда по финансированию прочих инвестиционных проектов составляют 185.614.000 тысяч тенге (2012: 379.124.000 тысяч тенге).</w:t>
      </w:r>
    </w:p>
    <w:p>
      <w:pPr>
        <w:spacing w:after="0"/>
        <w:ind w:left="0"/>
        <w:jc w:val="both"/>
      </w:pPr>
      <w:r>
        <w:rPr>
          <w:rFonts w:ascii="Times New Roman"/>
          <w:b w:val="false"/>
          <w:i w:val="false"/>
          <w:color w:val="000000"/>
          <w:sz w:val="28"/>
        </w:rPr>
        <w:t>
      Кроме того, в соответствии с протоколом заседания Государственной комиссии по вопросам модернизации экономики Республики Казахстан № 17-5/11-10 от 30 января 2013 года в 2013 году Фонду поручено осуществить финансирование инвестиционного проекта "Строительство магистрального газопровода Запад-Север-Центр" (Карталы-Тобол-Кокшетау-Астана) в размере 60.000.000 тысяч тенге за счет собственных средств Фонда и/или за счет средств АО "Национальная Компания "КазМунайГаз", в том числе 20.000.000 тысяч тенге планируется выделить за счет средств АО "Национальная Компания "КазМунайГаз".</w:t>
      </w:r>
    </w:p>
    <w:p>
      <w:pPr>
        <w:spacing w:after="0"/>
        <w:ind w:left="0"/>
        <w:jc w:val="both"/>
      </w:pPr>
      <w:r>
        <w:rPr>
          <w:rFonts w:ascii="Times New Roman"/>
          <w:b w:val="false"/>
          <w:i w:val="false"/>
          <w:color w:val="000000"/>
          <w:sz w:val="28"/>
        </w:rPr>
        <w:t>
      В соответствии с протоколом заседания Межведомственной комиссии по развитию нефтегазовой и энергетической отраслей № 17-5/07-145 от 19 апреля 2013 года реализация проекта вышеуказанного проекта приостановлена сроком на 1 (один) год.</w:t>
      </w:r>
    </w:p>
    <w:p>
      <w:pPr>
        <w:spacing w:after="0"/>
        <w:ind w:left="0"/>
        <w:jc w:val="both"/>
      </w:pPr>
      <w:r>
        <w:rPr>
          <w:rFonts w:ascii="Times New Roman"/>
          <w:b w:val="false"/>
          <w:i w:val="false"/>
          <w:color w:val="000000"/>
          <w:sz w:val="28"/>
        </w:rPr>
        <w:t xml:space="preserve">
      Вместе с тем, данные средства и средства, перераспределенные из </w:t>
      </w:r>
      <w:r>
        <w:rPr>
          <w:rFonts w:ascii="Times New Roman"/>
          <w:b w:val="false"/>
          <w:i w:val="false"/>
          <w:color w:val="000000"/>
          <w:sz w:val="28"/>
        </w:rPr>
        <w:t>программы</w:t>
      </w:r>
      <w:r>
        <w:rPr>
          <w:rFonts w:ascii="Times New Roman"/>
          <w:b w:val="false"/>
          <w:i w:val="false"/>
          <w:color w:val="000000"/>
          <w:sz w:val="28"/>
        </w:rPr>
        <w:t xml:space="preserve"> "Доступное жилье", планируется возместить путем выделения из Республиканского бюджета в 2014 году средств на увеличение уставного капитала Фонда в размере 122.707.000 тысяч тенге. </w:t>
      </w:r>
    </w:p>
    <w:bookmarkStart w:name="z379" w:id="378"/>
    <w:p>
      <w:pPr>
        <w:spacing w:after="0"/>
        <w:ind w:left="0"/>
        <w:jc w:val="both"/>
      </w:pPr>
      <w:r>
        <w:rPr>
          <w:rFonts w:ascii="Times New Roman"/>
          <w:b w:val="false"/>
          <w:i w:val="false"/>
          <w:color w:val="000000"/>
          <w:sz w:val="28"/>
        </w:rPr>
        <w:t xml:space="preserve">
      </w:t>
      </w:r>
      <w:r>
        <w:rPr>
          <w:rFonts w:ascii="Times New Roman"/>
          <w:b/>
          <w:i w:val="false"/>
          <w:color w:val="000000"/>
          <w:sz w:val="28"/>
        </w:rPr>
        <w:t>14. СОБЫТИЯ ПОСЛЕ ОТЧЕТНОЙ ДАТЫ</w:t>
      </w:r>
    </w:p>
    <w:bookmarkEnd w:id="378"/>
    <w:bookmarkStart w:name="z380" w:id="379"/>
    <w:p>
      <w:pPr>
        <w:spacing w:after="0"/>
        <w:ind w:left="0"/>
        <w:jc w:val="both"/>
      </w:pPr>
      <w:r>
        <w:rPr>
          <w:rFonts w:ascii="Times New Roman"/>
          <w:b w:val="false"/>
          <w:i w:val="false"/>
          <w:color w:val="000000"/>
          <w:sz w:val="28"/>
        </w:rPr>
        <w:t xml:space="preserve">
      </w:t>
      </w:r>
      <w:r>
        <w:rPr>
          <w:rFonts w:ascii="Times New Roman"/>
          <w:b/>
          <w:i w:val="false"/>
          <w:color w:val="000000"/>
          <w:sz w:val="28"/>
        </w:rPr>
        <w:t>Девальвация тенге</w:t>
      </w:r>
    </w:p>
    <w:bookmarkEnd w:id="379"/>
    <w:p>
      <w:pPr>
        <w:spacing w:after="0"/>
        <w:ind w:left="0"/>
        <w:jc w:val="both"/>
      </w:pPr>
      <w:r>
        <w:rPr>
          <w:rFonts w:ascii="Times New Roman"/>
          <w:b w:val="false"/>
          <w:i w:val="false"/>
          <w:color w:val="000000"/>
          <w:sz w:val="28"/>
        </w:rPr>
        <w:t>
      11 февраля 2014 года тенге девальвировал по отношению к доллару США и другим основным валютам. Обменный курс до и после девальвации составил 155,56 за 1 доллар США и 184,5 за 1 доллар США, соответственно, что близко к девальвации тенге на 19%. Чувствительность чистой прибыли Группы до учета подоходного налога к возможным изменениям в обменных курсах тенге по отношению к доллару США раскрыто в Примечании 12. Данный анализ чувствительности показывает только возможный эффект девальвации тенге, как если бы она произошла по состоянию на 31 декабря 2013 года, при том условии, что все остальные параметры приняты как неизменные величины.</w:t>
      </w:r>
    </w:p>
    <w:bookmarkStart w:name="z381" w:id="380"/>
    <w:p>
      <w:pPr>
        <w:spacing w:after="0"/>
        <w:ind w:left="0"/>
        <w:jc w:val="both"/>
      </w:pPr>
      <w:r>
        <w:rPr>
          <w:rFonts w:ascii="Times New Roman"/>
          <w:b w:val="false"/>
          <w:i w:val="false"/>
          <w:color w:val="000000"/>
          <w:sz w:val="28"/>
        </w:rPr>
        <w:t xml:space="preserve">
      </w:t>
      </w:r>
      <w:r>
        <w:rPr>
          <w:rFonts w:ascii="Times New Roman"/>
          <w:b/>
          <w:i w:val="false"/>
          <w:color w:val="000000"/>
          <w:sz w:val="28"/>
        </w:rPr>
        <w:t>Займы</w:t>
      </w:r>
    </w:p>
    <w:bookmarkEnd w:id="380"/>
    <w:p>
      <w:pPr>
        <w:spacing w:after="0"/>
        <w:ind w:left="0"/>
        <w:jc w:val="both"/>
      </w:pPr>
      <w:r>
        <w:rPr>
          <w:rFonts w:ascii="Times New Roman"/>
          <w:b w:val="false"/>
          <w:i w:val="false"/>
          <w:color w:val="000000"/>
          <w:sz w:val="28"/>
        </w:rPr>
        <w:t>
      ТОО "Газопровод Бейнеу-Шымкент", совместное предприятие НК КМГ, получил новый транш в сумме 150 миллионов долларов США (27 миллиардов тенге по курсу на дату получения) по кредитной линии от Государственного Банка Развития Китая на 1,8 миллиардов долларов США.</w:t>
      </w:r>
    </w:p>
    <w:p>
      <w:pPr>
        <w:spacing w:after="0"/>
        <w:ind w:left="0"/>
        <w:jc w:val="both"/>
      </w:pPr>
      <w:r>
        <w:rPr>
          <w:rFonts w:ascii="Times New Roman"/>
          <w:b w:val="false"/>
          <w:i w:val="false"/>
          <w:color w:val="000000"/>
          <w:sz w:val="28"/>
        </w:rPr>
        <w:t>
      28 февраля 2014 года АО "Казахтелеком" заключило кредитное соглашение с Bank of China на сумму 170 млн. долларов США.</w:t>
      </w:r>
    </w:p>
    <w:p>
      <w:pPr>
        <w:spacing w:after="0"/>
        <w:ind w:left="0"/>
        <w:jc w:val="both"/>
      </w:pPr>
      <w:r>
        <w:rPr>
          <w:rFonts w:ascii="Times New Roman"/>
          <w:b w:val="false"/>
          <w:i w:val="false"/>
          <w:color w:val="000000"/>
          <w:sz w:val="28"/>
        </w:rPr>
        <w:t>
      В январе 2014 года Фонд разместил 300.000.000 купонных облигаций, номинальной стоимостью 1.000 тенге за облигацию на общую сумму 300.000 миллионов тенге со сроком обращения облигаций 15 лет и купонным вознаграждением в размере 3% годовых. Облигации выкуплены Национальным Банком Республики Казахстан. Средства, полученные от реализации данных облигаций, в размере 200.000 миллионов тенге были использованы для выдачи займа АО "Самрук-Энерго" в целях финансирования приобретения 50% доли участия в ТОО "Экибастузская ГРЭС-1" и 100% доли участия в ТОО "Казгидротехэнерго".</w:t>
      </w:r>
    </w:p>
    <w:p>
      <w:pPr>
        <w:spacing w:after="0"/>
        <w:ind w:left="0"/>
        <w:jc w:val="both"/>
      </w:pPr>
      <w:r>
        <w:rPr>
          <w:rFonts w:ascii="Times New Roman"/>
          <w:b w:val="false"/>
          <w:i w:val="false"/>
          <w:color w:val="000000"/>
          <w:sz w:val="28"/>
        </w:rPr>
        <w:t xml:space="preserve">
      В январе 2014 года Kazakhmys Finance Plc осуществил досрочное погашение займов в размере 400 миллионов долларов США (эквивалент 61.808 миллионов тенге по курсу на дату погашения). Данная сумма была использована Фондом для досрочного погашения займов перед Государственным Банком Развития Китая. </w:t>
      </w:r>
    </w:p>
    <w:bookmarkStart w:name="z382" w:id="381"/>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Изменения в структуре Группы</w:t>
      </w:r>
    </w:p>
    <w:bookmarkEnd w:id="381"/>
    <w:p>
      <w:pPr>
        <w:spacing w:after="0"/>
        <w:ind w:left="0"/>
        <w:jc w:val="both"/>
      </w:pPr>
      <w:r>
        <w:rPr>
          <w:rFonts w:ascii="Times New Roman"/>
          <w:b w:val="false"/>
          <w:i w:val="false"/>
          <w:color w:val="000000"/>
          <w:sz w:val="28"/>
        </w:rPr>
        <w:t>
      В феврале 2014 года было принято решение об утверждении Передаточного акта по реорганизации АО "НАК "Казатомпром" путем присоединения к нему ТОО "Горнорудная компания". Все права и обязанности ТОО "Горнорудная компания" переходят к АО "НАК "Казатомпром" в соответствии с Передаточным актом.</w:t>
      </w:r>
    </w:p>
    <w:p>
      <w:pPr>
        <w:spacing w:after="0"/>
        <w:ind w:left="0"/>
        <w:jc w:val="both"/>
      </w:pPr>
      <w:r>
        <w:rPr>
          <w:rFonts w:ascii="Times New Roman"/>
          <w:b w:val="false"/>
          <w:i w:val="false"/>
          <w:color w:val="000000"/>
          <w:sz w:val="28"/>
        </w:rPr>
        <w:t>
      В апреле 2014 года АО "Самрук-Энерго" приобрел 50% долю участия в ТОО "Экибазтузская ГРЭС-1 и 100% долю в ТОО "Казгидротехэнерго" у Kazakhmys Plc. Цена приобретения составила 1.300 миллионов долларов США.</w:t>
      </w:r>
    </w:p>
    <w:p>
      <w:pPr>
        <w:spacing w:after="0"/>
        <w:ind w:left="0"/>
        <w:jc w:val="both"/>
      </w:pPr>
      <w:r>
        <w:rPr>
          <w:rFonts w:ascii="Times New Roman"/>
          <w:b w:val="false"/>
          <w:i w:val="false"/>
          <w:color w:val="000000"/>
          <w:sz w:val="28"/>
        </w:rPr>
        <w:t xml:space="preserve">
      5 марта 2014 г. подписано Постановление Правительства РК по отчуждению пакета акций АО "Альянс банк" и АО "Темiрбанк", таким образом, выполнено одно из отлагательных условий Фонда для закрытия сделки по продаже Фондом 79,88% акций АО "Темірбанк" и 16% простых и привилегированных акций АО "Альянс Банк". </w:t>
      </w:r>
    </w:p>
    <w:bookmarkStart w:name="z383" w:id="382"/>
    <w:p>
      <w:pPr>
        <w:spacing w:after="0"/>
        <w:ind w:left="0"/>
        <w:jc w:val="both"/>
      </w:pPr>
      <w:r>
        <w:rPr>
          <w:rFonts w:ascii="Times New Roman"/>
          <w:b w:val="false"/>
          <w:i w:val="false"/>
          <w:color w:val="000000"/>
          <w:sz w:val="28"/>
        </w:rPr>
        <w:t xml:space="preserve">
      </w:t>
      </w:r>
      <w:r>
        <w:rPr>
          <w:rFonts w:ascii="Times New Roman"/>
          <w:b/>
          <w:i w:val="false"/>
          <w:color w:val="000000"/>
          <w:sz w:val="28"/>
        </w:rPr>
        <w:t>Экспортная таможенная пошлина</w:t>
      </w:r>
    </w:p>
    <w:bookmarkEnd w:id="382"/>
    <w:p>
      <w:pPr>
        <w:spacing w:after="0"/>
        <w:ind w:left="0"/>
        <w:jc w:val="both"/>
      </w:pPr>
      <w:r>
        <w:rPr>
          <w:rFonts w:ascii="Times New Roman"/>
          <w:b w:val="false"/>
          <w:i w:val="false"/>
          <w:color w:val="000000"/>
          <w:sz w:val="28"/>
        </w:rPr>
        <w:t>
      Правительство Республики Казахстан планирует повысить таможенную пошлину на экспорт сырой нефти с 60 долларов США за тонну до 80 долларов США за тонну с 1 апреля 2014 года.</w:t>
      </w:r>
    </w:p>
    <w:bookmarkStart w:name="z384" w:id="383"/>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Операционная деятельность</w:t>
      </w:r>
    </w:p>
    <w:bookmarkEnd w:id="383"/>
    <w:p>
      <w:pPr>
        <w:spacing w:after="0"/>
        <w:ind w:left="0"/>
        <w:jc w:val="both"/>
      </w:pPr>
      <w:r>
        <w:rPr>
          <w:rFonts w:ascii="Times New Roman"/>
          <w:b w:val="false"/>
          <w:i w:val="false"/>
          <w:color w:val="000000"/>
          <w:sz w:val="28"/>
        </w:rPr>
        <w:t>
      С 1 января 2014 года вступает в силу приказ Агентства по регулированию естественных монополий Республики Казахстан от 21 ноября 2013 года об увеличении тарифов на услуги АО "КазТрансОйл" по перекачке нефти для внутреннего и экспортного рынков: тариф на внутренний рынок за транспортировку 1 тонны нефти на 1.000 км увеличен с 1.954,5 тенге до 2.931,8 тенге (на 50%), на экспорт – за транспортировку 1 тонны нефти на 1.000 км увеличен с 4.732,6 тенге до 4.850,6 тенге (на 2,5%). С 1 апреля 2014 года тариф на экспорт увеличился с 4.850,6 тенге до 5.817,2 тенге в соответствии с приказом Агентства по регулированию естественных монополий.</w:t>
      </w:r>
    </w:p>
    <w:p>
      <w:pPr>
        <w:spacing w:after="0"/>
        <w:ind w:left="0"/>
        <w:jc w:val="both"/>
      </w:pPr>
      <w:r>
        <w:rPr>
          <w:rFonts w:ascii="Times New Roman"/>
          <w:b w:val="false"/>
          <w:i w:val="false"/>
          <w:color w:val="000000"/>
          <w:sz w:val="28"/>
        </w:rPr>
        <w:t>
      Сняты ограничения на увеличение рейсов в страны Европейского Союза с АО "Эйр Астана".</w:t>
      </w:r>
    </w:p>
    <w:p>
      <w:pPr>
        <w:spacing w:after="0"/>
        <w:ind w:left="0"/>
        <w:jc w:val="both"/>
      </w:pPr>
      <w:r>
        <w:rPr>
          <w:rFonts w:ascii="Times New Roman"/>
          <w:b w:val="false"/>
          <w:i w:val="false"/>
          <w:color w:val="000000"/>
          <w:sz w:val="28"/>
        </w:rPr>
        <w:t xml:space="preserve">
      31 марта 2014 года заключено Дополнение № 3 к Контракту на поставку топливных таблеток на 2014-2016 годы между CGNPC-URC и АО "НАК "Казатомпром". Таким образом, стороны приняли решение о поставках топливных таблеток в оговоренный срок и избежали возможности выкупа АО "НАК "Казатомпром" доли участия Sino-Kaz в ТОО "Семизбай-U" </w:t>
      </w:r>
      <w:r>
        <w:rPr>
          <w:rFonts w:ascii="Times New Roman"/>
          <w:b w:val="false"/>
          <w:i/>
          <w:color w:val="000000"/>
          <w:sz w:val="28"/>
        </w:rPr>
        <w:t>(Примечание 6)</w:t>
      </w:r>
      <w:r>
        <w:rPr>
          <w:rFonts w:ascii="Times New Roman"/>
          <w:b w:val="false"/>
          <w:i w:val="false"/>
          <w:color w:val="000000"/>
          <w:sz w:val="28"/>
        </w:rPr>
        <w:t>.</w:t>
      </w:r>
    </w:p>
    <w:bookmarkStart w:name="z385" w:id="384"/>
    <w:p>
      <w:pPr>
        <w:spacing w:after="0"/>
        <w:ind w:left="0"/>
        <w:jc w:val="both"/>
      </w:pPr>
      <w:r>
        <w:rPr>
          <w:rFonts w:ascii="Times New Roman"/>
          <w:b w:val="false"/>
          <w:i w:val="false"/>
          <w:color w:val="000000"/>
          <w:sz w:val="28"/>
        </w:rPr>
        <w:t xml:space="preserve">
      </w:t>
      </w:r>
      <w:r>
        <w:rPr>
          <w:rFonts w:ascii="Times New Roman"/>
          <w:b/>
          <w:i w:val="false"/>
          <w:color w:val="000000"/>
          <w:sz w:val="28"/>
        </w:rPr>
        <w:t>Реструктуризация АО "Альянс Банк"</w:t>
      </w:r>
    </w:p>
    <w:bookmarkEnd w:id="384"/>
    <w:p>
      <w:pPr>
        <w:spacing w:after="0"/>
        <w:ind w:left="0"/>
        <w:jc w:val="both"/>
      </w:pPr>
      <w:r>
        <w:rPr>
          <w:rFonts w:ascii="Times New Roman"/>
          <w:b w:val="false"/>
          <w:i w:val="false"/>
          <w:color w:val="000000"/>
          <w:sz w:val="28"/>
        </w:rPr>
        <w:t xml:space="preserve">
      Как раскрыто в </w:t>
      </w:r>
      <w:r>
        <w:rPr>
          <w:rFonts w:ascii="Times New Roman"/>
          <w:b w:val="false"/>
          <w:i/>
          <w:color w:val="000000"/>
          <w:sz w:val="28"/>
        </w:rPr>
        <w:t>Примечании 6</w:t>
      </w:r>
      <w:r>
        <w:rPr>
          <w:rFonts w:ascii="Times New Roman"/>
          <w:b w:val="false"/>
          <w:i w:val="false"/>
          <w:color w:val="000000"/>
          <w:sz w:val="28"/>
        </w:rPr>
        <w:t xml:space="preserve">, в декабре 2013 года между Фондом и госп. Утемуратовым Булатом Джамитовичем были подписаны соглашения о продаже Фондом 79,88% простых акций АО "Темiрбанк" и 16% простых и привилегированных акций АО "Альянс Банк", с целью последующего объединения Темирбанка и Альянс Банка в единый банк. По состоянию на 31 декабря 2013 года Альянс Банк находится под контролем Фонда и таким образом является консолидируемой дочерней организацией </w:t>
      </w:r>
      <w:r>
        <w:rPr>
          <w:rFonts w:ascii="Times New Roman"/>
          <w:b w:val="false"/>
          <w:i/>
          <w:color w:val="000000"/>
          <w:sz w:val="28"/>
        </w:rPr>
        <w:t>(Примечание 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23 января 2014 года руководство Альянс Банк сообщило своим кредиторам, что будет проведена реструктуризация определенных обязательств для того, чтобы обеспечить продолжение деятельности банка. Процесс реструктуризации направлен на достижение положительного капитала и 20% коэффициента капитала 1 уровня, что обеспечит возможность Альянс Банк выполнить пруденциальные нормативы и стать конкурентоспособным в краткосрочной и среднесрочной перспективе. </w:t>
      </w:r>
    </w:p>
    <w:p>
      <w:pPr>
        <w:spacing w:after="0"/>
        <w:ind w:left="0"/>
        <w:jc w:val="both"/>
      </w:pPr>
      <w:r>
        <w:rPr>
          <w:rFonts w:ascii="Times New Roman"/>
          <w:b w:val="false"/>
          <w:i w:val="false"/>
          <w:color w:val="000000"/>
          <w:sz w:val="28"/>
        </w:rPr>
        <w:t xml:space="preserve">
      30 января 2014 года Совет директоров Альянс Банка утвердил решение о реструктуризации. </w:t>
      </w:r>
    </w:p>
    <w:p>
      <w:pPr>
        <w:spacing w:after="0"/>
        <w:ind w:left="0"/>
        <w:jc w:val="both"/>
      </w:pPr>
      <w:r>
        <w:rPr>
          <w:rFonts w:ascii="Times New Roman"/>
          <w:b w:val="false"/>
          <w:i w:val="false"/>
          <w:color w:val="000000"/>
          <w:sz w:val="28"/>
        </w:rPr>
        <w:t>
      Данный уровень капитала будет достигнут за счет:</w:t>
      </w:r>
    </w:p>
    <w:p>
      <w:pPr>
        <w:spacing w:after="0"/>
        <w:ind w:left="0"/>
        <w:jc w:val="both"/>
      </w:pPr>
      <w:r>
        <w:rPr>
          <w:rFonts w:ascii="Times New Roman"/>
          <w:b w:val="false"/>
          <w:i w:val="false"/>
          <w:color w:val="000000"/>
          <w:sz w:val="28"/>
        </w:rPr>
        <w:t>
      - реструктуризации долговых и субординированных долговых ценных бумаг, выпущенных Альянс Банком, на более благоприятных для Альянс Банка условиях;</w:t>
      </w:r>
    </w:p>
    <w:p>
      <w:pPr>
        <w:spacing w:after="0"/>
        <w:ind w:left="0"/>
        <w:jc w:val="both"/>
      </w:pPr>
      <w:r>
        <w:rPr>
          <w:rFonts w:ascii="Times New Roman"/>
          <w:b w:val="false"/>
          <w:i w:val="false"/>
          <w:color w:val="000000"/>
          <w:sz w:val="28"/>
        </w:rPr>
        <w:t>
      - слияния Альянс Банка с Темирбанк ("Объединенный банк"), который имеет более сильную капитальную базу, чем Альянс Банк;</w:t>
      </w:r>
    </w:p>
    <w:p>
      <w:pPr>
        <w:spacing w:after="0"/>
        <w:ind w:left="0"/>
        <w:jc w:val="both"/>
      </w:pPr>
      <w:r>
        <w:rPr>
          <w:rFonts w:ascii="Times New Roman"/>
          <w:b w:val="false"/>
          <w:i w:val="false"/>
          <w:color w:val="000000"/>
          <w:sz w:val="28"/>
        </w:rPr>
        <w:t>
      - преобразования депозитов с низкой ставкой вознаграждения, данный вопрос требует дальнейших переговоров с Фондом;</w:t>
      </w:r>
    </w:p>
    <w:p>
      <w:pPr>
        <w:spacing w:after="0"/>
        <w:ind w:left="0"/>
        <w:jc w:val="both"/>
      </w:pPr>
      <w:r>
        <w:rPr>
          <w:rFonts w:ascii="Times New Roman"/>
          <w:b w:val="false"/>
          <w:i w:val="false"/>
          <w:color w:val="000000"/>
          <w:sz w:val="28"/>
        </w:rPr>
        <w:t xml:space="preserve">
      - использования активов по отсроченному налогу посредством консолидации операций и создания прибыльного Объединенного банка. </w:t>
      </w:r>
    </w:p>
    <w:p>
      <w:pPr>
        <w:spacing w:after="0"/>
        <w:ind w:left="0"/>
        <w:jc w:val="both"/>
      </w:pPr>
      <w:r>
        <w:rPr>
          <w:rFonts w:ascii="Times New Roman"/>
          <w:b w:val="false"/>
          <w:i w:val="false"/>
          <w:color w:val="000000"/>
          <w:sz w:val="28"/>
        </w:rPr>
        <w:t xml:space="preserve">
      Руководство считает, что меры, предложенные в соответствии с планом рекапитализации, также помогут улучшить позицию Объединенного банка в части ликвидности. Кроме того, руководство инициировало анализ эффективности работы Объединенного банка, направленный на снижение численности персонала, исключение невыгодных деловых отношений и объединение ИТ систем. </w:t>
      </w:r>
    </w:p>
    <w:p>
      <w:pPr>
        <w:spacing w:after="0"/>
        <w:ind w:left="0"/>
        <w:jc w:val="both"/>
      </w:pPr>
      <w:r>
        <w:rPr>
          <w:rFonts w:ascii="Times New Roman"/>
          <w:b w:val="false"/>
          <w:i w:val="false"/>
          <w:color w:val="000000"/>
          <w:sz w:val="28"/>
        </w:rPr>
        <w:t>
      6 февраля 2014 года Альянс Банк подписал соглашение с Национальным Банком Республики Казахстан, которое определяет обязательства Альянс Банка по рекапитализации и устанавливает нормативную базу на период внедрения плана рекапитализации. В соответствии с соглашением Альянс Банк взял на себя обязательство внедрить план реструктуризации к 1 июля 2014 года и привести все пруденциальные нормативы в соответствие с лимитами, установленными законодательством.</w:t>
      </w:r>
    </w:p>
    <w:bookmarkStart w:name="z386" w:id="385"/>
    <w:p>
      <w:pPr>
        <w:spacing w:after="0"/>
        <w:ind w:left="0"/>
        <w:jc w:val="both"/>
      </w:pPr>
      <w:r>
        <w:rPr>
          <w:rFonts w:ascii="Times New Roman"/>
          <w:b w:val="false"/>
          <w:i w:val="false"/>
          <w:color w:val="000000"/>
          <w:sz w:val="28"/>
        </w:rPr>
        <w:t xml:space="preserve">
      </w:t>
      </w:r>
      <w:r>
        <w:rPr>
          <w:rFonts w:ascii="Times New Roman"/>
          <w:b/>
          <w:i w:val="false"/>
          <w:color w:val="000000"/>
          <w:sz w:val="28"/>
        </w:rPr>
        <w:t>Взносы в уставный капитал</w:t>
      </w:r>
    </w:p>
    <w:bookmarkEnd w:id="385"/>
    <w:p>
      <w:pPr>
        <w:spacing w:after="0"/>
        <w:ind w:left="0"/>
        <w:jc w:val="both"/>
      </w:pPr>
      <w:r>
        <w:rPr>
          <w:rFonts w:ascii="Times New Roman"/>
          <w:b w:val="false"/>
          <w:i w:val="false"/>
          <w:color w:val="000000"/>
          <w:sz w:val="28"/>
        </w:rPr>
        <w:t>
      В апреле 2014 года Акционер осуществил денежный взнос в уставный капитал Фонда в размере 54.500 миллионов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октября 2014 года</w:t>
            </w:r>
            <w:r>
              <w:br/>
            </w:r>
            <w:r>
              <w:rPr>
                <w:rFonts w:ascii="Times New Roman"/>
                <w:b w:val="false"/>
                <w:i w:val="false"/>
                <w:color w:val="000000"/>
                <w:sz w:val="20"/>
              </w:rPr>
              <w:t>№ 1121</w:t>
            </w:r>
          </w:p>
        </w:tc>
      </w:tr>
    </w:tbl>
    <w:bookmarkStart w:name="z388" w:id="386"/>
    <w:p>
      <w:pPr>
        <w:spacing w:after="0"/>
        <w:ind w:left="0"/>
        <w:jc w:val="both"/>
      </w:pPr>
      <w:r>
        <w:rPr>
          <w:rFonts w:ascii="Times New Roman"/>
          <w:b w:val="false"/>
          <w:i w:val="false"/>
          <w:color w:val="000000"/>
          <w:sz w:val="28"/>
        </w:rPr>
        <w:t>
      АО "Фонд Национального Благосостояния "Самрук-Қазына"</w:t>
      </w:r>
    </w:p>
    <w:bookmarkEnd w:id="386"/>
    <w:p>
      <w:pPr>
        <w:spacing w:after="0"/>
        <w:ind w:left="0"/>
        <w:jc w:val="both"/>
      </w:pPr>
      <w:r>
        <w:rPr>
          <w:rFonts w:ascii="Times New Roman"/>
          <w:b w:val="false"/>
          <w:i w:val="false"/>
          <w:color w:val="000000"/>
          <w:sz w:val="28"/>
        </w:rPr>
        <w:t>
      Отдельные формы финансовой отчетности, подготовленные</w:t>
      </w:r>
    </w:p>
    <w:p>
      <w:pPr>
        <w:spacing w:after="0"/>
        <w:ind w:left="0"/>
        <w:jc w:val="both"/>
      </w:pPr>
      <w:r>
        <w:rPr>
          <w:rFonts w:ascii="Times New Roman"/>
          <w:b w:val="false"/>
          <w:i w:val="false"/>
          <w:color w:val="000000"/>
          <w:sz w:val="28"/>
        </w:rPr>
        <w:t>
      в соответствии с Приказом Министерства финансов</w:t>
      </w:r>
    </w:p>
    <w:p>
      <w:pPr>
        <w:spacing w:after="0"/>
        <w:ind w:left="0"/>
        <w:jc w:val="both"/>
      </w:pPr>
      <w:r>
        <w:rPr>
          <w:rFonts w:ascii="Times New Roman"/>
          <w:b w:val="false"/>
          <w:i w:val="false"/>
          <w:color w:val="000000"/>
          <w:sz w:val="28"/>
        </w:rPr>
        <w:t>
      Республики Казахстан № 422 от 20 августа 2010 года</w:t>
      </w:r>
    </w:p>
    <w:p>
      <w:pPr>
        <w:spacing w:after="0"/>
        <w:ind w:left="0"/>
        <w:jc w:val="both"/>
      </w:pPr>
      <w:r>
        <w:rPr>
          <w:rFonts w:ascii="Times New Roman"/>
          <w:b w:val="false"/>
          <w:i w:val="false"/>
          <w:color w:val="000000"/>
          <w:sz w:val="28"/>
        </w:rPr>
        <w:t>
      За год, закончившийся 31 декабря 2013 года</w:t>
      </w:r>
    </w:p>
    <w:p>
      <w:pPr>
        <w:spacing w:after="0"/>
        <w:ind w:left="0"/>
        <w:jc w:val="both"/>
      </w:pPr>
      <w:r>
        <w:rPr>
          <w:rFonts w:ascii="Times New Roman"/>
          <w:b w:val="false"/>
          <w:i w:val="false"/>
          <w:color w:val="000000"/>
          <w:sz w:val="28"/>
        </w:rPr>
        <w:t>
      с заключением независимых аудиторов по специальному заданию</w:t>
      </w:r>
    </w:p>
    <w:bookmarkStart w:name="z389" w:id="387"/>
    <w:p>
      <w:pPr>
        <w:spacing w:after="0"/>
        <w:ind w:left="0"/>
        <w:jc w:val="both"/>
      </w:pPr>
      <w:r>
        <w:rPr>
          <w:rFonts w:ascii="Times New Roman"/>
          <w:b w:val="false"/>
          <w:i w:val="false"/>
          <w:color w:val="000000"/>
          <w:sz w:val="28"/>
        </w:rPr>
        <w:t xml:space="preserve">
      </w:t>
      </w:r>
      <w:r>
        <w:rPr>
          <w:rFonts w:ascii="Times New Roman"/>
          <w:b/>
          <w:i w:val="false"/>
          <w:color w:val="000000"/>
          <w:sz w:val="28"/>
        </w:rPr>
        <w:t>СОДЕРЖАНИЕ:</w:t>
      </w:r>
    </w:p>
    <w:bookmarkEnd w:id="387"/>
    <w:p>
      <w:pPr>
        <w:spacing w:after="0"/>
        <w:ind w:left="0"/>
        <w:jc w:val="both"/>
      </w:pPr>
      <w:r>
        <w:rPr>
          <w:rFonts w:ascii="Times New Roman"/>
          <w:b w:val="false"/>
          <w:i w:val="false"/>
          <w:color w:val="000000"/>
          <w:sz w:val="28"/>
        </w:rPr>
        <w:t>
      Отчет независимых аудиторов по специальному заданию</w:t>
      </w:r>
    </w:p>
    <w:bookmarkStart w:name="z390" w:id="388"/>
    <w:p>
      <w:pPr>
        <w:spacing w:after="0"/>
        <w:ind w:left="0"/>
        <w:jc w:val="both"/>
      </w:pPr>
      <w:r>
        <w:rPr>
          <w:rFonts w:ascii="Times New Roman"/>
          <w:b w:val="false"/>
          <w:i w:val="false"/>
          <w:color w:val="000000"/>
          <w:sz w:val="28"/>
        </w:rPr>
        <w:t xml:space="preserve">
      </w:t>
      </w:r>
      <w:r>
        <w:rPr>
          <w:rFonts w:ascii="Times New Roman"/>
          <w:b/>
          <w:i w:val="false"/>
          <w:color w:val="000000"/>
          <w:sz w:val="28"/>
        </w:rPr>
        <w:t>Отдельные формы финансовой отчетности</w:t>
      </w:r>
    </w:p>
    <w:bookmarkEnd w:id="388"/>
    <w:p>
      <w:pPr>
        <w:spacing w:after="0"/>
        <w:ind w:left="0"/>
        <w:jc w:val="both"/>
      </w:pPr>
      <w:r>
        <w:rPr>
          <w:rFonts w:ascii="Times New Roman"/>
          <w:b w:val="false"/>
          <w:i w:val="false"/>
          <w:color w:val="000000"/>
          <w:sz w:val="28"/>
        </w:rPr>
        <w:t>
      Отдельный бухгалтерский баланс (форма № 1)</w:t>
      </w:r>
    </w:p>
    <w:p>
      <w:pPr>
        <w:spacing w:after="0"/>
        <w:ind w:left="0"/>
        <w:jc w:val="both"/>
      </w:pPr>
      <w:r>
        <w:rPr>
          <w:rFonts w:ascii="Times New Roman"/>
          <w:b w:val="false"/>
          <w:i w:val="false"/>
          <w:color w:val="000000"/>
          <w:sz w:val="28"/>
        </w:rPr>
        <w:t>
      Отдельный отчет о прибылях и убытках (форма № 2)</w:t>
      </w:r>
    </w:p>
    <w:p>
      <w:pPr>
        <w:spacing w:after="0"/>
        <w:ind w:left="0"/>
        <w:jc w:val="both"/>
      </w:pPr>
      <w:r>
        <w:rPr>
          <w:rFonts w:ascii="Times New Roman"/>
          <w:b w:val="false"/>
          <w:i w:val="false"/>
          <w:color w:val="000000"/>
          <w:sz w:val="28"/>
        </w:rPr>
        <w:t>
      Отдельный отчет о движении денежных средств (косвенный метод)(форма № 3)</w:t>
      </w:r>
    </w:p>
    <w:p>
      <w:pPr>
        <w:spacing w:after="0"/>
        <w:ind w:left="0"/>
        <w:jc w:val="both"/>
      </w:pPr>
      <w:r>
        <w:rPr>
          <w:rFonts w:ascii="Times New Roman"/>
          <w:b w:val="false"/>
          <w:i w:val="false"/>
          <w:color w:val="000000"/>
          <w:sz w:val="28"/>
        </w:rPr>
        <w:t>
      Отдельный отчет об изменениях в капитале (форма № 4)</w:t>
      </w:r>
    </w:p>
    <w:p>
      <w:pPr>
        <w:spacing w:after="0"/>
        <w:ind w:left="0"/>
        <w:jc w:val="both"/>
      </w:pPr>
      <w:r>
        <w:rPr>
          <w:rFonts w:ascii="Times New Roman"/>
          <w:b w:val="false"/>
          <w:i w:val="false"/>
          <w:color w:val="000000"/>
          <w:sz w:val="28"/>
        </w:rPr>
        <w:t>
      Пояснительная записка к отдельным формам финансовой отчетности</w:t>
      </w:r>
    </w:p>
    <w:bookmarkStart w:name="z391" w:id="389"/>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независимых аудиторов</w:t>
      </w:r>
    </w:p>
    <w:bookmarkEnd w:id="389"/>
    <w:p>
      <w:pPr>
        <w:spacing w:after="0"/>
        <w:ind w:left="0"/>
        <w:jc w:val="both"/>
      </w:pPr>
      <w:r>
        <w:rPr>
          <w:rFonts w:ascii="Times New Roman"/>
          <w:b w:val="false"/>
          <w:i w:val="false"/>
          <w:color w:val="000000"/>
          <w:sz w:val="28"/>
        </w:rPr>
        <w:t>
      Акционеру и Руководству АО "Фонд Национального Благосостояния "Самрук-Қазына":</w:t>
      </w:r>
    </w:p>
    <w:p>
      <w:pPr>
        <w:spacing w:after="0"/>
        <w:ind w:left="0"/>
        <w:jc w:val="both"/>
      </w:pPr>
      <w:r>
        <w:rPr>
          <w:rFonts w:ascii="Times New Roman"/>
          <w:b w:val="false"/>
          <w:i w:val="false"/>
          <w:color w:val="000000"/>
          <w:sz w:val="28"/>
        </w:rPr>
        <w:t xml:space="preserve">
      Мы провели аудит прилагаемых отдельных форм финансовой отчетности АО "Фонд Национального Благосостояния "Самрук-Қазына" (далее "Фонд"), которые включают отдельный бухгалтерский баланс по состоянию на 31 декабря 2013 года, отдельный отчет о прибылях и убытках, отдельный отчет об изменениях в капитале и отдельный отчет о движении денежных средств за год, закончившийся на указанную дату, а также информацию о существенных аспектах учетной политики и другую пояснительную информацию (далее "отдельные формы финансовой отчетности"). Данные отдельные формы финансовой отчетности были подготовлены руководством Фонда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Министерства финансов Республики Казахстан № 422 от 20 августа 2010 года.</w:t>
      </w:r>
    </w:p>
    <w:bookmarkStart w:name="z392" w:id="390"/>
    <w:p>
      <w:pPr>
        <w:spacing w:after="0"/>
        <w:ind w:left="0"/>
        <w:jc w:val="both"/>
      </w:pPr>
      <w:r>
        <w:rPr>
          <w:rFonts w:ascii="Times New Roman"/>
          <w:b w:val="false"/>
          <w:i w:val="false"/>
          <w:color w:val="000000"/>
          <w:sz w:val="28"/>
        </w:rPr>
        <w:t xml:space="preserve">
      </w:t>
      </w:r>
      <w:r>
        <w:rPr>
          <w:rFonts w:ascii="Times New Roman"/>
          <w:b w:val="false"/>
          <w:i/>
          <w:color w:val="000000"/>
          <w:sz w:val="28"/>
        </w:rPr>
        <w:t>Ответственность руководства в отношении отдельных форм финансовой отчетности</w:t>
      </w:r>
    </w:p>
    <w:bookmarkEnd w:id="390"/>
    <w:p>
      <w:pPr>
        <w:spacing w:after="0"/>
        <w:ind w:left="0"/>
        <w:jc w:val="both"/>
      </w:pPr>
      <w:r>
        <w:rPr>
          <w:rFonts w:ascii="Times New Roman"/>
          <w:b w:val="false"/>
          <w:i w:val="false"/>
          <w:color w:val="000000"/>
          <w:sz w:val="28"/>
        </w:rPr>
        <w:t xml:space="preserve">
      Руководство Фонда несет ответственность за подготовку и достоверное представление данных отдельных форм финансовой отчетности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Министерства финансов Республики Казахстан № 422 от 20 августа 2010 года, а также за процедуры внутреннего контроля, необходимые, по мнению руководства, для обеспечения подготовки отдельных форм финансовой отчетности, не содержащих существенных искажений вследствие недобросовестных действий или ошибки.</w:t>
      </w:r>
    </w:p>
    <w:bookmarkStart w:name="z393" w:id="391"/>
    <w:p>
      <w:pPr>
        <w:spacing w:after="0"/>
        <w:ind w:left="0"/>
        <w:jc w:val="both"/>
      </w:pPr>
      <w:r>
        <w:rPr>
          <w:rFonts w:ascii="Times New Roman"/>
          <w:b w:val="false"/>
          <w:i w:val="false"/>
          <w:color w:val="000000"/>
          <w:sz w:val="28"/>
        </w:rPr>
        <w:t xml:space="preserve">
      </w:t>
      </w:r>
      <w:r>
        <w:rPr>
          <w:rFonts w:ascii="Times New Roman"/>
          <w:b w:val="false"/>
          <w:i/>
          <w:color w:val="000000"/>
          <w:sz w:val="28"/>
        </w:rPr>
        <w:t>Ответственность аудиторов</w:t>
      </w:r>
    </w:p>
    <w:bookmarkEnd w:id="391"/>
    <w:p>
      <w:pPr>
        <w:spacing w:after="0"/>
        <w:ind w:left="0"/>
        <w:jc w:val="both"/>
      </w:pPr>
      <w:r>
        <w:rPr>
          <w:rFonts w:ascii="Times New Roman"/>
          <w:b w:val="false"/>
          <w:i w:val="false"/>
          <w:color w:val="000000"/>
          <w:sz w:val="28"/>
        </w:rPr>
        <w:t>
      Наша обязанность заключается в том, чтобы выразить мнение о данных отдельных формах финансовой отчетности на основе проведенного аудита. Мы провели аудит в соответствии с Международными стандартами аудита. Данные стандарты требуют, чтобы мы соблюдали этические нормы, спланировали и провели аудит так, чтобы получить достаточную уверенность в отсутствии существенного искажения отдельных форм финансовой отчетности.</w:t>
      </w:r>
    </w:p>
    <w:p>
      <w:pPr>
        <w:spacing w:after="0"/>
        <w:ind w:left="0"/>
        <w:jc w:val="both"/>
      </w:pPr>
      <w:r>
        <w:rPr>
          <w:rFonts w:ascii="Times New Roman"/>
          <w:b w:val="false"/>
          <w:i w:val="false"/>
          <w:color w:val="000000"/>
          <w:sz w:val="28"/>
        </w:rPr>
        <w:t>
      Аудит включает выполнение процедур, направленных на получение аудиторских доказательств в отношении сумм и информации, представленных в отдельных формах финансовой отчетности. Выбор процедур основывается на суждении аудитора, включая оценку риска существенного искажения отдельных форм финансовой отчетности вследствие недобросовестных действий или ошибки. При оценке этого риска аудитор рассматривает аспекты внутреннего контроля компании в отношении подготовки и достоверного представления отдельных форм финансовой отчетности с тем, чтобы определить процедуры аудита, необходимые в конкретных обстоятельствах, а не для выражения мнения об эффективности системы внутреннего контроля компании. Аудит также включает оценку уместности выбранной учетной политики и обоснованности бухгалтерских оценок, сделанных руководством, и оценку представления отдельных форм финансовой отчетности в целом.</w:t>
      </w:r>
    </w:p>
    <w:p>
      <w:pPr>
        <w:spacing w:after="0"/>
        <w:ind w:left="0"/>
        <w:jc w:val="both"/>
      </w:pPr>
      <w:r>
        <w:rPr>
          <w:rFonts w:ascii="Times New Roman"/>
          <w:b w:val="false"/>
          <w:i w:val="false"/>
          <w:color w:val="000000"/>
          <w:sz w:val="28"/>
        </w:rPr>
        <w:t>
      Мы считаем, что полученные нами аудиторские доказательства являются достаточными и надлежащими для выражения нашего мнения.</w:t>
      </w:r>
    </w:p>
    <w:bookmarkStart w:name="z394" w:id="392"/>
    <w:p>
      <w:pPr>
        <w:spacing w:after="0"/>
        <w:ind w:left="0"/>
        <w:jc w:val="both"/>
      </w:pPr>
      <w:r>
        <w:rPr>
          <w:rFonts w:ascii="Times New Roman"/>
          <w:b w:val="false"/>
          <w:i w:val="false"/>
          <w:color w:val="000000"/>
          <w:sz w:val="28"/>
        </w:rPr>
        <w:t xml:space="preserve">
      </w:t>
      </w:r>
      <w:r>
        <w:rPr>
          <w:rFonts w:ascii="Times New Roman"/>
          <w:b w:val="false"/>
          <w:i/>
          <w:color w:val="000000"/>
          <w:sz w:val="28"/>
        </w:rPr>
        <w:t>Мнение</w:t>
      </w:r>
    </w:p>
    <w:bookmarkEnd w:id="392"/>
    <w:p>
      <w:pPr>
        <w:spacing w:after="0"/>
        <w:ind w:left="0"/>
        <w:jc w:val="both"/>
      </w:pPr>
      <w:r>
        <w:rPr>
          <w:rFonts w:ascii="Times New Roman"/>
          <w:b w:val="false"/>
          <w:i w:val="false"/>
          <w:color w:val="000000"/>
          <w:sz w:val="28"/>
        </w:rPr>
        <w:t xml:space="preserve">
      По нашему мнению, отдельные формы финансовой отчетности во всех существенных аспектах достоверно отражают отдельное финансовое положение АО "Фонд Национального Благосостояния "Самрук-Қазына" по состоянию на 31 декабря 2013 года, а также его отдельные финансовые результаты и движение денежных средств за год, закончившийся на указанную дату,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Министерства финансов Республики Казахстан № 422 от 20 августа 2010 года.</w:t>
      </w:r>
    </w:p>
    <w:bookmarkStart w:name="z395" w:id="393"/>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Принципы подготовки и ограничение использования</w:t>
      </w:r>
    </w:p>
    <w:bookmarkEnd w:id="393"/>
    <w:p>
      <w:pPr>
        <w:spacing w:after="0"/>
        <w:ind w:left="0"/>
        <w:jc w:val="both"/>
      </w:pPr>
      <w:r>
        <w:rPr>
          <w:rFonts w:ascii="Times New Roman"/>
          <w:b w:val="false"/>
          <w:i w:val="false"/>
          <w:color w:val="000000"/>
          <w:sz w:val="28"/>
        </w:rPr>
        <w:t xml:space="preserve">
      Не изменяя нашего мнения, мы обращаем внимание на Пояснительную записку к отдельным формам финансовой отчетности, в которой описываются принципы их подготовки. Отдельные формы финансовой отчетности были подготовлены с целью выполнения Фондом требований Приказа Министерства финансов Республики Казахстан №422 от 20 августа 2010 года. Соответственно, данные отдельные формы финансовой отчетности могут быть непригодны для других целей. </w:t>
      </w:r>
    </w:p>
    <w:bookmarkStart w:name="z396" w:id="394"/>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сведения</w:t>
      </w:r>
    </w:p>
    <w:bookmarkEnd w:id="394"/>
    <w:p>
      <w:pPr>
        <w:spacing w:after="0"/>
        <w:ind w:left="0"/>
        <w:jc w:val="both"/>
      </w:pPr>
      <w:r>
        <w:rPr>
          <w:rFonts w:ascii="Times New Roman"/>
          <w:b w:val="false"/>
          <w:i w:val="false"/>
          <w:color w:val="000000"/>
          <w:sz w:val="28"/>
        </w:rPr>
        <w:t>
      Фонд подготовил комплект отдельной финансовой отчетности в соответствии с Международными стандартами финансовой отчетности за год, закончившийся 31 декабря 2013 года, по которой мы выпустили отдельный аудиторский отчет, адресованный Акционеру и руководству Фонда от 25 апреля 2014 года.</w:t>
      </w:r>
    </w:p>
    <w:tbl>
      <w:tblPr>
        <w:tblW w:w="0" w:type="auto"/>
        <w:tblCellSpacing w:w="0" w:type="auto"/>
        <w:tblBorders>
          <w:top w:val="none"/>
          <w:left w:val="none"/>
          <w:bottom w:val="none"/>
          <w:right w:val="none"/>
          <w:insideH w:val="none"/>
          <w:insideV w:val="none"/>
        </w:tblBorders>
      </w:tblPr>
      <w:tblGrid>
        <w:gridCol w:w="5885"/>
        <w:gridCol w:w="6415"/>
      </w:tblGrid>
      <w:tr>
        <w:trPr>
          <w:trHeight w:val="30" w:hRule="atLeast"/>
        </w:trPr>
        <w:tc>
          <w:tcPr>
            <w:tcW w:w="5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Бахтиер Эшонкулов</w:t>
            </w:r>
          </w:p>
          <w:p>
            <w:pPr>
              <w:spacing w:after="20"/>
              <w:ind w:left="20"/>
              <w:jc w:val="both"/>
            </w:pPr>
            <w:r>
              <w:rPr>
                <w:rFonts w:ascii="Times New Roman"/>
                <w:b w:val="false"/>
                <w:i w:val="false"/>
                <w:color w:val="000000"/>
                <w:sz w:val="20"/>
              </w:rPr>
              <w:t>
</w:t>
            </w:r>
            <w:r>
              <w:rPr>
                <w:rFonts w:ascii="Times New Roman"/>
                <w:b w:val="false"/>
                <w:i/>
                <w:color w:val="000000"/>
                <w:sz w:val="20"/>
              </w:rPr>
              <w:t>Аудитор / партнер по аудиту</w:t>
            </w:r>
          </w:p>
        </w:tc>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Евгений Жемалетдинов</w:t>
            </w:r>
          </w:p>
          <w:p>
            <w:pPr>
              <w:spacing w:after="20"/>
              <w:ind w:left="20"/>
              <w:jc w:val="both"/>
            </w:pPr>
            <w:r>
              <w:rPr>
                <w:rFonts w:ascii="Times New Roman"/>
                <w:b w:val="false"/>
                <w:i w:val="false"/>
                <w:color w:val="000000"/>
                <w:sz w:val="20"/>
              </w:rPr>
              <w:t>
</w:t>
            </w:r>
            <w:r>
              <w:rPr>
                <w:rFonts w:ascii="Times New Roman"/>
                <w:b w:val="false"/>
                <w:i/>
                <w:color w:val="000000"/>
                <w:sz w:val="20"/>
              </w:rPr>
              <w:t>Генеральный директор</w:t>
            </w:r>
          </w:p>
          <w:p>
            <w:pPr>
              <w:spacing w:after="20"/>
              <w:ind w:left="20"/>
              <w:jc w:val="both"/>
            </w:pPr>
            <w:r>
              <w:rPr>
                <w:rFonts w:ascii="Times New Roman"/>
                <w:b w:val="false"/>
                <w:i w:val="false"/>
                <w:color w:val="000000"/>
                <w:sz w:val="20"/>
              </w:rPr>
              <w:t>
</w:t>
            </w:r>
            <w:r>
              <w:rPr>
                <w:rFonts w:ascii="Times New Roman"/>
                <w:b w:val="false"/>
                <w:i/>
                <w:color w:val="000000"/>
                <w:sz w:val="20"/>
              </w:rPr>
              <w:t>ТОО "Эрнст энд Янг"</w:t>
            </w:r>
          </w:p>
        </w:tc>
      </w:tr>
      <w:tr>
        <w:trPr>
          <w:trHeight w:val="30" w:hRule="atLeast"/>
        </w:trPr>
        <w:tc>
          <w:tcPr>
            <w:tcW w:w="5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Квалификационное свидетельство аудитора № МФ-0000099 от 27 августа 2012 года</w:t>
            </w:r>
          </w:p>
        </w:tc>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Государственная лицензия на занятие аудиторской деятельностью на территории Республики Казахстан серии МФЮ-2 № 0000003, выданная Министерством финансов Республики Казахстан 15 июля 2005 года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апреля 2014 года</w:t>
      </w:r>
    </w:p>
    <w:p>
      <w:pPr>
        <w:spacing w:after="0"/>
        <w:ind w:left="0"/>
        <w:jc w:val="both"/>
      </w:pPr>
      <w:r>
        <w:rPr>
          <w:rFonts w:ascii="Times New Roman"/>
          <w:b w:val="false"/>
          <w:i w:val="false"/>
          <w:color w:val="000000"/>
          <w:sz w:val="28"/>
        </w:rPr>
        <w:t xml:space="preserve">
      Наименование организации: </w:t>
      </w:r>
      <w:r>
        <w:rPr>
          <w:rFonts w:ascii="Times New Roman"/>
          <w:b w:val="false"/>
          <w:i w:val="false"/>
          <w:color w:val="000000"/>
          <w:sz w:val="28"/>
          <w:u w:val="single"/>
        </w:rPr>
        <w:t>АО "Фонд Национального Благосостояния "Самрук-Қазына"</w:t>
      </w:r>
    </w:p>
    <w:p>
      <w:pPr>
        <w:spacing w:after="0"/>
        <w:ind w:left="0"/>
        <w:jc w:val="both"/>
      </w:pPr>
      <w:r>
        <w:rPr>
          <w:rFonts w:ascii="Times New Roman"/>
          <w:b w:val="false"/>
          <w:i w:val="false"/>
          <w:color w:val="000000"/>
          <w:sz w:val="28"/>
        </w:rPr>
        <w:t xml:space="preserve">
      Вид деятельности организации: </w:t>
      </w:r>
      <w:r>
        <w:rPr>
          <w:rFonts w:ascii="Times New Roman"/>
          <w:b w:val="false"/>
          <w:i w:val="false"/>
          <w:color w:val="000000"/>
          <w:sz w:val="28"/>
          <w:u w:val="single"/>
        </w:rPr>
        <w:t>Холдинговая компания</w:t>
      </w:r>
    </w:p>
    <w:p>
      <w:pPr>
        <w:spacing w:after="0"/>
        <w:ind w:left="0"/>
        <w:jc w:val="both"/>
      </w:pPr>
      <w:r>
        <w:rPr>
          <w:rFonts w:ascii="Times New Roman"/>
          <w:b w:val="false"/>
          <w:i w:val="false"/>
          <w:color w:val="000000"/>
          <w:sz w:val="28"/>
        </w:rPr>
        <w:t xml:space="preserve">
      Организационно-правовая форма: </w:t>
      </w:r>
      <w:r>
        <w:rPr>
          <w:rFonts w:ascii="Times New Roman"/>
          <w:b w:val="false"/>
          <w:i w:val="false"/>
          <w:color w:val="000000"/>
          <w:sz w:val="28"/>
          <w:u w:val="single"/>
        </w:rPr>
        <w:t>Акционерное Общество</w:t>
      </w:r>
    </w:p>
    <w:p>
      <w:pPr>
        <w:spacing w:after="0"/>
        <w:ind w:left="0"/>
        <w:jc w:val="both"/>
      </w:pPr>
      <w:r>
        <w:rPr>
          <w:rFonts w:ascii="Times New Roman"/>
          <w:b w:val="false"/>
          <w:i w:val="false"/>
          <w:color w:val="000000"/>
          <w:sz w:val="28"/>
        </w:rPr>
        <w:t xml:space="preserve">
      Форма отчетности: </w:t>
      </w:r>
      <w:r>
        <w:rPr>
          <w:rFonts w:ascii="Times New Roman"/>
          <w:b w:val="false"/>
          <w:i w:val="false"/>
          <w:color w:val="000000"/>
          <w:sz w:val="28"/>
          <w:u w:val="single"/>
        </w:rPr>
        <w:t>неконсолидированная</w:t>
      </w:r>
    </w:p>
    <w:p>
      <w:pPr>
        <w:spacing w:after="0"/>
        <w:ind w:left="0"/>
        <w:jc w:val="both"/>
      </w:pPr>
      <w:r>
        <w:rPr>
          <w:rFonts w:ascii="Times New Roman"/>
          <w:b w:val="false"/>
          <w:i w:val="false"/>
          <w:color w:val="000000"/>
          <w:sz w:val="28"/>
        </w:rPr>
        <w:t xml:space="preserve">
      Среднегодовая численность работников: </w:t>
      </w:r>
      <w:r>
        <w:rPr>
          <w:rFonts w:ascii="Times New Roman"/>
          <w:b w:val="false"/>
          <w:i w:val="false"/>
          <w:color w:val="000000"/>
          <w:sz w:val="28"/>
          <w:u w:val="single"/>
        </w:rPr>
        <w:t>155 чел.</w:t>
      </w:r>
    </w:p>
    <w:p>
      <w:pPr>
        <w:spacing w:after="0"/>
        <w:ind w:left="0"/>
        <w:jc w:val="both"/>
      </w:pPr>
      <w:r>
        <w:rPr>
          <w:rFonts w:ascii="Times New Roman"/>
          <w:b w:val="false"/>
          <w:i w:val="false"/>
          <w:color w:val="000000"/>
          <w:sz w:val="28"/>
        </w:rPr>
        <w:t xml:space="preserve">
      Субъект предпринимательства: </w:t>
      </w:r>
      <w:r>
        <w:rPr>
          <w:rFonts w:ascii="Times New Roman"/>
          <w:b w:val="false"/>
          <w:i w:val="false"/>
          <w:color w:val="000000"/>
          <w:sz w:val="28"/>
          <w:u w:val="single"/>
        </w:rPr>
        <w:t>среднего</w:t>
      </w:r>
    </w:p>
    <w:p>
      <w:pPr>
        <w:spacing w:after="0"/>
        <w:ind w:left="0"/>
        <w:jc w:val="both"/>
      </w:pPr>
      <w:r>
        <w:rPr>
          <w:rFonts w:ascii="Times New Roman"/>
          <w:b w:val="false"/>
          <w:i w:val="false"/>
          <w:color w:val="000000"/>
          <w:sz w:val="28"/>
        </w:rPr>
        <w:t xml:space="preserve">
      Юридический адрес организации: </w:t>
      </w:r>
      <w:r>
        <w:rPr>
          <w:rFonts w:ascii="Times New Roman"/>
          <w:b w:val="false"/>
          <w:i w:val="false"/>
          <w:color w:val="000000"/>
          <w:sz w:val="28"/>
          <w:u w:val="single"/>
        </w:rPr>
        <w:t>г. Астана, ул. Кунаева,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gridCol w:w="1043"/>
        <w:gridCol w:w="3376"/>
        <w:gridCol w:w="3377"/>
      </w:tblGrid>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103.508.044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432.972.481</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24.557.826</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26.123.503</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учитываемые по справедливой стоимости через прибыли и убытки</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удерживаемые до погашения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активы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603.058.219</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350.192.890</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торговая и прочая дебиторская задолженность</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18.581.045</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26.427.559</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подоходный налог</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14.206.011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13.733.875</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90.347</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1.247.686</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1.421.517</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 (сумма строк с 010 по 019)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765.232.533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850.962.172</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(или выбывающие группы), предназначенные для продажи</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155.576.350</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12.171.416</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124.194.341</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учитываемые по справедливой стоимости через прибыли и убытки</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удерживаемые до погашения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активы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1.154.462.956</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1.223.732.347</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торговая и прочая дебиторская задолженность</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методом долевого участия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453.554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468.228</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Разведочные и оценочные активы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588.023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931.146</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активы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9.119.936</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3.036.677</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3.012.386.141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3.250.068.330</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 (сумма строк с 110 по 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4.189.182.026</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4.602.431.069</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(строка 100 +строка 101+ строка 200)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5.109.990.909</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5.453.393.241</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и обязательства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107.043.383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81.962.499</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32.347</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6.420.029</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5.956.029</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торговая и прочая кредиторская задолженность</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812.472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1.228.251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год, закончившийся 31 декабря 2013 года              Форма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2"/>
        <w:gridCol w:w="936"/>
        <w:gridCol w:w="3152"/>
        <w:gridCol w:w="3030"/>
      </w:tblGrid>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резервы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1.096.875</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896.083</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налоговые обязательства по подоходному налогу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работникам</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80.885</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153.183</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 (сумма строк с 210 по 217)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115.499.764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90.228.392</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выбывающих групп, предназначенных для продажи</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1.453.194.622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1.480.711.144</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30.725.461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31.723.553</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торговая и прочая кредиторская задолженность</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резервы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обязательства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 (сумма строк с 310 по 316)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1.483.920.083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1.512.434.697</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Капитал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4.484.675.434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4.409.313.655</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(2.159.510)</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(595.087)</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(971.944.862)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(557.988.416)</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относимый на собственников материнской организации (сумма строк с 410 по 414)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3.510.571. 062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3.850.730.152</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неконтролирующих собственников</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капитал (строка 420 +/- строка 421)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3.510.571. 062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3.850.730.152</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(строка 300+строка 301+строка 400 + строка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5.109.990.909</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5.453.393.241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79"/>
        <w:gridCol w:w="10821"/>
      </w:tblGrid>
      <w:tr>
        <w:trPr>
          <w:trHeight w:val="30" w:hRule="atLeast"/>
        </w:trPr>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Финансовый директор - Член Правления</w:t>
            </w:r>
          </w:p>
        </w:tc>
        <w:tc>
          <w:tcPr>
            <w:tcW w:w="10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Нурлан</w:t>
            </w:r>
            <w:r>
              <w:rPr>
                <w:rFonts w:ascii="Times New Roman"/>
                <w:b w:val="false"/>
                <w:i w:val="false"/>
                <w:color w:val="000000"/>
                <w:sz w:val="20"/>
              </w:rPr>
              <w:t> </w:t>
            </w:r>
            <w:r>
              <w:rPr>
                <w:rFonts w:ascii="Times New Roman"/>
                <w:b w:val="false"/>
                <w:i/>
                <w:color w:val="000000"/>
                <w:sz w:val="20"/>
              </w:rPr>
              <w:t xml:space="preserve">Рахметов </w:t>
            </w:r>
          </w:p>
        </w:tc>
      </w:tr>
      <w:tr>
        <w:trPr>
          <w:trHeight w:val="30" w:hRule="atLeast"/>
        </w:trPr>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Главный бухгалтер</w:t>
            </w:r>
          </w:p>
        </w:tc>
        <w:tc>
          <w:tcPr>
            <w:tcW w:w="10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Алмаз</w:t>
            </w:r>
            <w:r>
              <w:rPr>
                <w:rFonts w:ascii="Times New Roman"/>
                <w:b w:val="false"/>
                <w:i w:val="false"/>
                <w:color w:val="000000"/>
                <w:sz w:val="20"/>
              </w:rPr>
              <w:t> </w:t>
            </w:r>
            <w:r>
              <w:rPr>
                <w:rFonts w:ascii="Times New Roman"/>
                <w:b w:val="false"/>
                <w:i/>
                <w:color w:val="000000"/>
                <w:sz w:val="20"/>
              </w:rPr>
              <w:t xml:space="preserve">Абдрахманова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год, закончившийся 31 декабря 2013 года                 Форма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9"/>
        <w:gridCol w:w="1077"/>
        <w:gridCol w:w="3438"/>
        <w:gridCol w:w="3156"/>
      </w:tblGrid>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173.375.229</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403.030.595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реализованных товаров и услуг</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89.893.768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91.423.473</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 (строка 010 – строка 011)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83.481.461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311.607.122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23.823.828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15.966.705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220.768.963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301.135.329</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2.185.484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297.364.688</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операционная прибыль (убыток) (+/- строки с 012 по 016)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(158.925.846)</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291.869.776</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финансированию</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42.527.190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58.666.745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финансированию</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3.103.522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324.252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организации в прибыли (убытке) ассоциированных организаций и совместной деятельности, учитываемых по методу долевого участия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неоперационные доходы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неоперационные расходы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налогообложения (+/- строки с 020 по 025)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(119.502.178)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350.212.269</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4.131.311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10.488.870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после налогообложения от продолжающейся деятельности (строка 100 – строка 101)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(123.633.489)</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339.723.399</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после налогообложения от прекращенной деятельности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за год (строка 200 + строка 201) относимая на: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(123.633.489)</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339.723.399</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собственников материнской организации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(123.633.489)</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339.723.399</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долю неконтролирующих собственников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совокупная прибыль, всего (сумма строк с 410 по 420):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125.738.067</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финансовых активов, имеющихся в наличии для продажи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(21.109.951)</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прочей совокупной прибыли (убытке) ассоциированных организаций и совместной деятельности, учитываемых по методу долевого участия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Актуарные прибыли (убытки) по пенсионным обязательствам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изменения в ставке подоходного налога на отсроченный налог дочерних организаций</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 денежных потоков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1184"/>
        <w:gridCol w:w="3776"/>
        <w:gridCol w:w="3362"/>
      </w:tblGrid>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по инвестициям в зарубежные организации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 чистых инвестиций в зарубежные операции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по инвестициям в зарубежные организации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 чистых инвестиций в зарубежные операции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компоненты прочей совокупной прибыли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при реклассификации в составе прибыли (убытка)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146.848.018</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эффект компонентов прочей совокупной прибыли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совокупная прибыль (строка 300 + строка 400)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(125.197.912)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465.461.466</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совокупная прибыль относимая на: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собственников материнской организации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(125.197.912)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465.461.466</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неконтролирующих собственников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на акцию:</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прибыль на акцию:</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продолжающейся деятельности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прекращенной деятельности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Разводненная прибыль на акцию:</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продолжающейся деятельности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прекращенной деятельности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79"/>
        <w:gridCol w:w="10821"/>
      </w:tblGrid>
      <w:tr>
        <w:trPr>
          <w:trHeight w:val="30" w:hRule="atLeast"/>
        </w:trPr>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Финансовый директор - Член Правления</w:t>
            </w:r>
          </w:p>
        </w:tc>
        <w:tc>
          <w:tcPr>
            <w:tcW w:w="10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Нурлан Рахметов </w:t>
            </w:r>
          </w:p>
        </w:tc>
      </w:tr>
      <w:tr>
        <w:trPr>
          <w:trHeight w:val="30" w:hRule="atLeast"/>
        </w:trPr>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Главный бухгалтер</w:t>
            </w:r>
          </w:p>
        </w:tc>
        <w:tc>
          <w:tcPr>
            <w:tcW w:w="10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Алмаз</w:t>
            </w:r>
            <w:r>
              <w:rPr>
                <w:rFonts w:ascii="Times New Roman"/>
                <w:b w:val="false"/>
                <w:i w:val="false"/>
                <w:color w:val="000000"/>
                <w:sz w:val="20"/>
              </w:rPr>
              <w:t> </w:t>
            </w:r>
            <w:r>
              <w:rPr>
                <w:rFonts w:ascii="Times New Roman"/>
                <w:b w:val="false"/>
                <w:i/>
                <w:color w:val="000000"/>
                <w:sz w:val="20"/>
              </w:rPr>
              <w:t xml:space="preserve">Абдрахманова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год, закончившийся 31 декабря 2013 года                 Форма №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5"/>
        <w:gridCol w:w="748"/>
        <w:gridCol w:w="2388"/>
        <w:gridCol w:w="2389"/>
      </w:tblGrid>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 показателей</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период</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Движение денежных средств от операционной деятельности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(убыток) до налогообложения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(119.502.178)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350.212.269</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и обесценение основных средств и нематериальных активов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284.615</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гудвила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Обесценение торговой и прочей дебиторской задолженности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469.198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(279.376.713)</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стоимости активов (или выбывающей группы), предназначенных для продажи по справедливой стоимости за вычетом затрат на продажу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(прибыль) от выбытия основных средст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Убыток (прибыль) от инвестиционного имущества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(прибыль) от досрочного погашения займов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(прибыль) от прочих финансовых активов, отражаемых по справедливой стоимости с корректировкой через отчет о прибылях и убытках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146.848.018</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(доходы) по финансированию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(42.527.190)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(58.666.745)</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работникам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 долевыми инструментами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по отложенным налогам</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Нереализованная положительная (отрицательная) курсовая разница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организации в прибыли ассоциированных организаций и совместной деятельности, учитываемых по методу долевого участия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неденежные операционные корректировки общей совокупной прибыли (убытка)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220.203.909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138.567.870</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корректировка общей совокупной прибыли (убытка), всего (+/- строки с 011 по 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177.646.188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(52.047.955)</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в запасах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33.228</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резервах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в торговой и прочей дебиторской задолженности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(196.789.355)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(485.997.889)</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в торговой и прочей кредиторской задолженности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(11.418.459)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117.471.137</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в задолженности по налогам и другим обязательным платежам в бюджет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в прочих краткосрочных обязательствах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движение операционных активов и обязательств, всего (+/- строки с 031 по 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(208.224.459)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(368.493.524)</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Уплаченные вознаграждения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31.962.565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50.687.069</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Уплаченный подоходный налог</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(11.066.000)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(10.826.000)</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010 +/- строка 030+/- строка 040+/- строка 041+/- строка 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(129.183.884)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(30.468.141)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7"/>
        <w:gridCol w:w="912"/>
        <w:gridCol w:w="2909"/>
        <w:gridCol w:w="2672"/>
      </w:tblGrid>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Движение денежных средств от инвестиционной деятельности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(477.515.460)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24.581.461</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Движение денежных средств от финансовой деятельности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277.234.907</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(13.043.000)</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Влияние обменных курсов валют к 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Увеличение +/- уменьшение денежных средств (строка 100+/-строка 200+/-строка 300)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(329.464.437)</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(18.929.680)</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Денежные средства и их эквиваленты на начало отчетного периода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432.972.481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451.902.161</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Денежные средства и их эквиваленты на конец отчетного периода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103.508.044</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432.972.481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79"/>
        <w:gridCol w:w="10821"/>
      </w:tblGrid>
      <w:tr>
        <w:trPr>
          <w:trHeight w:val="30" w:hRule="atLeast"/>
        </w:trPr>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Финансовый директор - Член Правления</w:t>
            </w:r>
          </w:p>
        </w:tc>
        <w:tc>
          <w:tcPr>
            <w:tcW w:w="10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Нурлан Рахметов </w:t>
            </w:r>
          </w:p>
        </w:tc>
      </w:tr>
      <w:tr>
        <w:trPr>
          <w:trHeight w:val="30" w:hRule="atLeast"/>
        </w:trPr>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Главный бухгалтер</w:t>
            </w:r>
          </w:p>
        </w:tc>
        <w:tc>
          <w:tcPr>
            <w:tcW w:w="10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Алмаз Абдрахманова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год, закончившийся 31 декабря 2013 года                 Форма №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628"/>
        <w:gridCol w:w="2033"/>
        <w:gridCol w:w="298"/>
        <w:gridCol w:w="381"/>
        <w:gridCol w:w="2005"/>
        <w:gridCol w:w="2254"/>
        <w:gridCol w:w="298"/>
        <w:gridCol w:w="2034"/>
      </w:tblGrid>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материнской организации</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неконтролирующих собственников</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1 января предыдущего года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4.050.382.510</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(126.333.153)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(1.116.292.348)</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2.807.757.009</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учетной политике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Пересчитанное сальдо </w:t>
            </w:r>
          </w:p>
          <w:p>
            <w:pPr>
              <w:spacing w:after="20"/>
              <w:ind w:left="20"/>
              <w:jc w:val="both"/>
            </w:pPr>
            <w:r>
              <w:rPr>
                <w:rFonts w:ascii="Times New Roman"/>
                <w:b w:val="false"/>
                <w:i w:val="false"/>
                <w:color w:val="000000"/>
                <w:sz w:val="20"/>
              </w:rPr>
              <w:t>
(строка 010+/строка 011)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4.050.382.510</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(126.333.153)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(1.116.292.348)</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2.807.757.009</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совокупная прибыль, всего (строка 210 + строка 220):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125.738.066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339.723.399</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465.461.465</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год</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339.723.399</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339.723.399</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совокупная прибыль, всего </w:t>
            </w:r>
          </w:p>
          <w:p>
            <w:pPr>
              <w:spacing w:after="20"/>
              <w:ind w:left="20"/>
              <w:jc w:val="both"/>
            </w:pPr>
            <w:r>
              <w:rPr>
                <w:rFonts w:ascii="Times New Roman"/>
                <w:b w:val="false"/>
                <w:i w:val="false"/>
                <w:color w:val="000000"/>
                <w:sz w:val="20"/>
              </w:rPr>
              <w:t>
(сумма строк с 221 по 229):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125.738.066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125.738.066</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от переоценки основных средств (за минусом налогового эффекта)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амортизации от переоценки основных средств (за минусом налогового эффекта)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Переоценка финансовых активов, имеющиеся в наличии для продажи </w:t>
            </w:r>
          </w:p>
          <w:p>
            <w:pPr>
              <w:spacing w:after="20"/>
              <w:ind w:left="20"/>
              <w:jc w:val="both"/>
            </w:pPr>
            <w:r>
              <w:rPr>
                <w:rFonts w:ascii="Times New Roman"/>
                <w:b w:val="false"/>
                <w:i w:val="false"/>
                <w:color w:val="000000"/>
                <w:sz w:val="20"/>
              </w:rPr>
              <w:t>
(за минусом налогового эффекта)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125.738.066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125.738.066</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прочей совокупной прибыли (убытке) ассоциированных организаций и совместной деятельности, учитываемых по методу долевого участия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Актуарные прибыли (убытки) по пенсионным обязательствам</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изменения в ставке подоходного налога на отсроченный налог дочерних организаций</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Хеджирование денежных потоков </w:t>
            </w:r>
          </w:p>
          <w:p>
            <w:pPr>
              <w:spacing w:after="20"/>
              <w:ind w:left="20"/>
              <w:jc w:val="both"/>
            </w:pPr>
            <w:r>
              <w:rPr>
                <w:rFonts w:ascii="Times New Roman"/>
                <w:b w:val="false"/>
                <w:i w:val="false"/>
                <w:color w:val="000000"/>
                <w:sz w:val="20"/>
              </w:rPr>
              <w:t>
(за минусом налогового эффекта)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по инвестициям в зарубежные организации</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619"/>
        <w:gridCol w:w="2004"/>
        <w:gridCol w:w="293"/>
        <w:gridCol w:w="294"/>
        <w:gridCol w:w="1406"/>
        <w:gridCol w:w="1976"/>
        <w:gridCol w:w="294"/>
        <w:gridCol w:w="2006"/>
      </w:tblGrid>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 чистых инвестиций в зарубежные операции</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собственниками, всего </w:t>
            </w:r>
          </w:p>
          <w:p>
            <w:pPr>
              <w:spacing w:after="20"/>
              <w:ind w:left="20"/>
              <w:jc w:val="both"/>
            </w:pPr>
            <w:r>
              <w:rPr>
                <w:rFonts w:ascii="Times New Roman"/>
                <w:b w:val="false"/>
                <w:i w:val="false"/>
                <w:color w:val="000000"/>
                <w:sz w:val="20"/>
              </w:rPr>
              <w:t>
(сумма строк с 310 по 318):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358.931.145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218.580.533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577.511.678</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работников акциями:</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 работников</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акций по схеме вознаграждения работников акциями</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выгода в отношении схемы вознаграждения работников акциями</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собственников</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358.931.145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358.931.145</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собственных долевых инструментов (акций)</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долевых инструментов связанный с объединением бизнеса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Долевой компонент конвертируемых инструментов (за минусом налогового эффекта)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(168.189.977)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(168.189.977)</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распределения в пользу собственников</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(9.126.447)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(9.126.447)</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 с собственниками</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395.896.957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395.896.957</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доле участия в дочерних организациях, не приводящей к потере контроля</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1 января отчетного года (строка 100 + строка 200 + строка 300)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4.409.313.655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(595.087)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(557.988.416)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3.850.730.152</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учетной политике</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664"/>
        <w:gridCol w:w="2148"/>
        <w:gridCol w:w="315"/>
        <w:gridCol w:w="315"/>
        <w:gridCol w:w="1770"/>
        <w:gridCol w:w="2119"/>
        <w:gridCol w:w="315"/>
        <w:gridCol w:w="2150"/>
      </w:tblGrid>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400 + строка 401)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4.409.313.655</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(595.087)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(557.988.416)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3.850.730.152</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совокупная прибыль, всего (строка 610 + строка 620):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(123.633.489)</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(125.197.912)</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год</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(123.633.489)</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(123.633.489)</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совокупная прибыль, всего (сумма строк с 621 по 629):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(1.564.423)</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от переоценки основных средств (за минусом налогового эффекта)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амортизации от переоценки основных средств (за минусом налогового эффекта)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финансовых активов, имеющиеся в наличии для продажи (за минусом налогового эффекта)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(1.564.423)</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прочей совокупной прибыли (убытке) ассоциированных организаций и совместной деятельности, учитываемых по методу долевого участия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Актуарные прибыли (убытки) по пенсионным обязательствам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изменения в ставке подоходного налога на отсроченный налог дочерних компаний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810"/>
        <w:gridCol w:w="2088"/>
        <w:gridCol w:w="384"/>
        <w:gridCol w:w="384"/>
        <w:gridCol w:w="384"/>
        <w:gridCol w:w="2585"/>
        <w:gridCol w:w="384"/>
        <w:gridCol w:w="2586"/>
      </w:tblGrid>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 денежных потоков (за минусом налогового эффекта)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по инвестициям в зарубежные организации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 чистых инвестиций в зарубежные операции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собственниками всего (сумма строк с 710 по 718)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75.361.779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(290.322.957)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(214.961.178)</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работников акциями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 работников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акций по схеме вознаграждения работников акциями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выгода в отношении схемы вознаграждения работников акциями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собственников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75.361.779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75.361.779</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собственных долевых инструментов (акций)</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долевых инструментов, связанный с объединением бизнеса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Долевой компонент конвертируемых инструментов (за минусом налогового эффекта)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(9.077.418)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(9.077.418)</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распределения в пользу собственников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(119.933.360)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(119.933.360)</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 с собственниками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(161.312.179)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(161.312.179)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607"/>
        <w:gridCol w:w="1965"/>
        <w:gridCol w:w="234"/>
        <w:gridCol w:w="234"/>
        <w:gridCol w:w="1618"/>
        <w:gridCol w:w="1938"/>
        <w:gridCol w:w="234"/>
        <w:gridCol w:w="1968"/>
      </w:tblGrid>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доле участия в дочерних организациях, не приводящей к потере контроля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31 декабря отчетного года (строка 500 + строка 600 + строка 700)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4.484.675.434</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(2.159.510)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(971.944.862)</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3.510.571.062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79"/>
        <w:gridCol w:w="10821"/>
      </w:tblGrid>
      <w:tr>
        <w:trPr>
          <w:trHeight w:val="30" w:hRule="atLeast"/>
        </w:trPr>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Финансовый директор - Член Правления</w:t>
            </w:r>
          </w:p>
        </w:tc>
        <w:tc>
          <w:tcPr>
            <w:tcW w:w="10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Нурлан Рахметов </w:t>
            </w:r>
          </w:p>
        </w:tc>
      </w:tr>
      <w:tr>
        <w:trPr>
          <w:trHeight w:val="30" w:hRule="atLeast"/>
        </w:trPr>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Главный бухгалтер</w:t>
            </w:r>
          </w:p>
        </w:tc>
        <w:tc>
          <w:tcPr>
            <w:tcW w:w="10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Алмаз Абдрахманова </w:t>
            </w:r>
          </w:p>
        </w:tc>
      </w:tr>
    </w:tbl>
    <w:p>
      <w:pPr>
        <w:spacing w:after="0"/>
        <w:ind w:left="0"/>
        <w:jc w:val="left"/>
      </w:pPr>
      <w:r>
        <w:br/>
      </w:r>
      <w:r>
        <w:rPr>
          <w:rFonts w:ascii="Times New Roman"/>
          <w:b w:val="false"/>
          <w:i w:val="false"/>
          <w:color w:val="000000"/>
          <w:sz w:val="28"/>
        </w:rPr>
        <w:t>
</w:t>
      </w:r>
    </w:p>
    <w:bookmarkStart w:name="z397" w:id="395"/>
    <w:p>
      <w:pPr>
        <w:spacing w:after="0"/>
        <w:ind w:left="0"/>
        <w:jc w:val="both"/>
      </w:pPr>
      <w:r>
        <w:rPr>
          <w:rFonts w:ascii="Times New Roman"/>
          <w:b w:val="false"/>
          <w:i w:val="false"/>
          <w:color w:val="000000"/>
          <w:sz w:val="28"/>
        </w:rPr>
        <w:t xml:space="preserve">
      </w:t>
      </w:r>
      <w:r>
        <w:rPr>
          <w:rFonts w:ascii="Times New Roman"/>
          <w:b/>
          <w:i w:val="false"/>
          <w:color w:val="000000"/>
          <w:sz w:val="28"/>
        </w:rPr>
        <w:t>1. ОБЩАЯ ИНФОРМАЦИЯ</w:t>
      </w:r>
    </w:p>
    <w:bookmarkEnd w:id="395"/>
    <w:p>
      <w:pPr>
        <w:spacing w:after="0"/>
        <w:ind w:left="0"/>
        <w:jc w:val="both"/>
      </w:pPr>
      <w:r>
        <w:rPr>
          <w:rFonts w:ascii="Times New Roman"/>
          <w:b w:val="false"/>
          <w:i w:val="false"/>
          <w:color w:val="000000"/>
          <w:sz w:val="28"/>
        </w:rPr>
        <w:t>
      Акционерное общество "Фонд Национального Благосостояния "Самрук-Қазына" (далее "Фонд" или "Самрук-Қазына") было образовано 3 ноября 2008 года в соответствии с Указом Президента Республики Казахстан от 13 октября 2008 года и постановлением Правительства Республики Казахстан от 17 октября 2008 года. Фонд был создан посредством слияния АО "Фонд Устойчивого Развития "Қазына" (далее "Қазына") и АО "Казахстанский Холдинг по Управлению Государственными Активами "Самрук" (далее "Самрук") и дополнительной передачи государством Фонду своего права собственности в некоторых предприятиях, принадлежащих Правительству Республики Казахстан (далее "Государство" или "Правительство"). Учредителем Фонда является Правительство, в лице Комитета государственного имущества и приватизации Министерства финансов Республики Казахстан. Правительство является единственным акционером Фонда (далее "Акционер").</w:t>
      </w:r>
    </w:p>
    <w:p>
      <w:pPr>
        <w:spacing w:after="0"/>
        <w:ind w:left="0"/>
        <w:jc w:val="both"/>
      </w:pPr>
      <w:r>
        <w:rPr>
          <w:rFonts w:ascii="Times New Roman"/>
          <w:b w:val="false"/>
          <w:i w:val="false"/>
          <w:color w:val="000000"/>
          <w:sz w:val="28"/>
        </w:rPr>
        <w:t xml:space="preserve">
      Основной целью Правительства при слиянии "Қазына" и "Самрук" является повышение эффективности менеджмента и оптимизация организационных структур в дочерних организациях Фонда, с целью успешного выполнения их стратегических задач, установленных в соответствующих программах Правительства и планах развития компаний. </w:t>
      </w:r>
    </w:p>
    <w:p>
      <w:pPr>
        <w:spacing w:after="0"/>
        <w:ind w:left="0"/>
        <w:jc w:val="both"/>
      </w:pPr>
      <w:r>
        <w:rPr>
          <w:rFonts w:ascii="Times New Roman"/>
          <w:b w:val="false"/>
          <w:i w:val="false"/>
          <w:color w:val="000000"/>
          <w:sz w:val="28"/>
        </w:rPr>
        <w:t xml:space="preserve">
      Деятельность Фонда до 22-го февраля 2012 года регулировалась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 № 134-4 от 13 февраля 2009 года и была направлена на содействие в обеспечении устойчивого развития экономики страны; модернизации и диверсификации экономики; повышение эффективности деятельности компаний Фонда. 1 февраля 2012 года был принят Закон Республики Казахстан "О Фонде национального благосостояния" № 550-IV, в соответствии с которым деятельность Фонда должна быть сфокусирована на повышении национального благосостояния Республики Казахстан посредством увеличения долгосрочной стоимости (ценности) организаций, входящих в группу Фонда, и эффективного управления активами, входящими в группу Фонда. </w:t>
      </w:r>
    </w:p>
    <w:p>
      <w:pPr>
        <w:spacing w:after="0"/>
        <w:ind w:left="0"/>
        <w:jc w:val="both"/>
      </w:pPr>
      <w:r>
        <w:rPr>
          <w:rFonts w:ascii="Times New Roman"/>
          <w:b w:val="false"/>
          <w:i w:val="false"/>
          <w:color w:val="000000"/>
          <w:sz w:val="28"/>
        </w:rPr>
        <w:t xml:space="preserve">
      Фонд является холдингом, владеющим инвестициями в ряде государственных предприятий, перечисленных в </w:t>
      </w:r>
      <w:r>
        <w:rPr>
          <w:rFonts w:ascii="Times New Roman"/>
          <w:b w:val="false"/>
          <w:i/>
          <w:color w:val="000000"/>
          <w:sz w:val="28"/>
        </w:rPr>
        <w:t>Примечании 5.4</w:t>
      </w:r>
      <w:r>
        <w:rPr>
          <w:rFonts w:ascii="Times New Roman"/>
          <w:b w:val="false"/>
          <w:i w:val="false"/>
          <w:color w:val="000000"/>
          <w:sz w:val="28"/>
        </w:rPr>
        <w:t>.</w:t>
      </w:r>
    </w:p>
    <w:p>
      <w:pPr>
        <w:spacing w:after="0"/>
        <w:ind w:left="0"/>
        <w:jc w:val="both"/>
      </w:pPr>
      <w:r>
        <w:rPr>
          <w:rFonts w:ascii="Times New Roman"/>
          <w:b w:val="false"/>
          <w:i w:val="false"/>
          <w:color w:val="000000"/>
          <w:sz w:val="28"/>
        </w:rPr>
        <w:t>
      Административный адрес Фонда: г. Астана, ул. Кунаева, 8, Республика Казахстан.</w:t>
      </w:r>
    </w:p>
    <w:p>
      <w:pPr>
        <w:spacing w:after="0"/>
        <w:ind w:left="0"/>
        <w:jc w:val="both"/>
      </w:pPr>
      <w:r>
        <w:rPr>
          <w:rFonts w:ascii="Times New Roman"/>
          <w:b w:val="false"/>
          <w:i w:val="false"/>
          <w:color w:val="000000"/>
          <w:sz w:val="28"/>
        </w:rPr>
        <w:t>
      Данные отдельные формы финансовой отчетности были утверждены к выпуску Финансовым директором – членом Правления и Главным бухгалтером Фонда 25 апреля 2014 года.</w:t>
      </w:r>
    </w:p>
    <w:bookmarkStart w:name="z398" w:id="396"/>
    <w:p>
      <w:pPr>
        <w:spacing w:after="0"/>
        <w:ind w:left="0"/>
        <w:jc w:val="both"/>
      </w:pPr>
      <w:r>
        <w:rPr>
          <w:rFonts w:ascii="Times New Roman"/>
          <w:b w:val="false"/>
          <w:i w:val="false"/>
          <w:color w:val="000000"/>
          <w:sz w:val="28"/>
        </w:rPr>
        <w:t xml:space="preserve">
      </w:t>
      </w:r>
      <w:r>
        <w:rPr>
          <w:rFonts w:ascii="Times New Roman"/>
          <w:b/>
          <w:i w:val="false"/>
          <w:color w:val="000000"/>
          <w:sz w:val="28"/>
        </w:rPr>
        <w:t>План стабилизации</w:t>
      </w:r>
    </w:p>
    <w:bookmarkEnd w:id="396"/>
    <w:p>
      <w:pPr>
        <w:spacing w:after="0"/>
        <w:ind w:left="0"/>
        <w:jc w:val="both"/>
      </w:pPr>
      <w:r>
        <w:rPr>
          <w:rFonts w:ascii="Times New Roman"/>
          <w:b w:val="false"/>
          <w:i w:val="false"/>
          <w:color w:val="000000"/>
          <w:sz w:val="28"/>
        </w:rPr>
        <w:t xml:space="preserve">
      В целях обеспечения стабильности экономики и финансовой системы страны в условиях мирового финансового кризиса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1085 от 25 ноября 2008 года был утвержден План совместных действий Правительства, Национального Банка и Агентства по регулированию по надзору финансового рынка и финансовых организаций Республики Казахстан по стабилизации экономики и финансовой системы на 2009-2010 годы (далее "План стабилизации"). План стабилизации предусматривал ряд мероприятий, направленных на следующие цели:</w:t>
      </w:r>
    </w:p>
    <w:p>
      <w:pPr>
        <w:spacing w:after="0"/>
        <w:ind w:left="0"/>
        <w:jc w:val="both"/>
      </w:pPr>
      <w:r>
        <w:rPr>
          <w:rFonts w:ascii="Times New Roman"/>
          <w:b w:val="false"/>
          <w:i w:val="false"/>
          <w:color w:val="000000"/>
          <w:sz w:val="28"/>
        </w:rPr>
        <w:t>
      - Стабилизация финансового сектора;</w:t>
      </w:r>
    </w:p>
    <w:p>
      <w:pPr>
        <w:spacing w:after="0"/>
        <w:ind w:left="0"/>
        <w:jc w:val="both"/>
      </w:pPr>
      <w:r>
        <w:rPr>
          <w:rFonts w:ascii="Times New Roman"/>
          <w:b w:val="false"/>
          <w:i w:val="false"/>
          <w:color w:val="000000"/>
          <w:sz w:val="28"/>
        </w:rPr>
        <w:t>
      - Решение проблем на рынке недвижимости;</w:t>
      </w:r>
    </w:p>
    <w:p>
      <w:pPr>
        <w:spacing w:after="0"/>
        <w:ind w:left="0"/>
        <w:jc w:val="both"/>
      </w:pPr>
      <w:r>
        <w:rPr>
          <w:rFonts w:ascii="Times New Roman"/>
          <w:b w:val="false"/>
          <w:i w:val="false"/>
          <w:color w:val="000000"/>
          <w:sz w:val="28"/>
        </w:rPr>
        <w:t>
      - Поддержка малого и среднего бизнеса;</w:t>
      </w:r>
    </w:p>
    <w:p>
      <w:pPr>
        <w:spacing w:after="0"/>
        <w:ind w:left="0"/>
        <w:jc w:val="both"/>
      </w:pPr>
      <w:r>
        <w:rPr>
          <w:rFonts w:ascii="Times New Roman"/>
          <w:b w:val="false"/>
          <w:i w:val="false"/>
          <w:color w:val="000000"/>
          <w:sz w:val="28"/>
        </w:rPr>
        <w:t>
      - Развитие агропромышленного комплекса;</w:t>
      </w:r>
    </w:p>
    <w:p>
      <w:pPr>
        <w:spacing w:after="0"/>
        <w:ind w:left="0"/>
        <w:jc w:val="both"/>
      </w:pPr>
      <w:r>
        <w:rPr>
          <w:rFonts w:ascii="Times New Roman"/>
          <w:b w:val="false"/>
          <w:i w:val="false"/>
          <w:color w:val="000000"/>
          <w:sz w:val="28"/>
        </w:rPr>
        <w:t>
      - Реализация инновационных, индустриальных и инфраструктурных проектов.</w:t>
      </w:r>
    </w:p>
    <w:p>
      <w:pPr>
        <w:spacing w:after="0"/>
        <w:ind w:left="0"/>
        <w:jc w:val="both"/>
      </w:pPr>
      <w:r>
        <w:rPr>
          <w:rFonts w:ascii="Times New Roman"/>
          <w:b w:val="false"/>
          <w:i w:val="false"/>
          <w:color w:val="000000"/>
          <w:sz w:val="28"/>
        </w:rPr>
        <w:t>
      Фонд выступает основным оператором Правительства по реализации Плана стабилизации.</w:t>
      </w:r>
    </w:p>
    <w:bookmarkStart w:name="z399" w:id="397"/>
    <w:p>
      <w:pPr>
        <w:spacing w:after="0"/>
        <w:ind w:left="0"/>
        <w:jc w:val="both"/>
      </w:pPr>
      <w:r>
        <w:rPr>
          <w:rFonts w:ascii="Times New Roman"/>
          <w:b w:val="false"/>
          <w:i w:val="false"/>
          <w:color w:val="000000"/>
          <w:sz w:val="28"/>
        </w:rPr>
        <w:t xml:space="preserve">
      </w:t>
      </w:r>
      <w:r>
        <w:rPr>
          <w:rFonts w:ascii="Times New Roman"/>
          <w:b/>
          <w:i w:val="false"/>
          <w:color w:val="000000"/>
          <w:sz w:val="28"/>
        </w:rPr>
        <w:t>Передача институтов развития и прочих дочерних организаций</w:t>
      </w:r>
    </w:p>
    <w:bookmarkEnd w:id="397"/>
    <w:p>
      <w:pPr>
        <w:spacing w:after="0"/>
        <w:ind w:left="0"/>
        <w:jc w:val="both"/>
      </w:pPr>
      <w:r>
        <w:rPr>
          <w:rFonts w:ascii="Times New Roman"/>
          <w:b w:val="false"/>
          <w:i w:val="false"/>
          <w:color w:val="000000"/>
          <w:sz w:val="28"/>
        </w:rPr>
        <w:t xml:space="preserve">
      В соответствии с протоколом совещания с участием Президента Республики Казахстан от 23 января 2013 года № 01-7.1 "Об итогах социально-экономического развития Республики Казахстан за 2012 год и задачах по реализации </w:t>
      </w:r>
      <w:r>
        <w:rPr>
          <w:rFonts w:ascii="Times New Roman"/>
          <w:b w:val="false"/>
          <w:i w:val="false"/>
          <w:color w:val="000000"/>
          <w:sz w:val="28"/>
        </w:rPr>
        <w:t>Стратегии</w:t>
      </w:r>
      <w:r>
        <w:rPr>
          <w:rFonts w:ascii="Times New Roman"/>
          <w:b w:val="false"/>
          <w:i w:val="false"/>
          <w:color w:val="000000"/>
          <w:sz w:val="28"/>
        </w:rPr>
        <w:t xml:space="preserve"> "Казахстан-2050" Правительству Республики Казахстан было поручено осуществить передачу институтов развития и финансовых организаций (АО "Банк Развития Казахстана", АО "Kazyna Capital Management", АО "Экспортно-кредитная страховая корпорация "КазЭкспортГарант", АО "Фонд развития предпринимательства "Даму", АО "Инвестиционный Фонд Казахстана") вновь созданной организации, владельцем 100% акций которой будет Правительство, и передачу ТОО "СК-Фармация" в Министерство здравоохранения Республики Казахстан. </w:t>
      </w:r>
    </w:p>
    <w:p>
      <w:pPr>
        <w:spacing w:after="0"/>
        <w:ind w:left="0"/>
        <w:jc w:val="both"/>
      </w:pPr>
      <w:r>
        <w:rPr>
          <w:rFonts w:ascii="Times New Roman"/>
          <w:b w:val="false"/>
          <w:i w:val="false"/>
          <w:color w:val="000000"/>
          <w:sz w:val="28"/>
        </w:rPr>
        <w:t xml:space="preserve">
      В апреле 2013 года Фонд в соответствии с договорами доверительного управления с правом полного контроля передал пакеты акций дочерних организаций государственным учреждениям: Министерству регионального развития Республики Казахстан – АО "Фонд развития предпринимательства "Даму", Министерству индустрии и новых технологий Республики Казахстан – АО "Банк Развития Казахстана", АО "Kazyna Capital Management", АО "Экспортно-кредитная страховая корпорация "КазЭкспортГарант", АО "Инвестиционный Фонд Казахстана", Министерству здравоохранения Республики Казахстан – ТОО "СК-Фармация". В мае 2013 года вышеуказанные договоры доверительного управления с государственными учреждениями были аннулированы и на основании договора мены акции институтов развития и финансовых организаций были переданы Фондом в собственность Комитета государственного имущества и приватизации Министерства финансов Республики Казахстан, который в последующем передал их АО "Национальный управляющий холдинг "Байтерек", созданному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516 от 25 мая 2013 года "О мерах по реализации Указа Президента Республики Казахстан № 571 от 22 мая 2013 года "О некоторых мерах по оптимизации системы управления институтами развития, финансовыми организациями и развития национальной экономики" (далее "постановление Правительства"). </w:t>
      </w:r>
    </w:p>
    <w:p>
      <w:pPr>
        <w:spacing w:after="0"/>
        <w:ind w:left="0"/>
        <w:jc w:val="both"/>
      </w:pPr>
      <w:r>
        <w:rPr>
          <w:rFonts w:ascii="Times New Roman"/>
          <w:b w:val="false"/>
          <w:i w:val="false"/>
          <w:color w:val="000000"/>
          <w:sz w:val="28"/>
        </w:rPr>
        <w:t>
      В июле 2013 года во исполнение постановления Правительства Фонд и Комитет государственного имущества и приватизации Министерства финансов Республики Казахстан подписали договор мены, согласно которому права собственности на пакеты акций и долю участия во всех вышеперечисленных дочерних организациях и АО "Национальная геологоразведочная компания "Казгеология" передаются в республиканскую собственность в обмен на республиканское имущество в соответствии с перечнем, указанном в постановлении Правительства. Как уже было раскрыто выше, эффективный контроль над данными дочерними организациями был изначально передан определенным государственным организациям, и впоследствии АО "Национальный управляющий холдинг "Байтерек", на основании договоров доверительного управления.</w:t>
      </w:r>
    </w:p>
    <w:bookmarkStart w:name="z400" w:id="398"/>
    <w:p>
      <w:pPr>
        <w:spacing w:after="0"/>
        <w:ind w:left="0"/>
        <w:jc w:val="both"/>
      </w:pPr>
      <w:r>
        <w:rPr>
          <w:rFonts w:ascii="Times New Roman"/>
          <w:b w:val="false"/>
          <w:i w:val="false"/>
          <w:color w:val="000000"/>
          <w:sz w:val="28"/>
        </w:rPr>
        <w:t xml:space="preserve">
      </w:t>
      </w:r>
      <w:r>
        <w:rPr>
          <w:rFonts w:ascii="Times New Roman"/>
          <w:b/>
          <w:i w:val="false"/>
          <w:color w:val="000000"/>
          <w:sz w:val="28"/>
        </w:rPr>
        <w:t>Реструктуризация обязательств АО "БТА Банк"</w:t>
      </w:r>
    </w:p>
    <w:bookmarkEnd w:id="398"/>
    <w:p>
      <w:pPr>
        <w:spacing w:after="0"/>
        <w:ind w:left="0"/>
        <w:jc w:val="both"/>
      </w:pPr>
      <w:r>
        <w:rPr>
          <w:rFonts w:ascii="Times New Roman"/>
          <w:b w:val="false"/>
          <w:i w:val="false"/>
          <w:color w:val="000000"/>
          <w:sz w:val="28"/>
        </w:rPr>
        <w:t xml:space="preserve">
      В декабре 2012 года была осуществлена вторая реструктуризация обязательств АО "БТА Банк" (далее "БТА"). В рамках плана реструктуризации Фондом был принят ряд мер, направленный на поддержку реструктуризации БТА, в частности: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акций</w:t>
      </w:r>
    </w:p>
    <w:p>
      <w:pPr>
        <w:spacing w:after="0"/>
        <w:ind w:left="0"/>
        <w:jc w:val="both"/>
      </w:pPr>
      <w:r>
        <w:rPr>
          <w:rFonts w:ascii="Times New Roman"/>
          <w:b w:val="false"/>
          <w:i w:val="false"/>
          <w:color w:val="000000"/>
          <w:sz w:val="28"/>
        </w:rPr>
        <w:t>
      21 декабря 2012 года Фонд приобрел дополнительно выпущенные простые акции БТА на сумму 176.376 миллионов тенге, за счет частичного изъятия средств, размещенных на депозите и текущем счете в данном банке. В результате приобретения Фонд увеличил свою долю владения в БТА с 81,48% до 97,28%. Кроме того, по вышеупомянутому депозиту, остаток средств на котором по состоянию на 31 декабря 2012 года составил 89.894 миллиона тенге, была уменьшена процентная ставка с 11% до 7%.</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Предоставление Займа</w:t>
      </w:r>
    </w:p>
    <w:p>
      <w:pPr>
        <w:spacing w:after="0"/>
        <w:ind w:left="0"/>
        <w:jc w:val="both"/>
      </w:pPr>
      <w:r>
        <w:rPr>
          <w:rFonts w:ascii="Times New Roman"/>
          <w:b w:val="false"/>
          <w:i w:val="false"/>
          <w:color w:val="000000"/>
          <w:sz w:val="28"/>
        </w:rPr>
        <w:t xml:space="preserve">
      19 декабря 2012 года Фонд предоставил займ БТА в размере 239.771 миллион тенге, со сроком погашения до 2024 года и ставкой вознаграждения 4%. Финансирование займа было осуществлено за счет выпуска облигаций на общую сумму 143.196 миллионов тенге и имеющихся собственных средств Фонда в размере 96.575 миллионов тенге </w:t>
      </w:r>
      <w:r>
        <w:rPr>
          <w:rFonts w:ascii="Times New Roman"/>
          <w:b w:val="false"/>
          <w:i/>
          <w:color w:val="000000"/>
          <w:sz w:val="28"/>
        </w:rPr>
        <w:t>(Примечание 5.3)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Пересмотр условий выпуска облигаций</w:t>
      </w:r>
    </w:p>
    <w:p>
      <w:pPr>
        <w:spacing w:after="0"/>
        <w:ind w:left="0"/>
        <w:jc w:val="both"/>
      </w:pPr>
      <w:r>
        <w:rPr>
          <w:rFonts w:ascii="Times New Roman"/>
          <w:b w:val="false"/>
          <w:i w:val="false"/>
          <w:color w:val="000000"/>
          <w:sz w:val="28"/>
        </w:rPr>
        <w:t xml:space="preserve">
      В соответствии с изменениями в проспекте по ранее выпущенным облигациям Фонда, приобретенным БТА, ставка купона была увеличена с 4% до 6% </w:t>
      </w:r>
      <w:r>
        <w:rPr>
          <w:rFonts w:ascii="Times New Roman"/>
          <w:b w:val="false"/>
          <w:i/>
          <w:color w:val="000000"/>
          <w:sz w:val="28"/>
        </w:rPr>
        <w:t>(Примечание 5.5)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Пересмотр условий по гарантии</w:t>
      </w:r>
    </w:p>
    <w:p>
      <w:pPr>
        <w:spacing w:after="0"/>
        <w:ind w:left="0"/>
        <w:jc w:val="both"/>
      </w:pPr>
      <w:r>
        <w:rPr>
          <w:rFonts w:ascii="Times New Roman"/>
          <w:b w:val="false"/>
          <w:i w:val="false"/>
          <w:color w:val="000000"/>
          <w:sz w:val="28"/>
        </w:rPr>
        <w:t>
      20 декабря 2012 года Фонд пересмотрел размер комиссии за гарантию, предоставленную кредиторам БТА. В соответствии с пересмотренными условиями размер комиссии был снижен с 2,0% до 0,125% годовых, начиная с 1 сентября 2012 года.</w:t>
      </w:r>
    </w:p>
    <w:bookmarkStart w:name="z401" w:id="399"/>
    <w:p>
      <w:pPr>
        <w:spacing w:after="0"/>
        <w:ind w:left="0"/>
        <w:jc w:val="both"/>
      </w:pPr>
      <w:r>
        <w:rPr>
          <w:rFonts w:ascii="Times New Roman"/>
          <w:b w:val="false"/>
          <w:i w:val="false"/>
          <w:color w:val="000000"/>
          <w:sz w:val="28"/>
        </w:rPr>
        <w:t xml:space="preserve">
      </w:t>
      </w:r>
      <w:r>
        <w:rPr>
          <w:rFonts w:ascii="Times New Roman"/>
          <w:b/>
          <w:i w:val="false"/>
          <w:color w:val="000000"/>
          <w:sz w:val="28"/>
        </w:rPr>
        <w:t>Планируемая реализация акций БТА</w:t>
      </w:r>
    </w:p>
    <w:bookmarkEnd w:id="399"/>
    <w:p>
      <w:pPr>
        <w:spacing w:after="0"/>
        <w:ind w:left="0"/>
        <w:jc w:val="both"/>
      </w:pPr>
      <w:r>
        <w:rPr>
          <w:rFonts w:ascii="Times New Roman"/>
          <w:b w:val="false"/>
          <w:i w:val="false"/>
          <w:color w:val="000000"/>
          <w:sz w:val="28"/>
        </w:rPr>
        <w:t xml:space="preserve">
      Согласно ряду документов, подписанным Фондом с АО "Казкоммерцбанк" (далее "ККБ") и г-ном Ракишевым Кенесом Хамителы в декабре 2013 года и январе 2014 года, ККБ и г-н Ракишев приобретают по 46,5% акций БТА каждый, с целью дальнейшего объединения БТА и ККБ в единый банк. Оставшаяся доля Фонда в БТА в размере 4,26% будет передана в доверительное управление ККБ, в результате чего ККБ будет управлять контрольным пакетом акций в БТА до их объединения. </w:t>
      </w:r>
    </w:p>
    <w:p>
      <w:pPr>
        <w:spacing w:after="0"/>
        <w:ind w:left="0"/>
        <w:jc w:val="both"/>
      </w:pPr>
      <w:r>
        <w:rPr>
          <w:rFonts w:ascii="Times New Roman"/>
          <w:b w:val="false"/>
          <w:i w:val="false"/>
          <w:color w:val="000000"/>
          <w:sz w:val="28"/>
        </w:rPr>
        <w:t xml:space="preserve">
      Возмещение по сделке, определенное как 0,5 от собственного капитала БТА на 30 сентября 2013 года, составило 144.150 миллионов тенге, из которых 69.750 миллионов тенге будут уплачены до закрытия сделки, а 74.400 миллионов тенге в течение 3 (трех) лет после закрытия сделки. Справедливая стоимость возмещения с учетом дисконтирования отсроченных платежей составила 132.088 миллионов тенге. Оплата первой части платежа производится денежными средствами, а также 100%-м пакетом акций АО "Шалкия Цинк" со стороны г. Ракишева. Сделка не будет считаться завершенной до выполнения сторонами ряда отлагательных условий, включающих получение разрешений соответствующих органов корпоративного управления сторон и государственных регулирующих органов, а также внесение изменений в текущее банковское законодательство Республики Казахстан, разрешающих ККБ осуществление инвестиций свыше 10% от собственного капитала. В дополнение, стороны договорились о взаимодействии по возврату проблемных активов БТА. Завершение сделки планируется во втором квартале 2014 года. </w:t>
      </w:r>
    </w:p>
    <w:p>
      <w:pPr>
        <w:spacing w:after="0"/>
        <w:ind w:left="0"/>
        <w:jc w:val="both"/>
      </w:pPr>
      <w:r>
        <w:rPr>
          <w:rFonts w:ascii="Times New Roman"/>
          <w:b w:val="false"/>
          <w:i w:val="false"/>
          <w:color w:val="000000"/>
          <w:sz w:val="28"/>
        </w:rPr>
        <w:t xml:space="preserve">
      Принимая во внимание вышеуказанное, а также то, что Правительство и Национальный Банк Республики Казахстан согласно Меморандуму о взаимопонимании окажут содействие сторонам для решения некоторых критических отлагательных условий, инвестиции в БТА были классифицированы в данной отдельной финансовой отчетности Фонда как актив, предназначенный для продажи, в соответствии с требованиями МСФО 5. </w:t>
      </w:r>
    </w:p>
    <w:bookmarkStart w:name="z402" w:id="400"/>
    <w:p>
      <w:pPr>
        <w:spacing w:after="0"/>
        <w:ind w:left="0"/>
        <w:jc w:val="both"/>
      </w:pPr>
      <w:r>
        <w:rPr>
          <w:rFonts w:ascii="Times New Roman"/>
          <w:b w:val="false"/>
          <w:i w:val="false"/>
          <w:color w:val="000000"/>
          <w:sz w:val="28"/>
        </w:rPr>
        <w:t xml:space="preserve">
      </w:t>
      </w:r>
      <w:r>
        <w:rPr>
          <w:rFonts w:ascii="Times New Roman"/>
          <w:b/>
          <w:i w:val="false"/>
          <w:color w:val="000000"/>
          <w:sz w:val="28"/>
        </w:rPr>
        <w:t>Планируемая реализация акций АО "Темірбанк" и АО "Альянс Банк"</w:t>
      </w:r>
    </w:p>
    <w:bookmarkEnd w:id="400"/>
    <w:p>
      <w:pPr>
        <w:spacing w:after="0"/>
        <w:ind w:left="0"/>
        <w:jc w:val="both"/>
      </w:pPr>
      <w:r>
        <w:rPr>
          <w:rFonts w:ascii="Times New Roman"/>
          <w:b w:val="false"/>
          <w:i w:val="false"/>
          <w:color w:val="000000"/>
          <w:sz w:val="28"/>
        </w:rPr>
        <w:t>
      В декабре 2013 года между Фондом и г-ном Утемуратовым Булатом Джамитовичем подписаны соглашения о продаже Фондом 79,88% акций АО "Темірбанк" (далее "Темирбанк") и 16% простых и привилегированных акций АО "Альянс Банк" (далее "Альянс Банк"), с целью последующего объединения Темирбанк и Альянс Банк в единый банк. Завершение сделки планируется до конца 2014 года. Эта сделка тоже зависит от ряда отлагательных условий, включающих принятие необходимых корпоративных решений, внесение изменений в текущее банковское законодательство Республики Казахстан, уточняющих процедуру реорганизации банков, получение необходимых разрешений Национального Банка Республики Казахстан и других государственных органов. Руководство оценивает вероятность завершения данных сделок как высокую, и, учитывая, что весь имеющийся пакет простых акций Темирбанка находится в наличии для немедленной продажи в его настоящем состоянии исключительно на обычных и общепринятых условиях, которые характерны для сделок продажи инвестиций в банки, инвестиции в данную дочернюю организацию были классифицированы как актив, предназначенный для продажи. Инвестиции в Альянс Банк не отвечают требованиям МСФО 5 в отношении классификации как актив, предназначенный для продажи, по состоянию на 31 декабря 2013 года, поскольку контрольный пакет акций (51% простых и привилегированных акций) пока остается во владении Фонда. Справедливая стоимость ожидаемого возмещения за акции Темирбанка превышает текущую балансовую стоимость инвестиций Фонда в данную дочернюю организацию.</w:t>
      </w:r>
    </w:p>
    <w:bookmarkStart w:name="z403" w:id="401"/>
    <w:p>
      <w:pPr>
        <w:spacing w:after="0"/>
        <w:ind w:left="0"/>
        <w:jc w:val="both"/>
      </w:pPr>
      <w:r>
        <w:rPr>
          <w:rFonts w:ascii="Times New Roman"/>
          <w:b w:val="false"/>
          <w:i w:val="false"/>
          <w:color w:val="000000"/>
          <w:sz w:val="28"/>
        </w:rPr>
        <w:t xml:space="preserve">
      </w:t>
      </w:r>
      <w:r>
        <w:rPr>
          <w:rFonts w:ascii="Times New Roman"/>
          <w:b/>
          <w:i w:val="false"/>
          <w:color w:val="000000"/>
          <w:sz w:val="28"/>
        </w:rPr>
        <w:t>2. ОСНОВА ПОДГОТОВКИ ФИНАНСОВОЙ ОТЧЕТНОСТИ</w:t>
      </w:r>
    </w:p>
    <w:bookmarkEnd w:id="401"/>
    <w:p>
      <w:pPr>
        <w:spacing w:after="0"/>
        <w:ind w:left="0"/>
        <w:jc w:val="both"/>
      </w:pPr>
      <w:r>
        <w:rPr>
          <w:rFonts w:ascii="Times New Roman"/>
          <w:b w:val="false"/>
          <w:i w:val="false"/>
          <w:color w:val="000000"/>
          <w:sz w:val="28"/>
        </w:rPr>
        <w:t>
      Данные отдельные формы финансовой отчетности (далее "отдельная финансовая отчетность") были подготовлены в соответствии с принципом оценки по первоначальной стоимости, за исключением раскрытого в учетной политике и пояснительной записке к данной отдельной финансовой отчетности. Фонд ведет бухгалтерский учет в казахстанских тенге (далее "тенге"). Все значения в данной отдельной финансовой отчетности округлены до миллиона, за исключением специально оговоренных случаев.</w:t>
      </w:r>
    </w:p>
    <w:p>
      <w:pPr>
        <w:spacing w:after="0"/>
        <w:ind w:left="0"/>
        <w:jc w:val="both"/>
      </w:pPr>
      <w:r>
        <w:rPr>
          <w:rFonts w:ascii="Times New Roman"/>
          <w:b w:val="false"/>
          <w:i w:val="false"/>
          <w:color w:val="000000"/>
          <w:sz w:val="28"/>
        </w:rPr>
        <w:t>
      Данная отдельная финансовая отчетность подготовлена согласно требованиям законодательства Республики Казахстан.</w:t>
      </w:r>
    </w:p>
    <w:p>
      <w:pPr>
        <w:spacing w:after="0"/>
        <w:ind w:left="0"/>
        <w:jc w:val="both"/>
      </w:pPr>
      <w:r>
        <w:rPr>
          <w:rFonts w:ascii="Times New Roman"/>
          <w:b w:val="false"/>
          <w:i w:val="false"/>
          <w:color w:val="000000"/>
          <w:sz w:val="28"/>
        </w:rPr>
        <w:t xml:space="preserve">
      Данная отдельная финансовая отчетность была подготовлена в дополнение к консолидированной финансовой отчетности за год, закончившийся 31 декабря 2013 года. Консолидированная финансовая отчетность была утверждена к выпуску Финансовым директором – членом Правления и Главным бухгалтером Фонда 25 апреля 2014 года. </w:t>
      </w:r>
    </w:p>
    <w:bookmarkStart w:name="z404" w:id="402"/>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 о соответствии</w:t>
      </w:r>
    </w:p>
    <w:bookmarkEnd w:id="402"/>
    <w:p>
      <w:pPr>
        <w:spacing w:after="0"/>
        <w:ind w:left="0"/>
        <w:jc w:val="both"/>
      </w:pPr>
      <w:r>
        <w:rPr>
          <w:rFonts w:ascii="Times New Roman"/>
          <w:b w:val="false"/>
          <w:i w:val="false"/>
          <w:color w:val="000000"/>
          <w:sz w:val="28"/>
        </w:rPr>
        <w:t>
      Данная отдельная финансовая отчетность Фонда подготовлена в соответствии с Международными стандартами финансовой отчетности (далее "МСФО") в редакции, утвержденной Советом по Международным стандартам финансовой отчетности (далее "Совет по МСФО").</w:t>
      </w:r>
    </w:p>
    <w:p>
      <w:pPr>
        <w:spacing w:after="0"/>
        <w:ind w:left="0"/>
        <w:jc w:val="both"/>
      </w:pPr>
      <w:r>
        <w:rPr>
          <w:rFonts w:ascii="Times New Roman"/>
          <w:b w:val="false"/>
          <w:i w:val="false"/>
          <w:color w:val="000000"/>
          <w:sz w:val="28"/>
        </w:rPr>
        <w:t xml:space="preserve">
      Подготовка отдельной финансовой отчетности в соответствии с МСФО требует использования определенных важных бухгалтерских оценок. Сферы применения, включающие в себя повышенный уровень сложности или применение допущений, а также области, в которых применение оценок и допущений является существенным для отдельной финансовой отчетности, раскрыты в </w:t>
      </w:r>
      <w:r>
        <w:rPr>
          <w:rFonts w:ascii="Times New Roman"/>
          <w:b w:val="false"/>
          <w:i/>
          <w:color w:val="000000"/>
          <w:sz w:val="28"/>
        </w:rPr>
        <w:t>Примечании 4</w:t>
      </w:r>
      <w:r>
        <w:rPr>
          <w:rFonts w:ascii="Times New Roman"/>
          <w:b w:val="false"/>
          <w:i w:val="false"/>
          <w:color w:val="000000"/>
          <w:sz w:val="28"/>
        </w:rPr>
        <w:t>.</w:t>
      </w:r>
    </w:p>
    <w:bookmarkStart w:name="z405" w:id="403"/>
    <w:p>
      <w:pPr>
        <w:spacing w:after="0"/>
        <w:ind w:left="0"/>
        <w:jc w:val="both"/>
      </w:pPr>
      <w:r>
        <w:rPr>
          <w:rFonts w:ascii="Times New Roman"/>
          <w:b w:val="false"/>
          <w:i w:val="false"/>
          <w:color w:val="000000"/>
          <w:sz w:val="28"/>
        </w:rPr>
        <w:t xml:space="preserve">
      </w:t>
      </w:r>
      <w:r>
        <w:rPr>
          <w:rFonts w:ascii="Times New Roman"/>
          <w:b/>
          <w:i w:val="false"/>
          <w:color w:val="000000"/>
          <w:sz w:val="28"/>
        </w:rPr>
        <w:t>Пересчет иностранной валюты</w:t>
      </w:r>
    </w:p>
    <w:bookmarkEnd w:id="403"/>
    <w:p>
      <w:pPr>
        <w:spacing w:after="0"/>
        <w:ind w:left="0"/>
        <w:jc w:val="both"/>
      </w:pPr>
      <w:r>
        <w:rPr>
          <w:rFonts w:ascii="Times New Roman"/>
          <w:b w:val="false"/>
          <w:i w:val="false"/>
          <w:color w:val="000000"/>
          <w:sz w:val="28"/>
        </w:rPr>
        <w:t xml:space="preserve">
      </w:t>
      </w:r>
      <w:r>
        <w:rPr>
          <w:rFonts w:ascii="Times New Roman"/>
          <w:b w:val="false"/>
          <w:i/>
          <w:color w:val="000000"/>
          <w:sz w:val="28"/>
        </w:rPr>
        <w:t>Функциональная валюта и валюта представления</w:t>
      </w:r>
    </w:p>
    <w:p>
      <w:pPr>
        <w:spacing w:after="0"/>
        <w:ind w:left="0"/>
        <w:jc w:val="both"/>
      </w:pPr>
      <w:r>
        <w:rPr>
          <w:rFonts w:ascii="Times New Roman"/>
          <w:b w:val="false"/>
          <w:i w:val="false"/>
          <w:color w:val="000000"/>
          <w:sz w:val="28"/>
        </w:rPr>
        <w:t>
      Данная отдельная финансовая отчетность представлена в тенге, который является функциональной валютой и валютой представления отдельной финансовой отчетности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Операции и сальдо счетов</w:t>
      </w:r>
    </w:p>
    <w:p>
      <w:pPr>
        <w:spacing w:after="0"/>
        <w:ind w:left="0"/>
        <w:jc w:val="both"/>
      </w:pPr>
      <w:r>
        <w:rPr>
          <w:rFonts w:ascii="Times New Roman"/>
          <w:b w:val="false"/>
          <w:i w:val="false"/>
          <w:color w:val="000000"/>
          <w:sz w:val="28"/>
        </w:rPr>
        <w:t>
      Операции в иностранной валюте первоначально учитываются в функциональной валюте по курсу, действующему на дату операции. Монетарные активы и обязательства, выраженные в иностранной валюте, пересчитываются по официальному рыночному курсу функциональной валюты, действующему на отчетную дату. Все курсовые разницы включаются в отдельный отчет о совокупном доходе. Немонетарные статьи, которые оцениваются на основе исторической стоимости в иностранной валюте, пересчитываются по курсам, действовавшим на дату совершения первоначальных сделок. Немонетарные статьи, которые оцениваются по справедливой стоимости в иностранной валюте, пересчитываются по курсам на дату определения справедливой стоимости.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Курсы обмена валют</w:t>
      </w:r>
    </w:p>
    <w:p>
      <w:pPr>
        <w:spacing w:after="0"/>
        <w:ind w:left="0"/>
        <w:jc w:val="both"/>
      </w:pPr>
      <w:r>
        <w:rPr>
          <w:rFonts w:ascii="Times New Roman"/>
          <w:b w:val="false"/>
          <w:i w:val="false"/>
          <w:color w:val="000000"/>
          <w:sz w:val="28"/>
        </w:rPr>
        <w:t>
      Средневзвешенные курсы обмена, установленные на Казахстанской фондовой бирже (далее "КФБ"), используются в Казахстане в качестве официальных рыночных курсов обмена иностранной валюты.</w:t>
      </w:r>
    </w:p>
    <w:p>
      <w:pPr>
        <w:spacing w:after="0"/>
        <w:ind w:left="0"/>
        <w:jc w:val="both"/>
      </w:pPr>
      <w:r>
        <w:rPr>
          <w:rFonts w:ascii="Times New Roman"/>
          <w:b w:val="false"/>
          <w:i w:val="false"/>
          <w:color w:val="000000"/>
          <w:sz w:val="28"/>
        </w:rPr>
        <w:t>
      На 31 декабря 2013 и 2012 годов обменный курс КФБ тенге к доллару США составлял 154,06 и 150,74 тенге за 1 доллар США, соответственно. Эти курсы использовались для пересчета монетарных активов и обязательств, выраженных в долларах США на 31 декабря 2013 и 2012 годов. Обменный курс КФБ на 25 апреля 2014 года составлял 182,01 тенге за 1 доллар США.</w:t>
      </w:r>
    </w:p>
    <w:bookmarkStart w:name="z406" w:id="404"/>
    <w:p>
      <w:pPr>
        <w:spacing w:after="0"/>
        <w:ind w:left="0"/>
        <w:jc w:val="both"/>
      </w:pPr>
      <w:r>
        <w:rPr>
          <w:rFonts w:ascii="Times New Roman"/>
          <w:b w:val="false"/>
          <w:i w:val="false"/>
          <w:color w:val="000000"/>
          <w:sz w:val="28"/>
        </w:rPr>
        <w:t xml:space="preserve">
      </w:t>
      </w:r>
      <w:r>
        <w:rPr>
          <w:rFonts w:ascii="Times New Roman"/>
          <w:b/>
          <w:i w:val="false"/>
          <w:color w:val="000000"/>
          <w:sz w:val="28"/>
        </w:rPr>
        <w:t>3. ОБЗОР СУЩЕСТВЕННЫХ АСПЕКТОВ УЧЕТНОЙ ПОЛИТИКИ</w:t>
      </w:r>
    </w:p>
    <w:bookmarkEnd w:id="404"/>
    <w:bookmarkStart w:name="z407" w:id="405"/>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Изменения в учетной политике и принципах раскрытия информации</w:t>
      </w:r>
    </w:p>
    <w:bookmarkEnd w:id="405"/>
    <w:p>
      <w:pPr>
        <w:spacing w:after="0"/>
        <w:ind w:left="0"/>
        <w:jc w:val="both"/>
      </w:pPr>
      <w:r>
        <w:rPr>
          <w:rFonts w:ascii="Times New Roman"/>
          <w:b w:val="false"/>
          <w:i w:val="false"/>
          <w:color w:val="000000"/>
          <w:sz w:val="28"/>
        </w:rPr>
        <w:t>
      Учетная политика, применяемая при подготовке данной отдельной финансовой отчетности, соответствует той, которая использовалась при подготовке отдельной финансовой отчетности за год, закончившийся 31 декабря 2012 года, за исключением принятия приведенных ниже новых и пересмотренных Стандартов.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МСФО 10 "Консолидированная финансовая отчетность", МСБУ 27 "Отдельная финансовая отчетность"</w:t>
      </w:r>
    </w:p>
    <w:p>
      <w:pPr>
        <w:spacing w:after="0"/>
        <w:ind w:left="0"/>
        <w:jc w:val="both"/>
      </w:pPr>
      <w:r>
        <w:rPr>
          <w:rFonts w:ascii="Times New Roman"/>
          <w:b w:val="false"/>
          <w:i w:val="false"/>
          <w:color w:val="000000"/>
          <w:sz w:val="28"/>
        </w:rPr>
        <w:t>
      МСФО 10 предусматривает единую модель контроля, которая применяется в отношении всех компаний, включая компании специального назначения. МСФО 10 заменяет ту часть МСБУ 27 "Консолидированная и отдельная финансовая отчетность", в которой содержались требования к консолидированной финансовой отчетности. Стандарт также содержит указания по вопросам, которые рассматривались в Интерпретации ПКИ-12 "Консолидация – компании специального назначения". МСФО 10 изменяет определение "контроль" таким образом, что считается, что инвестор контролирует объект инвестиций, если он имеет право на переменную отдачу от инвестиции или подвержен риску, связанному с ее изменением, и может влиять на данную отдачу вследствие своих полномочий в отношении объекта инвестиций. Согласно определению контроля в МСФО 10 инвестор контролирует объект инвестиций только в том случае, если выполняются следующие условия: (a) наличие у инвестора полномочий в отношении объекта инвестиций; (б) наличие у инвестора права на переменную отдачу от инвестиции или подверженность риску, связанному с ее изменением; (в) наличие у инвестора возможности использования своих полномочий в отношении объекта инвестиций с целью влияния на переменную отдачу от инвестиции. МСФО 10 не оказал влияния на отдельную финансовую отчетность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МСФО 11 "Соглашения о совместной деятельности" и МСБУ 28 "Инвестиции в ассоциированные компании и совместные предприятия"</w:t>
      </w:r>
    </w:p>
    <w:p>
      <w:pPr>
        <w:spacing w:after="0"/>
        <w:ind w:left="0"/>
        <w:jc w:val="both"/>
      </w:pPr>
      <w:r>
        <w:rPr>
          <w:rFonts w:ascii="Times New Roman"/>
          <w:b w:val="false"/>
          <w:i w:val="false"/>
          <w:color w:val="000000"/>
          <w:sz w:val="28"/>
        </w:rPr>
        <w:t>
      МСФО 11 заменяет МСБУ 31 "Участие в совместной деятельности" и Интерпретацию ПКИ-13 "Совместно контролируемые компании – немонетарные вклады участников". МСФО 11 исключает возможность учета совместно контролируемых компаний методом пропорциональной консолидации. Вместо этого совместно контролируемые компании, удовлетворяющие определению совместных предприятий согласно МСФО 11, учитываются по методу долевого участия. МСФО 11 не оказал влияния на отдельную финансовую отчетность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МСФО 12 "Раскрытие информации о долях участия в других компаниях"</w:t>
      </w:r>
    </w:p>
    <w:p>
      <w:pPr>
        <w:spacing w:after="0"/>
        <w:ind w:left="0"/>
        <w:jc w:val="both"/>
      </w:pPr>
      <w:r>
        <w:rPr>
          <w:rFonts w:ascii="Times New Roman"/>
          <w:b w:val="false"/>
          <w:i w:val="false"/>
          <w:color w:val="000000"/>
          <w:sz w:val="28"/>
        </w:rPr>
        <w:t xml:space="preserve">
      МСФО 12 содержит требования к раскрытию информации, которая относится к долям участия компании в дочерних организациях, соглашениях о совместной деятельности, ассоциированных и структурированных компаниях. Требования МСФО 12 являются более обширными, чем ранее применявшиеся требования в отношении раскрытия информации о дочерних организациях. МСФО 12 не оказал влияния на отдельную финансовую отчетность Фонда.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МСФО 13 "Оценка справедливой стоимости"</w:t>
      </w:r>
    </w:p>
    <w:p>
      <w:pPr>
        <w:spacing w:after="0"/>
        <w:ind w:left="0"/>
        <w:jc w:val="both"/>
      </w:pPr>
      <w:r>
        <w:rPr>
          <w:rFonts w:ascii="Times New Roman"/>
          <w:b w:val="false"/>
          <w:i w:val="false"/>
          <w:color w:val="000000"/>
          <w:sz w:val="28"/>
        </w:rPr>
        <w:t>
      МСФО 13 объединяет в одном стандарте все указания относительно оценки справедливой стоимости согласно МСФО. МСФО 13 не вносит изменений в определение того, когда компании должны использовать справедливую стоимость, а предоставляет указания относительно оценки справедливой стоимости согласно МСФО, когда ее использование требуется или разрешается другими стандартами в составе МСФО. МСФО 13 определяет справедливую стоимость как цену выхода. Согласно указаниям в МСФО 13 Фонд повторно проанализировал свою политику в отношении оценки справедливой стоимости, в частности, используемые исходные данные для оценки, такие, как например риск неисполнения обязательств, учитываемые при оценке обязательств по справедливой стоимости. МСФО 13 также требует раскрытия дополнительной информации.</w:t>
      </w:r>
    </w:p>
    <w:p>
      <w:pPr>
        <w:spacing w:after="0"/>
        <w:ind w:left="0"/>
        <w:jc w:val="both"/>
      </w:pPr>
      <w:r>
        <w:rPr>
          <w:rFonts w:ascii="Times New Roman"/>
          <w:b w:val="false"/>
          <w:i w:val="false"/>
          <w:color w:val="000000"/>
          <w:sz w:val="28"/>
        </w:rPr>
        <w:t xml:space="preserve">
      Применение МСФО 13 не оказало существенного влияния на оценки справедливой стоимости, определяемой Фондом. Там, где это необходимо, дополнительная информация раскрывается в отдельных примечаниях по активам и обязательствам, для которых определялась справедливая стоимость.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Поправки к МСБУ 1 "Представление статей прочего совокупного дохода"</w:t>
      </w:r>
    </w:p>
    <w:p>
      <w:pPr>
        <w:spacing w:after="0"/>
        <w:ind w:left="0"/>
        <w:jc w:val="both"/>
      </w:pPr>
      <w:r>
        <w:rPr>
          <w:rFonts w:ascii="Times New Roman"/>
          <w:b w:val="false"/>
          <w:i w:val="false"/>
          <w:color w:val="000000"/>
          <w:sz w:val="28"/>
        </w:rPr>
        <w:t>
      Поправки к МСБУ 1 изменяют группировку статей, представляемых в составе прочего совокупного дохода. Статьи, которые могут быть переклассифицированы в состав прибыли или убытка в определенный момент в будущем (например, чистый доход от хеджирования чистых инвестиций, курсовые разницы при пересчете отчетности зарубежных подразделений, чистое изменение хеджирования денежных потоков и чистые расходы или доходы по финансовым активам, имеющимся в наличии для продажи), должны представляться отдельно от статей, которые никогда не будут переклассифицированы (например, актуарные доходы и расходы по планам с установленными выплатами и переоценка земли и зданий). Поправка оказывает влияние исключительно на представление информации в отдельной финансовой отчетности и не затрагивает отдельное финансовое положение или финансовые результаты деятельности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Поправка к МСБУ 1 "Разъяснение требований в отношении сравнительной информации"</w:t>
      </w:r>
    </w:p>
    <w:p>
      <w:pPr>
        <w:spacing w:after="0"/>
        <w:ind w:left="0"/>
        <w:jc w:val="both"/>
      </w:pPr>
      <w:r>
        <w:rPr>
          <w:rFonts w:ascii="Times New Roman"/>
          <w:b w:val="false"/>
          <w:i w:val="false"/>
          <w:color w:val="000000"/>
          <w:sz w:val="28"/>
        </w:rPr>
        <w:t>
      Данная поправка разъясняет разницу между добровольным раскрытием дополнительной сравнительной информации и минимумом необходимой сравнительной информации. Компания должна включить сравнительную информацию в соответствующие примечания к финансовой отчетности, когда она на добровольной основе предоставляет сравнительную информацию сверх минимума данных за один сравнительный период. Поправка разъясняет, что соответствующие примечания к вступительному бухгалтерскому балансу по состоянию на 1 января 2012 года, представляемому в случаях, когда Компания ретроспективно применяет учетную политику, осуществляет ретроспективный перерасчет и переклассифицирует статьи финансовой отчетности, представлять не требуется. Поправка оказывает влияние исключительно на представление информации в финансовой отчетности и не изменяет отдельное финансовое положение или финансовые результаты деятельности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МСБУ 19 "Вознаграждения работникам" (в редакции 2011 года)</w:t>
      </w:r>
    </w:p>
    <w:p>
      <w:pPr>
        <w:spacing w:after="0"/>
        <w:ind w:left="0"/>
        <w:jc w:val="both"/>
      </w:pPr>
      <w:r>
        <w:rPr>
          <w:rFonts w:ascii="Times New Roman"/>
          <w:b w:val="false"/>
          <w:i w:val="false"/>
          <w:color w:val="000000"/>
          <w:sz w:val="28"/>
        </w:rPr>
        <w:t xml:space="preserve">
      Совет по МСФО опубликовал несколько поправок к МСФО 19. Они варьируются от фундаментальных изменений (например, исключение механизма коридора и понятия ожидаемой доходности активов плана) до простых разъяснений и изменений формулировки. Изменения в МСФО 19 не оказали влияния на отдельную финансовую отчетность Фонда.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Поправка к МСБУ 16 "Обесценение активов" – "Раскрытие информации о возмещаемой стоимости для нефинансовых активов"</w:t>
      </w:r>
    </w:p>
    <w:p>
      <w:pPr>
        <w:spacing w:after="0"/>
        <w:ind w:left="0"/>
        <w:jc w:val="both"/>
      </w:pPr>
      <w:r>
        <w:rPr>
          <w:rFonts w:ascii="Times New Roman"/>
          <w:b w:val="false"/>
          <w:i w:val="false"/>
          <w:color w:val="000000"/>
          <w:sz w:val="28"/>
        </w:rPr>
        <w:t xml:space="preserve">
      Данные поправки устраняют нежелательные последствия для раскрытия информации согласно МСБУ 36, связанные с вступлением в силу МСФО 13. Кроме того, данные поправки требуют раскрытия информации о возмещаемой стоимости активов или ПГДП, по которым в течение отчетного периода был признан или восстановлен убыток от обесценения. Данные поправки применяются ретроспективно в отношении годовых отчетных периодов, начинающихся с 1 января 2014 года или после этой даты, при этом допускается досрочное применение при условии применения МСФО 13. Фонд досрочно применил данные поправки к МСБУ 36 в текущем отчетном периоде, поскольку раскрытие измененной/дополнительной информации является полезным, как и предполагалось Советом по МСФО. </w:t>
      </w:r>
    </w:p>
    <w:p>
      <w:pPr>
        <w:spacing w:after="0"/>
        <w:ind w:left="0"/>
        <w:jc w:val="both"/>
      </w:pPr>
      <w:r>
        <w:rPr>
          <w:rFonts w:ascii="Times New Roman"/>
          <w:b w:val="false"/>
          <w:i w:val="false"/>
          <w:color w:val="000000"/>
          <w:sz w:val="28"/>
        </w:rPr>
        <w:t>
      Фонд не применял досрочно какие-либо другие стандарты, интерпретации или поправки, которые были выпущены, но еще не вступили в силу.</w:t>
      </w:r>
    </w:p>
    <w:bookmarkStart w:name="z408" w:id="406"/>
    <w:p>
      <w:pPr>
        <w:spacing w:after="0"/>
        <w:ind w:left="0"/>
        <w:jc w:val="both"/>
      </w:pPr>
      <w:r>
        <w:rPr>
          <w:rFonts w:ascii="Times New Roman"/>
          <w:b w:val="false"/>
          <w:i w:val="false"/>
          <w:color w:val="000000"/>
          <w:sz w:val="28"/>
        </w:rPr>
        <w:t xml:space="preserve">
      </w:t>
      </w:r>
      <w:r>
        <w:rPr>
          <w:rFonts w:ascii="Times New Roman"/>
          <w:b/>
          <w:i w:val="false"/>
          <w:color w:val="000000"/>
          <w:sz w:val="28"/>
        </w:rPr>
        <w:t>Выпущенные, но еще не вступившие в силу стандарты и интерпретации</w:t>
      </w:r>
    </w:p>
    <w:bookmarkEnd w:id="406"/>
    <w:p>
      <w:pPr>
        <w:spacing w:after="0"/>
        <w:ind w:left="0"/>
        <w:jc w:val="both"/>
      </w:pPr>
      <w:r>
        <w:rPr>
          <w:rFonts w:ascii="Times New Roman"/>
          <w:b w:val="false"/>
          <w:i w:val="false"/>
          <w:color w:val="000000"/>
          <w:sz w:val="28"/>
        </w:rPr>
        <w:t>
      Ниже приводятся стандарты и интерпретации, которые были выпущены, но еще не вступили в силу на дату выпуска отдельной финансовой отчетности Фонда. Фонд намерен применить эти стандарты с даты их вступления в силу.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МСФО (IFRS) 9 "Финансовые инструменты"</w:t>
      </w:r>
    </w:p>
    <w:p>
      <w:pPr>
        <w:spacing w:after="0"/>
        <w:ind w:left="0"/>
        <w:jc w:val="both"/>
      </w:pPr>
      <w:r>
        <w:rPr>
          <w:rFonts w:ascii="Times New Roman"/>
          <w:b w:val="false"/>
          <w:i w:val="false"/>
          <w:color w:val="000000"/>
          <w:sz w:val="28"/>
        </w:rPr>
        <w:t>
      МСФО (IFRS) 9 в текущей редакции, отражающий результаты первого этапа проекта Совета по МСФО по замене МСФО (IAS) 39, применяется в отношении классификации и оценки финансовых активов и финансовых обязательств, как они определены в МСФО (IAS) 39. Первоначально предполагалось, что стандарт вступит в силу в отношении годовых отчетных периодов, начинающихся 1 января 2013 года или после этой даты, но в результате выпуска Поправок к МСФО (IFRS) 9 "Дата обязательного применения МСФО (IFRS) 9 и переходные требования к раскрытию информации", опубликованных в декабре 2011 года, дата обязательного применения была перенесена на 1 января 2015 года. В ходе последующих этапов Совет по МСФО рассмотрит учет хеджирования и обесценение финансовых активов. Фонд оценит влияние этого стандарта на суммы, раскрываемые в отдельной финансовой отчетности в увязке с другими этапами проекта после публикации окончательной редакции стандарта, включающей в себя все этапы.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"Инвестиционные компании" (Поправки к МСФО (IFRS) 10, МСФО (IFRS) 12 и МСФО (IAS) 27)</w:t>
      </w:r>
    </w:p>
    <w:p>
      <w:pPr>
        <w:spacing w:after="0"/>
        <w:ind w:left="0"/>
        <w:jc w:val="both"/>
      </w:pPr>
      <w:r>
        <w:rPr>
          <w:rFonts w:ascii="Times New Roman"/>
          <w:b w:val="false"/>
          <w:i w:val="false"/>
          <w:color w:val="000000"/>
          <w:sz w:val="28"/>
        </w:rPr>
        <w:t>
      Данные поправки вступают в силу для годовых отчетных периодов, начинающихся 1 января 2014 года или после этой даты, и предусматривают исключение из требований о консолидации для компаний, которые отвечают определению инвестиционной компании согласно МСФО (IFRS) 10. Исключение из требований о консолидации требует, чтобы инвестиционные компании учитывали дочерние организации по справедливой стоимости через прибыль или убыток. Фонд не ожидает, что данная поправка будет применима, поскольку ни одна из дочерних организаций Фонда не отвечает определению инвестиционной компании согласно МСФО (IFRS) 10.</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Поправки к МСФО (IAS) 32 "Взаимозачет финансовых активов и финансовых обязательств"</w:t>
      </w:r>
    </w:p>
    <w:p>
      <w:pPr>
        <w:spacing w:after="0"/>
        <w:ind w:left="0"/>
        <w:jc w:val="both"/>
      </w:pPr>
      <w:r>
        <w:rPr>
          <w:rFonts w:ascii="Times New Roman"/>
          <w:b w:val="false"/>
          <w:i w:val="false"/>
          <w:color w:val="000000"/>
          <w:sz w:val="28"/>
        </w:rPr>
        <w:t>
      В рамках данных поправок разъясняется значение фразы "в настоящий момент обладает юридическим закрепленным правом на осуществление взаимозачета". Поправки также описывают, как следует правильно применять критерии взаимозачета в МСФО (IAS) 32 в отношении систем расчетов (таких, как системы единого клирингового центра), в рамках которых используются механизмы неодновременных валовых платежей. Поправки вступают в силу в отношении годовых отчетных периодов, начинающихся 1 января 2014 года или после этой даты. Предполагается, что данные поправки не окажут влияние на отдельное финансовое положение или финансовые результаты деятельности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Интерпретация IFRIC 21 "Обязательные платежи"</w:t>
      </w:r>
    </w:p>
    <w:p>
      <w:pPr>
        <w:spacing w:after="0"/>
        <w:ind w:left="0"/>
        <w:jc w:val="both"/>
      </w:pPr>
      <w:r>
        <w:rPr>
          <w:rFonts w:ascii="Times New Roman"/>
          <w:b w:val="false"/>
          <w:i w:val="false"/>
          <w:color w:val="000000"/>
          <w:sz w:val="28"/>
        </w:rPr>
        <w:t>
      В Интерпретации IFRIC 21 разъясняется, что компания признает обязательство в отношении обязательных платежей тогда, когда происходит действие, влекущее за собой их уплату. В случае обязательного платежа, выплата которого требуется в случае достижения минимального порогового значения, в интерпретации устанавливается запрет на признание предполагаемого обязательства до достижения установленного минимального порогового значения. Интерпретация IFRIC 21 вступает в силу для годовых отчетных периодов, начинающихся 1 января 2014 года или после этой даты. Предполагается, что Интерпретация IFRIC 21 не окажет влияние на отдельное финансовое положение или финансовые результаты деятельности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Поправки к МСФО (IAS) 39 "Новация производных инструментов и продолжение учета хеджирования"</w:t>
      </w:r>
    </w:p>
    <w:p>
      <w:pPr>
        <w:spacing w:after="0"/>
        <w:ind w:left="0"/>
        <w:jc w:val="both"/>
      </w:pPr>
      <w:r>
        <w:rPr>
          <w:rFonts w:ascii="Times New Roman"/>
          <w:b w:val="false"/>
          <w:i w:val="false"/>
          <w:color w:val="000000"/>
          <w:sz w:val="28"/>
        </w:rPr>
        <w:t>
      В данных поправках предусматривается исключение из требования о прекращении учета хеджирования в случае, когда новация производного инструмента, определенного как инструмент хеджирования, отвечает установленным критериям. Данные поправки вступают в силу для годовых отчетных периодов, начинающихся 1 января 2014 года или после этой даты. Данные поправки будут приняты во внимание при рассмотрении будущих операций.</w:t>
      </w:r>
    </w:p>
    <w:bookmarkStart w:name="z409" w:id="407"/>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Инвестиции в дочерние организации, совместные предприятия и ассоциированные компании</w:t>
      </w:r>
    </w:p>
    <w:bookmarkEnd w:id="407"/>
    <w:p>
      <w:pPr>
        <w:spacing w:after="0"/>
        <w:ind w:left="0"/>
        <w:jc w:val="both"/>
      </w:pPr>
      <w:r>
        <w:rPr>
          <w:rFonts w:ascii="Times New Roman"/>
          <w:b w:val="false"/>
          <w:i w:val="false"/>
          <w:color w:val="000000"/>
          <w:sz w:val="28"/>
        </w:rPr>
        <w:t>
      Инвестиции Фонда в его дочерние организации, совместные предприятия и ассоциированные компании учитываются по первоначальной стоимости за минусом обесценения. Ассоциированная компания – это компания, на которую Фонд имеет существенное влияние, но которая не является ни дочерней организацией, ни совместным предприятием.</w:t>
      </w:r>
    </w:p>
    <w:bookmarkStart w:name="z410" w:id="408"/>
    <w:p>
      <w:pPr>
        <w:spacing w:after="0"/>
        <w:ind w:left="0"/>
        <w:jc w:val="both"/>
      </w:pPr>
      <w:r>
        <w:rPr>
          <w:rFonts w:ascii="Times New Roman"/>
          <w:b w:val="false"/>
          <w:i w:val="false"/>
          <w:color w:val="000000"/>
          <w:sz w:val="28"/>
        </w:rPr>
        <w:t xml:space="preserve">
      </w:t>
      </w:r>
      <w:r>
        <w:rPr>
          <w:rFonts w:ascii="Times New Roman"/>
          <w:b/>
          <w:i w:val="false"/>
          <w:color w:val="000000"/>
          <w:sz w:val="28"/>
        </w:rPr>
        <w:t>Обесценение нефинансовых активов</w:t>
      </w:r>
    </w:p>
    <w:bookmarkEnd w:id="408"/>
    <w:p>
      <w:pPr>
        <w:spacing w:after="0"/>
        <w:ind w:left="0"/>
        <w:jc w:val="both"/>
      </w:pPr>
      <w:r>
        <w:rPr>
          <w:rFonts w:ascii="Times New Roman"/>
          <w:b w:val="false"/>
          <w:i w:val="false"/>
          <w:color w:val="000000"/>
          <w:sz w:val="28"/>
        </w:rPr>
        <w:t xml:space="preserve">
      На каждую отчетную дату Фонд определяет, имеются ли признаки возможного обесценения актива. Если такие признаки имеют место, или если требуется проведение ежегодной проверки актива на обесценение, Фонд производит оценку возмещаемой стоимости актива. Возмещаемая стоимость актива – это наибольшая из следующих величин: справедливая стоимость актива и ценность от использования актива. Возмещаемая стоимость определяется для отдельного актива, за исключением случаев, когда актив не генерирует притоки денежных средств, которые, в основном, независимы от притоков, генерируемых другими активами или группами активов. Если текущая стоимость актива превышает его возмещаемую стоимость, актив считается обесцененным и списывается до возмещаемой стоимости. При оценке ценности от использования, будущие денежные потоки дисконтируются до приведенной стоимости по ставке дисконтирования до налогообложения, которая отражает текущую рыночную оценку временной стоимости денег и риски, присущие активу. </w:t>
      </w:r>
    </w:p>
    <w:p>
      <w:pPr>
        <w:spacing w:after="0"/>
        <w:ind w:left="0"/>
        <w:jc w:val="both"/>
      </w:pPr>
      <w:r>
        <w:rPr>
          <w:rFonts w:ascii="Times New Roman"/>
          <w:b w:val="false"/>
          <w:i w:val="false"/>
          <w:color w:val="000000"/>
          <w:sz w:val="28"/>
        </w:rPr>
        <w:t>
      Для активов на каждую отчетную дату оценивается наличие признаков того, что ранее признанные убытки от обесценения больше не существуют или сократились. Если такой признак имеется, Фонд рассчитывает возмещаемую стоимость актива. Ранее признанные убытки от обесценения восстанавливаются только в том случае, если имело место изменение в допущении, которое использовалась для определения возмещаемой стоимости актива, со времени последнего признания убытка от обесценения. В случае восстановления, текущая стоимость актива не может превышать возмещаемую стоимость актива, а также текущую стоимость (за вычетом амортизации), по которой данный актив признавался бы в случае, если в предыдущие годы не был бы признан убыток от обесценения по активу. Такое восстановление признается в отдельном отчете о совокупном доходе.</w:t>
      </w:r>
    </w:p>
    <w:p>
      <w:pPr>
        <w:spacing w:after="0"/>
        <w:ind w:left="0"/>
        <w:jc w:val="both"/>
      </w:pPr>
      <w:r>
        <w:rPr>
          <w:rFonts w:ascii="Times New Roman"/>
          <w:b w:val="false"/>
          <w:i w:val="false"/>
          <w:color w:val="000000"/>
          <w:sz w:val="28"/>
        </w:rPr>
        <w:t>
      Также применяются следующие критерии при оценке обесценения конкретных активов: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Инвестиции в дочерние организации, совместные предприятия и ассоциированные компании</w:t>
      </w:r>
    </w:p>
    <w:p>
      <w:pPr>
        <w:spacing w:after="0"/>
        <w:ind w:left="0"/>
        <w:jc w:val="both"/>
      </w:pPr>
      <w:r>
        <w:rPr>
          <w:rFonts w:ascii="Times New Roman"/>
          <w:b w:val="false"/>
          <w:i w:val="false"/>
          <w:color w:val="000000"/>
          <w:sz w:val="28"/>
        </w:rPr>
        <w:t xml:space="preserve">
      На каждую отчетную дату Фонд определяет наличие объективных свидетельств обесценения инвестиций в дочерние организации, совместные предприятия и ассоциированные компании. Если существуют объективные индикаторы обесценения, Фонд проводит тест на обесценение и рассчитывает сумму обесценения как разницу между возмещаемой стоимостью и балансовой стоимостью инвестиции. </w:t>
      </w:r>
    </w:p>
    <w:bookmarkStart w:name="z411" w:id="409"/>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Финансовые активы</w:t>
      </w:r>
    </w:p>
    <w:bookmarkEnd w:id="409"/>
    <w:p>
      <w:pPr>
        <w:spacing w:after="0"/>
        <w:ind w:left="0"/>
        <w:jc w:val="both"/>
      </w:pPr>
      <w:r>
        <w:rPr>
          <w:rFonts w:ascii="Times New Roman"/>
          <w:b w:val="false"/>
          <w:i w:val="false"/>
          <w:color w:val="000000"/>
          <w:sz w:val="28"/>
        </w:rPr>
        <w:t xml:space="preserve">
      Финансовые активы, находящиеся в сфере действия МСБУ 39, классифицируются соответственно как финансовые активы, переоцениваемые по справедливой стоимости через прибыль или убыток; займы выданные и дебиторская задолженность; финансовые активы, удерживаемые до погашения; финансовые активы, имеющиеся в наличии для продажи; производные инструменты. Фонд классифицирует свои финансовые активы при их первоначальном признании. </w:t>
      </w:r>
    </w:p>
    <w:p>
      <w:pPr>
        <w:spacing w:after="0"/>
        <w:ind w:left="0"/>
        <w:jc w:val="both"/>
      </w:pPr>
      <w:r>
        <w:rPr>
          <w:rFonts w:ascii="Times New Roman"/>
          <w:b w:val="false"/>
          <w:i w:val="false"/>
          <w:color w:val="000000"/>
          <w:sz w:val="28"/>
        </w:rPr>
        <w:t xml:space="preserve">
      Финансовые активы первоначально признаются по справедливой стоимости, увеличенной в случае инвестиций, не переоцениваемых по справедливой стоимости через прибыль либо убыток, на непосредственно связанные с ними затраты по сделке. </w:t>
      </w:r>
    </w:p>
    <w:p>
      <w:pPr>
        <w:spacing w:after="0"/>
        <w:ind w:left="0"/>
        <w:jc w:val="both"/>
      </w:pPr>
      <w:r>
        <w:rPr>
          <w:rFonts w:ascii="Times New Roman"/>
          <w:b w:val="false"/>
          <w:i w:val="false"/>
          <w:color w:val="000000"/>
          <w:sz w:val="28"/>
        </w:rPr>
        <w:t xml:space="preserve">
      Все сделки по покупке или продаже финансовых активов, требующие поставку активов в срок, устанавливаемый законодательством или правилами, принятыми на определенном рынке (торговля на "стандартных условиях") признаются на дату заключения сделки, то есть на дату, когда Фонд принимает на себя обязательство купить или продать актив. </w:t>
      </w:r>
    </w:p>
    <w:p>
      <w:pPr>
        <w:spacing w:after="0"/>
        <w:ind w:left="0"/>
        <w:jc w:val="both"/>
      </w:pPr>
      <w:r>
        <w:rPr>
          <w:rFonts w:ascii="Times New Roman"/>
          <w:b w:val="false"/>
          <w:i w:val="false"/>
          <w:color w:val="000000"/>
          <w:sz w:val="28"/>
        </w:rPr>
        <w:t>
      Финансовые активы Фонда включают денежные средства и их эквиваленты, банковские депозиты, торговую и прочую дебиторскую задолженность, займы выданные, средства в кредитных учреждениях, инвестиции, имеющиеся в наличие для продажи, и прочие суммы к получению. Последующая оценка финансовых активов следующим образом зависит от их классификации: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Средства в кредитных учреждениях, займы выданные и прочая дебиторская задолженность</w:t>
      </w:r>
    </w:p>
    <w:p>
      <w:pPr>
        <w:spacing w:after="0"/>
        <w:ind w:left="0"/>
        <w:jc w:val="both"/>
      </w:pPr>
      <w:r>
        <w:rPr>
          <w:rFonts w:ascii="Times New Roman"/>
          <w:b w:val="false"/>
          <w:i w:val="false"/>
          <w:color w:val="000000"/>
          <w:sz w:val="28"/>
        </w:rPr>
        <w:t>
      Средства в кредитных учреждениях, займы выданные и дебиторская задолженность представляют собой непроизводные финансовые активы с установленными или определяемыми выплатами, которые не котируются на активном рынке. После первоначального признания финансовые активы такого рода оцениваются по амортизированной стоимости, определяемой с использованием метода эффективной процентной ставки, за вычетом убытков от обесценения. Амортизированная стоимость рассчитывается с учетом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на основе эффективной процентной ставки включается в состав процентных доходов в отдельном отчете о совокупном доходе. Убытки, обусловленные обесценением, отражаются в отдельной строке в отдельном отчете о совокупном доходе.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Инвестиции, удерживаемые до погашения</w:t>
      </w:r>
    </w:p>
    <w:p>
      <w:pPr>
        <w:spacing w:after="0"/>
        <w:ind w:left="0"/>
        <w:jc w:val="both"/>
      </w:pPr>
      <w:r>
        <w:rPr>
          <w:rFonts w:ascii="Times New Roman"/>
          <w:b w:val="false"/>
          <w:i w:val="false"/>
          <w:color w:val="000000"/>
          <w:sz w:val="28"/>
        </w:rPr>
        <w:t xml:space="preserve">
      Непроизводные финансовые активы с фиксированными или определяемыми платежами и фиксированным сроком погашения классифицируются как инвестиции, удерживаемые до погашения, когда Фонд твердо намерен и способен удерживать их до срока погашения. После первоначальной оценки инвестиции, удерживаемые до погашения, оцениваются по амортизированной стоимости, определяемой с использованием метода эффективной процентной ставки, за вычетом убытков от обесценения. Амортизированная стоимость рассчитывается с учетом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на основе использования эффективной процентной ставки включается в состав процентных доходов в отдельном отчете о совокупном доходе. Убытки, обусловленные обесценением, отражаются в отдельной строке в отдельном отчете о совокупном доходе.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инвестиции, имеющиеся в наличии для продажи</w:t>
      </w:r>
    </w:p>
    <w:p>
      <w:pPr>
        <w:spacing w:after="0"/>
        <w:ind w:left="0"/>
        <w:jc w:val="both"/>
      </w:pPr>
      <w:r>
        <w:rPr>
          <w:rFonts w:ascii="Times New Roman"/>
          <w:b w:val="false"/>
          <w:i w:val="false"/>
          <w:color w:val="000000"/>
          <w:sz w:val="28"/>
        </w:rPr>
        <w:t>
      Имеющиеся в наличии для продажи финансовые инвестиции включают в себя долевые и долговые ценные бумаги. Долевые инвестиции, классифицированные в качестве имеющихся в наличии для продажи – это такие инвестиции, которые не были классифицированы ни как предназначенные для торговли, ни как переоцениваемые по справедливой стоимости через прибыль или убыток. Долговые ценные бумаги в данной категории – это такие ценные бумаги, которые компания намеревается удерживать в течение неопределенного периода времени и которые могут быть проданы для целей обеспечения ликвидности или в ответ на изменение рыночных условий.</w:t>
      </w:r>
    </w:p>
    <w:p>
      <w:pPr>
        <w:spacing w:after="0"/>
        <w:ind w:left="0"/>
        <w:jc w:val="both"/>
      </w:pPr>
      <w:r>
        <w:rPr>
          <w:rFonts w:ascii="Times New Roman"/>
          <w:b w:val="false"/>
          <w:i w:val="false"/>
          <w:color w:val="000000"/>
          <w:sz w:val="28"/>
        </w:rPr>
        <w:t>
      После первоначальной оценки финансовые инвестиции, имеющиеся в наличии для продажи, оцениваются по справедливой стоимости, а нереализованные доходы или убытки по ним признаются в качестве прочего совокупного дохода в составе резерва по переоценке инвестиций, имеющихся в наличии для продажи, вплоть до момента прекращения признания инвестиции, при котором накопленные доходы или убытки переклассифицируются из резерва по переоценке инвестиций, имеющихся в наличии для продажи, в состав прочего операционного дохода, или признается обесценение, а накопленный убыток переклассифицируется из резерва по переоценке инвестиций, имеющихся в наличии для продажи, в состав убытка по обесценению в отдельном отчете о совокупном доходе.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Определение справедливой стоимости</w:t>
      </w:r>
    </w:p>
    <w:p>
      <w:pPr>
        <w:spacing w:after="0"/>
        <w:ind w:left="0"/>
        <w:jc w:val="both"/>
      </w:pPr>
      <w:r>
        <w:rPr>
          <w:rFonts w:ascii="Times New Roman"/>
          <w:b w:val="false"/>
          <w:i w:val="false"/>
          <w:color w:val="000000"/>
          <w:sz w:val="28"/>
        </w:rPr>
        <w:t xml:space="preserve">
      Справедливая стоимость финансовых инструментов, торговля которыми на отчетную дату осуществляется на активном рынке, определяется на основании рыночных котировок или котировок дилеров (котировки на покупку для длинных позиций и котировки на продажу для коротких позиций), без вычета затрат по сделке. </w:t>
      </w:r>
    </w:p>
    <w:p>
      <w:pPr>
        <w:spacing w:after="0"/>
        <w:ind w:left="0"/>
        <w:jc w:val="both"/>
      </w:pPr>
      <w:r>
        <w:rPr>
          <w:rFonts w:ascii="Times New Roman"/>
          <w:b w:val="false"/>
          <w:i w:val="false"/>
          <w:color w:val="000000"/>
          <w:sz w:val="28"/>
        </w:rPr>
        <w:t>
      Справедливая стоимость прочих финансовых инструментов, торговля которыми не осуществляется на активном рынке, определяется с использованием применимых методик оценки. Методики оценки включают модель на основе чистой приведенной стоимости, сравнение с аналогичными инструментами, на которые существуют цены на наблюдаемом рынке, модели оценки опционов и другие модели оценки.</w:t>
      </w:r>
    </w:p>
    <w:bookmarkStart w:name="z412" w:id="410"/>
    <w:p>
      <w:pPr>
        <w:spacing w:after="0"/>
        <w:ind w:left="0"/>
        <w:jc w:val="both"/>
      </w:pPr>
      <w:r>
        <w:rPr>
          <w:rFonts w:ascii="Times New Roman"/>
          <w:b w:val="false"/>
          <w:i w:val="false"/>
          <w:color w:val="000000"/>
          <w:sz w:val="28"/>
        </w:rPr>
        <w:t xml:space="preserve">
      </w:t>
      </w:r>
      <w:r>
        <w:rPr>
          <w:rFonts w:ascii="Times New Roman"/>
          <w:b/>
          <w:i w:val="false"/>
          <w:color w:val="000000"/>
          <w:sz w:val="28"/>
        </w:rPr>
        <w:t>Прекращение признания</w:t>
      </w:r>
    </w:p>
    <w:bookmarkEnd w:id="410"/>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активы</w:t>
      </w:r>
    </w:p>
    <w:p>
      <w:pPr>
        <w:spacing w:after="0"/>
        <w:ind w:left="0"/>
        <w:jc w:val="both"/>
      </w:pPr>
      <w:r>
        <w:rPr>
          <w:rFonts w:ascii="Times New Roman"/>
          <w:b w:val="false"/>
          <w:i w:val="false"/>
          <w:color w:val="000000"/>
          <w:sz w:val="28"/>
        </w:rPr>
        <w:t>
      Финансовый актив (или, где применимо – часть финансового актива или часть группы аналогичных финансовых активов) прекращает признаваться в отдельном бухгалтерском балансе, если:</w:t>
      </w:r>
    </w:p>
    <w:p>
      <w:pPr>
        <w:spacing w:after="0"/>
        <w:ind w:left="0"/>
        <w:jc w:val="both"/>
      </w:pPr>
      <w:r>
        <w:rPr>
          <w:rFonts w:ascii="Times New Roman"/>
          <w:b w:val="false"/>
          <w:i w:val="false"/>
          <w:color w:val="000000"/>
          <w:sz w:val="28"/>
        </w:rPr>
        <w:t>
      - срок действия прав на получение денежных потоков от актива истек;</w:t>
      </w:r>
    </w:p>
    <w:p>
      <w:pPr>
        <w:spacing w:after="0"/>
        <w:ind w:left="0"/>
        <w:jc w:val="both"/>
      </w:pPr>
      <w:r>
        <w:rPr>
          <w:rFonts w:ascii="Times New Roman"/>
          <w:b w:val="false"/>
          <w:i w:val="false"/>
          <w:color w:val="000000"/>
          <w:sz w:val="28"/>
        </w:rPr>
        <w:t xml:space="preserve">
      - Фонд передал свои права на получение денежных потоков от актива либо взял на себя обязательство по выплате третьей стороне получаемых денежных потоков в полном объеме и без существенной задержки по "транзитному" соглашению; и либо (a) Фонд передал практически все риски и выгоды от актива, либо (б) Фонд не передал, но и не сохраняет за собой практически все риски и выгоды от актива, но передал контроль над данным активом. </w:t>
      </w:r>
    </w:p>
    <w:p>
      <w:pPr>
        <w:spacing w:after="0"/>
        <w:ind w:left="0"/>
        <w:jc w:val="both"/>
      </w:pPr>
      <w:r>
        <w:rPr>
          <w:rFonts w:ascii="Times New Roman"/>
          <w:b w:val="false"/>
          <w:i w:val="false"/>
          <w:color w:val="000000"/>
          <w:sz w:val="28"/>
        </w:rPr>
        <w:t>
      Если Фонд передал все свои права на получение денежных потоков от актива, либо заключил транзитное соглашение и при этом не передал, но и не сохранил за собой практически все риски и выгоды от актива, а также не передал контроль над активом, новый актив признается в той степени, в которой Фонд продолжает свое участие в переданном активе.</w:t>
      </w:r>
    </w:p>
    <w:p>
      <w:pPr>
        <w:spacing w:after="0"/>
        <w:ind w:left="0"/>
        <w:jc w:val="both"/>
      </w:pPr>
      <w:r>
        <w:rPr>
          <w:rFonts w:ascii="Times New Roman"/>
          <w:b w:val="false"/>
          <w:i w:val="false"/>
          <w:color w:val="000000"/>
          <w:sz w:val="28"/>
        </w:rPr>
        <w:t>
      В этом случае Фонд также признает соответствующее обязательство. Переданный актив и соответствующее обязательство оцениваются на основе, которая отражает права и обязательства, сохраненные Фондом.</w:t>
      </w:r>
    </w:p>
    <w:p>
      <w:pPr>
        <w:spacing w:after="0"/>
        <w:ind w:left="0"/>
        <w:jc w:val="both"/>
      </w:pPr>
      <w:r>
        <w:rPr>
          <w:rFonts w:ascii="Times New Roman"/>
          <w:b w:val="false"/>
          <w:i w:val="false"/>
          <w:color w:val="000000"/>
          <w:sz w:val="28"/>
        </w:rPr>
        <w:t>
      Продолжающееся участие, которое принимает форму гарантии по переданному активу, признается по наименьшей из следующих величин: первоначальной балансовой стоимости актива или максимальной суммы, выплата которой может быть потребована от Фонда.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обязательства</w:t>
      </w:r>
    </w:p>
    <w:p>
      <w:pPr>
        <w:spacing w:after="0"/>
        <w:ind w:left="0"/>
        <w:jc w:val="both"/>
      </w:pPr>
      <w:r>
        <w:rPr>
          <w:rFonts w:ascii="Times New Roman"/>
          <w:b w:val="false"/>
          <w:i w:val="false"/>
          <w:color w:val="000000"/>
          <w:sz w:val="28"/>
        </w:rPr>
        <w:t>
      Финансовое обязательство прекращает признаваться в случае, если обязательство погашено, аннулировано или срок его действия истек.</w:t>
      </w:r>
    </w:p>
    <w:bookmarkStart w:name="z413" w:id="411"/>
    <w:p>
      <w:pPr>
        <w:spacing w:after="0"/>
        <w:ind w:left="0"/>
        <w:jc w:val="both"/>
      </w:pPr>
      <w:r>
        <w:rPr>
          <w:rFonts w:ascii="Times New Roman"/>
          <w:b w:val="false"/>
          <w:i w:val="false"/>
          <w:color w:val="000000"/>
          <w:sz w:val="28"/>
        </w:rPr>
        <w:t xml:space="preserve">
      </w:t>
      </w:r>
      <w:r>
        <w:rPr>
          <w:rFonts w:ascii="Times New Roman"/>
          <w:b/>
          <w:i w:val="false"/>
          <w:color w:val="000000"/>
          <w:sz w:val="28"/>
        </w:rPr>
        <w:t>Обесценение финансовых активов</w:t>
      </w:r>
    </w:p>
    <w:bookmarkEnd w:id="411"/>
    <w:p>
      <w:pPr>
        <w:spacing w:after="0"/>
        <w:ind w:left="0"/>
        <w:jc w:val="both"/>
      </w:pPr>
      <w:r>
        <w:rPr>
          <w:rFonts w:ascii="Times New Roman"/>
          <w:b w:val="false"/>
          <w:i w:val="false"/>
          <w:color w:val="000000"/>
          <w:sz w:val="28"/>
        </w:rPr>
        <w:t xml:space="preserve">
      </w:t>
      </w:r>
      <w:r>
        <w:rPr>
          <w:rFonts w:ascii="Times New Roman"/>
          <w:b w:val="false"/>
          <w:i/>
          <w:color w:val="000000"/>
          <w:sz w:val="28"/>
        </w:rPr>
        <w:t>Средства в кредитных учреждениях, займы клиентам и банковские депозиты</w:t>
      </w:r>
    </w:p>
    <w:p>
      <w:pPr>
        <w:spacing w:after="0"/>
        <w:ind w:left="0"/>
        <w:jc w:val="both"/>
      </w:pPr>
      <w:r>
        <w:rPr>
          <w:rFonts w:ascii="Times New Roman"/>
          <w:b w:val="false"/>
          <w:i w:val="false"/>
          <w:color w:val="000000"/>
          <w:sz w:val="28"/>
        </w:rPr>
        <w:t xml:space="preserve">
      В отношении средств в кредитных учреждениях, займов выданных и банковских депозитов, учет которых производится по амортизированной стоимости, Фонд первоначально оценивает на индивидуальной основе наличие объективных признаков обесценения для отдельно значимых финансовых активов, и на индивидуальной основе или в совокупности для финансовых активов, которые не являются отдельно значимыми. Если Фонд определяет, что по финансовому активу, оцененному на индивидуальной основе, не существует объективных признаков обесценения, независимо от того, является ли он значимым, Фонд включает этот актив в группу финансовых активов с аналогичными характеристиками кредитного риска и оценивает их на предмет обесценения на совокупной основе. Активы, которые оцениваются на предмет обесценения на индивидуальной основе, в отношении которых признаются убытки от обесценения, не должны оцениваться на предмет обесценения на совокупной основе. </w:t>
      </w:r>
    </w:p>
    <w:p>
      <w:pPr>
        <w:spacing w:after="0"/>
        <w:ind w:left="0"/>
        <w:jc w:val="both"/>
      </w:pPr>
      <w:r>
        <w:rPr>
          <w:rFonts w:ascii="Times New Roman"/>
          <w:b w:val="false"/>
          <w:i w:val="false"/>
          <w:color w:val="000000"/>
          <w:sz w:val="28"/>
        </w:rPr>
        <w:t xml:space="preserve">
      В случае наличия объективных свидетельств возникновения убытков от обесценения, сумма убытка представляет собой разницу между балансовой стоимостью актива и приведенной стоимостью оцененных будущих потоков денежных средств (которая не учитывает будущие ожидаемые убытки по займам выданным, которые еще не были понесены). </w:t>
      </w:r>
    </w:p>
    <w:p>
      <w:pPr>
        <w:spacing w:after="0"/>
        <w:ind w:left="0"/>
        <w:jc w:val="both"/>
      </w:pPr>
      <w:r>
        <w:rPr>
          <w:rFonts w:ascii="Times New Roman"/>
          <w:b w:val="false"/>
          <w:i w:val="false"/>
          <w:color w:val="000000"/>
          <w:sz w:val="28"/>
        </w:rPr>
        <w:t xml:space="preserve">
      Стоимость расчетных будущих денежных потоков дисконтируется по первоначальной эффективной процентной ставке по финансовому активу. Если процентная ставка по финансовому активу является переменной, ставка дисконтирования для оценки убытка от обесценения представляет собой текущую эффективную ставку процента. </w:t>
      </w:r>
    </w:p>
    <w:p>
      <w:pPr>
        <w:spacing w:after="0"/>
        <w:ind w:left="0"/>
        <w:jc w:val="both"/>
      </w:pPr>
      <w:r>
        <w:rPr>
          <w:rFonts w:ascii="Times New Roman"/>
          <w:b w:val="false"/>
          <w:i w:val="false"/>
          <w:color w:val="000000"/>
          <w:sz w:val="28"/>
        </w:rPr>
        <w:t>
      Балансовая стоимость актива снижается за счет использования счета резерва, и сумма убытка признается в отдельном отчете о совокупном доходе. Процентные доходы продолжают начисляться по сниженной балансовой стоимости, на основании первоначальной эффективной процентной ставки по активу. Процентный доход отражается как часть доходов в отдельной строке отдельного отчета о совокупном доходе. Займы выданные и соответствующий резерв списываются в том случае, когда не имеется реальных перспектив возмещения, и все обеспечение было реализовано или передано Фонду. Если в следующем году сумма оцененных убытков от обесценения увеличивается или уменьшается в связи с событием, произошедшим после того, когда были признаны убытки от обесценения, ранее признанная сумма убытков от обесценения увеличивается или уменьшается посредством корректировки счета резерва. Если списанные ранее суммы позднее восстанавливаются, то сумма восстановления отражается в прибылях и убытках в отдельном отчете о совокупном доходе.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Инвестиции, имеющиеся в наличии для продажи</w:t>
      </w:r>
    </w:p>
    <w:p>
      <w:pPr>
        <w:spacing w:after="0"/>
        <w:ind w:left="0"/>
        <w:jc w:val="both"/>
      </w:pPr>
      <w:r>
        <w:rPr>
          <w:rFonts w:ascii="Times New Roman"/>
          <w:b w:val="false"/>
          <w:i w:val="false"/>
          <w:color w:val="000000"/>
          <w:sz w:val="28"/>
        </w:rPr>
        <w:t xml:space="preserve">
      При наличии объективных свидетельств того, что первоначальная стоимость может не быть возмещена, долевая ценная бумага, имеющаяся в наличии для продажи, считается обесцененной. Объективные свидетельства того, что первоначальная стоимость может не быть возмещена, в дополнение к качественным критериям обесценения, включают значительное или продолжительное снижение справедливой стоимости ниже величины первоначальной стоимости. </w:t>
      </w:r>
    </w:p>
    <w:p>
      <w:pPr>
        <w:spacing w:after="0"/>
        <w:ind w:left="0"/>
        <w:jc w:val="both"/>
      </w:pPr>
      <w:r>
        <w:rPr>
          <w:rFonts w:ascii="Times New Roman"/>
          <w:b w:val="false"/>
          <w:i w:val="false"/>
          <w:color w:val="000000"/>
          <w:sz w:val="28"/>
        </w:rPr>
        <w:t>
      Если долевая ценная бумага, имеющаяся в наличии для продажи, обесценивается согласно качественным или количественным критериям обесценения, установленным Фондом, последующее снижение справедливой стоимости на последующие отчетные даты признается как обесценение. Таким образом, в каждом отчетном периоде в отношении долевой ценной бумаги, которая была определена как подвергнувшаяся обесценению согласно критериям обесценения Фонда, обесценение признается в размере разницы между справедливой стоимостью и первоначальной стоимостью за вычетом ранее признанного обесценения.</w:t>
      </w:r>
    </w:p>
    <w:bookmarkStart w:name="z414" w:id="412"/>
    <w:p>
      <w:pPr>
        <w:spacing w:after="0"/>
        <w:ind w:left="0"/>
        <w:jc w:val="both"/>
      </w:pPr>
      <w:r>
        <w:rPr>
          <w:rFonts w:ascii="Times New Roman"/>
          <w:b w:val="false"/>
          <w:i w:val="false"/>
          <w:color w:val="000000"/>
          <w:sz w:val="28"/>
        </w:rPr>
        <w:t xml:space="preserve">
      </w:t>
      </w:r>
      <w:r>
        <w:rPr>
          <w:rFonts w:ascii="Times New Roman"/>
          <w:b/>
          <w:i w:val="false"/>
          <w:color w:val="000000"/>
          <w:sz w:val="28"/>
        </w:rPr>
        <w:t>Долгосрочные активы, классифицируемые как удерживаемые для передачи Акционеру</w:t>
      </w:r>
    </w:p>
    <w:bookmarkEnd w:id="412"/>
    <w:p>
      <w:pPr>
        <w:spacing w:after="0"/>
        <w:ind w:left="0"/>
        <w:jc w:val="both"/>
      </w:pPr>
      <w:r>
        <w:rPr>
          <w:rFonts w:ascii="Times New Roman"/>
          <w:b w:val="false"/>
          <w:i w:val="false"/>
          <w:color w:val="000000"/>
          <w:sz w:val="28"/>
        </w:rPr>
        <w:t>
      Активы классифицируются как долгосрочные активы, удерживаемые для передачи Акционеру, если они соответствуют следующим критериям:</w:t>
      </w:r>
    </w:p>
    <w:p>
      <w:pPr>
        <w:spacing w:after="0"/>
        <w:ind w:left="0"/>
        <w:jc w:val="both"/>
      </w:pPr>
      <w:r>
        <w:rPr>
          <w:rFonts w:ascii="Times New Roman"/>
          <w:b w:val="false"/>
          <w:i w:val="false"/>
          <w:color w:val="000000"/>
          <w:sz w:val="28"/>
        </w:rPr>
        <w:t>
      - Имеются в наличии для немедленной передачи в их текущем состоянии;</w:t>
      </w:r>
    </w:p>
    <w:p>
      <w:pPr>
        <w:spacing w:after="0"/>
        <w:ind w:left="0"/>
        <w:jc w:val="both"/>
      </w:pPr>
      <w:r>
        <w:rPr>
          <w:rFonts w:ascii="Times New Roman"/>
          <w:b w:val="false"/>
          <w:i w:val="false"/>
          <w:color w:val="000000"/>
          <w:sz w:val="28"/>
        </w:rPr>
        <w:t>
      - Существует твердое намерение осуществить планируемую передачу;</w:t>
      </w:r>
    </w:p>
    <w:p>
      <w:pPr>
        <w:spacing w:after="0"/>
        <w:ind w:left="0"/>
        <w:jc w:val="both"/>
      </w:pPr>
      <w:r>
        <w:rPr>
          <w:rFonts w:ascii="Times New Roman"/>
          <w:b w:val="false"/>
          <w:i w:val="false"/>
          <w:color w:val="000000"/>
          <w:sz w:val="28"/>
        </w:rPr>
        <w:t>
      - Предпринимаются активные действия для завершения плана;</w:t>
      </w:r>
    </w:p>
    <w:p>
      <w:pPr>
        <w:spacing w:after="0"/>
        <w:ind w:left="0"/>
        <w:jc w:val="both"/>
      </w:pPr>
      <w:r>
        <w:rPr>
          <w:rFonts w:ascii="Times New Roman"/>
          <w:b w:val="false"/>
          <w:i w:val="false"/>
          <w:color w:val="000000"/>
          <w:sz w:val="28"/>
        </w:rPr>
        <w:t>
      - Существует высокая вероятность осуществления передачи, и ожидается, что передача будет завершена в течение 1 (одного) года с момента классификации.</w:t>
      </w:r>
    </w:p>
    <w:p>
      <w:pPr>
        <w:spacing w:after="0"/>
        <w:ind w:left="0"/>
        <w:jc w:val="both"/>
      </w:pPr>
      <w:r>
        <w:rPr>
          <w:rFonts w:ascii="Times New Roman"/>
          <w:b w:val="false"/>
          <w:i w:val="false"/>
          <w:color w:val="000000"/>
          <w:sz w:val="28"/>
        </w:rPr>
        <w:t>
      Долгосрочные активы, классифицируемые как удерживаемые для передачи Акционеру, представлены отдельно в отдельной финансовой отчетности в категории текущих активов в отдельном бухгалтерском балансе.</w:t>
      </w:r>
    </w:p>
    <w:p>
      <w:pPr>
        <w:spacing w:after="0"/>
        <w:ind w:left="0"/>
        <w:jc w:val="both"/>
      </w:pPr>
      <w:r>
        <w:rPr>
          <w:rFonts w:ascii="Times New Roman"/>
          <w:b w:val="false"/>
          <w:i w:val="false"/>
          <w:color w:val="000000"/>
          <w:sz w:val="28"/>
        </w:rPr>
        <w:t>
      Долгосрочные активы (и группы выбытия), классифицируемые как удерживаемые для передачи Акционеру, учитываются по наименьшей из балансовой стоимости активов и справедливой стоимости, за вычетом затрат на передачу.</w:t>
      </w:r>
    </w:p>
    <w:p>
      <w:pPr>
        <w:spacing w:after="0"/>
        <w:ind w:left="0"/>
        <w:jc w:val="both"/>
      </w:pPr>
      <w:r>
        <w:rPr>
          <w:rFonts w:ascii="Times New Roman"/>
          <w:b w:val="false"/>
          <w:i w:val="false"/>
          <w:color w:val="000000"/>
          <w:sz w:val="28"/>
        </w:rPr>
        <w:t>
      Долгосрочный актив, который перестает классифицироваться как удерживаемый для передачи Акционеру, оценивается по наименьшему значению из:</w:t>
      </w:r>
    </w:p>
    <w:p>
      <w:pPr>
        <w:spacing w:after="0"/>
        <w:ind w:left="0"/>
        <w:jc w:val="both"/>
      </w:pPr>
      <w:r>
        <w:rPr>
          <w:rFonts w:ascii="Times New Roman"/>
          <w:b w:val="false"/>
          <w:i w:val="false"/>
          <w:color w:val="000000"/>
          <w:sz w:val="28"/>
        </w:rPr>
        <w:t>
      - его балансовой стоимости до того, как актив (или группа выбытия) был классифицирован как предназначенный для передачи Акционеру, с корректировкой на любую амортизацию или переоценку, которая была бы признана, если бы данный актив (или группа выбытия) не был классифицирован как предназначенный для передачи Акционеру, и</w:t>
      </w:r>
    </w:p>
    <w:p>
      <w:pPr>
        <w:spacing w:after="0"/>
        <w:ind w:left="0"/>
        <w:jc w:val="both"/>
      </w:pPr>
      <w:r>
        <w:rPr>
          <w:rFonts w:ascii="Times New Roman"/>
          <w:b w:val="false"/>
          <w:i w:val="false"/>
          <w:color w:val="000000"/>
          <w:sz w:val="28"/>
        </w:rPr>
        <w:t>
      - его возмещаемой суммы на дату последующего решения об отказе от передачи.</w:t>
      </w:r>
    </w:p>
    <w:bookmarkStart w:name="z415" w:id="413"/>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 на добавленную стоимость (НДС)</w:t>
      </w:r>
    </w:p>
    <w:bookmarkEnd w:id="413"/>
    <w:p>
      <w:pPr>
        <w:spacing w:after="0"/>
        <w:ind w:left="0"/>
        <w:jc w:val="both"/>
      </w:pPr>
      <w:r>
        <w:rPr>
          <w:rFonts w:ascii="Times New Roman"/>
          <w:b w:val="false"/>
          <w:i w:val="false"/>
          <w:color w:val="000000"/>
          <w:sz w:val="28"/>
        </w:rPr>
        <w:t>
      Налоговые органы позволяют производить погашение НДС по продажам и приобретениям на нетто основе, НДС к возмещению представляет собой НДС по приобретениям на внутреннем рынке, за вычетом НДС по продажам на внутреннем рынке. Продажи на экспорт облагаются по нулевой ставке.</w:t>
      </w:r>
    </w:p>
    <w:bookmarkStart w:name="z416" w:id="414"/>
    <w:p>
      <w:pPr>
        <w:spacing w:after="0"/>
        <w:ind w:left="0"/>
        <w:jc w:val="both"/>
      </w:pPr>
      <w:r>
        <w:rPr>
          <w:rFonts w:ascii="Times New Roman"/>
          <w:b w:val="false"/>
          <w:i w:val="false"/>
          <w:color w:val="000000"/>
          <w:sz w:val="28"/>
        </w:rPr>
        <w:t xml:space="preserve">
      </w:t>
      </w:r>
      <w:r>
        <w:rPr>
          <w:rFonts w:ascii="Times New Roman"/>
          <w:b/>
          <w:i w:val="false"/>
          <w:color w:val="000000"/>
          <w:sz w:val="28"/>
        </w:rPr>
        <w:t>Денежные средства и их эквиваленты</w:t>
      </w:r>
    </w:p>
    <w:bookmarkEnd w:id="414"/>
    <w:p>
      <w:pPr>
        <w:spacing w:after="0"/>
        <w:ind w:left="0"/>
        <w:jc w:val="both"/>
      </w:pPr>
      <w:r>
        <w:rPr>
          <w:rFonts w:ascii="Times New Roman"/>
          <w:b w:val="false"/>
          <w:i w:val="false"/>
          <w:color w:val="000000"/>
          <w:sz w:val="28"/>
        </w:rPr>
        <w:t>
      Денежные средства и их эквиваленты включают в себя наличность в кассе, средства, находящиеся на вкладах до востребования, прочие краткосрочные высоколиквидные инвестиции с первоначальным сроком погашения не более 3 (трех) месяцев.</w:t>
      </w:r>
    </w:p>
    <w:bookmarkStart w:name="z417" w:id="415"/>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Финансовые обязательства</w:t>
      </w:r>
    </w:p>
    <w:bookmarkEnd w:id="415"/>
    <w:p>
      <w:pPr>
        <w:spacing w:after="0"/>
        <w:ind w:left="0"/>
        <w:jc w:val="both"/>
      </w:pPr>
      <w:r>
        <w:rPr>
          <w:rFonts w:ascii="Times New Roman"/>
          <w:b w:val="false"/>
          <w:i w:val="false"/>
          <w:color w:val="000000"/>
          <w:sz w:val="28"/>
        </w:rPr>
        <w:t xml:space="preserve">
      </w:t>
      </w:r>
      <w:r>
        <w:rPr>
          <w:rFonts w:ascii="Times New Roman"/>
          <w:b w:val="false"/>
          <w:i/>
          <w:color w:val="000000"/>
          <w:sz w:val="28"/>
        </w:rPr>
        <w:t>Первоначальное признание и оценка</w:t>
      </w:r>
    </w:p>
    <w:p>
      <w:pPr>
        <w:spacing w:after="0"/>
        <w:ind w:left="0"/>
        <w:jc w:val="both"/>
      </w:pPr>
      <w:r>
        <w:rPr>
          <w:rFonts w:ascii="Times New Roman"/>
          <w:b w:val="false"/>
          <w:i w:val="false"/>
          <w:color w:val="000000"/>
          <w:sz w:val="28"/>
        </w:rPr>
        <w:t xml:space="preserve">
      Финансовые обязательства, находящиеся в сфере действия МСФО 39, классифицируются соответственно как финансовые обязательства, переоцениваемые по справедливой стоимости через прибыль или убыток и кредиты и заимствования. Фонд классифицирует свои финансовые обязательства при их первоначальном признании. </w:t>
      </w:r>
    </w:p>
    <w:p>
      <w:pPr>
        <w:spacing w:after="0"/>
        <w:ind w:left="0"/>
        <w:jc w:val="both"/>
      </w:pPr>
      <w:r>
        <w:rPr>
          <w:rFonts w:ascii="Times New Roman"/>
          <w:b w:val="false"/>
          <w:i w:val="false"/>
          <w:color w:val="000000"/>
          <w:sz w:val="28"/>
        </w:rPr>
        <w:t>
      Финансовые обязательства первоначально признаются по справедливой стоимости, увеличенной в случае займов и кредитов на непосредственно связанные с ними затраты по сделке. Финансовые обязательства Фонда включают торговую и прочую кредиторскую задолженность, займы, средства Правительства, договоры финансовой гарантии и прочие обязательства.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Последующая оценка</w:t>
      </w:r>
    </w:p>
    <w:p>
      <w:pPr>
        <w:spacing w:after="0"/>
        <w:ind w:left="0"/>
        <w:jc w:val="both"/>
      </w:pPr>
      <w:r>
        <w:rPr>
          <w:rFonts w:ascii="Times New Roman"/>
          <w:b w:val="false"/>
          <w:i w:val="false"/>
          <w:color w:val="000000"/>
          <w:sz w:val="28"/>
        </w:rPr>
        <w:t>
      Последующая оценка финансовых обязательств зависит от их классификации следующим образом: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Займы и средства Правительства</w:t>
      </w:r>
    </w:p>
    <w:p>
      <w:pPr>
        <w:spacing w:after="0"/>
        <w:ind w:left="0"/>
        <w:jc w:val="both"/>
      </w:pPr>
      <w:r>
        <w:rPr>
          <w:rFonts w:ascii="Times New Roman"/>
          <w:b w:val="false"/>
          <w:i w:val="false"/>
          <w:color w:val="000000"/>
          <w:sz w:val="28"/>
        </w:rPr>
        <w:t>
      После первоначального признания процентные кредиты и займы оцениваются по амортизированной стоимости с использованием метода эффективной процентной ставки. Доходы и расходы по таким финансовым обязательствам признаются в отдельном отчете о совокупном доходе при прекращении их признания, а также по мере начисления амортизации с использованием эффективной процентной ставки. Амортизированная стоимость рассчитывается с учетом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эффективной процентной ставки включается в состав процентных расходов в отдельном отчете о совокупном доходе.</w:t>
      </w:r>
    </w:p>
    <w:p>
      <w:pPr>
        <w:spacing w:after="0"/>
        <w:ind w:left="0"/>
        <w:jc w:val="both"/>
      </w:pPr>
      <w:r>
        <w:rPr>
          <w:rFonts w:ascii="Times New Roman"/>
          <w:b w:val="false"/>
          <w:i w:val="false"/>
          <w:color w:val="000000"/>
          <w:sz w:val="28"/>
        </w:rPr>
        <w:t>
      Выпущенные финансовые инструменты или их компоненты, классифицируются как обязательства, если в результате договорного соглашения Фонд имеет обязательство либо поставить денежные средства или иные финансовые активы, либо исполнить обязательство иным образом, чем посредством обмена фиксированной суммы денежных средств или других финансовых активов на фиксированное число собственных долевых инструментов. Такие инструменты включают средства Правительства и займы, полученные от кредитных учреждений, которые первоначально учитываются по справедливой стоимости полученных средств за вычетом затрат, непосредственно связанных со сделкой.</w:t>
      </w:r>
    </w:p>
    <w:p>
      <w:pPr>
        <w:spacing w:after="0"/>
        <w:ind w:left="0"/>
        <w:jc w:val="both"/>
      </w:pPr>
      <w:r>
        <w:rPr>
          <w:rFonts w:ascii="Times New Roman"/>
          <w:b w:val="false"/>
          <w:i w:val="false"/>
          <w:color w:val="000000"/>
          <w:sz w:val="28"/>
        </w:rPr>
        <w:t>
      Впоследствии, полученные средства отражаются по амортизированной стоимости, и соответствующая разница между чистой величиной полученных средств и стоимостью погашения признаются в отдельном отчете о совокупном доходе за период заимствования с использованием метода эффективной процентной ставки. Если Фонд приобретает свое собственное долговое обязательство, то оно исключается из отдельного бухгалтерского баланса, а разница между балансовой стоимостью обязательства и выплаченным возмещением по сделке включается в процентный доход.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Выпущенные долговые ценные бумаги</w:t>
      </w:r>
    </w:p>
    <w:p>
      <w:pPr>
        <w:spacing w:after="0"/>
        <w:ind w:left="0"/>
        <w:jc w:val="both"/>
      </w:pPr>
      <w:r>
        <w:rPr>
          <w:rFonts w:ascii="Times New Roman"/>
          <w:b w:val="false"/>
          <w:i w:val="false"/>
          <w:color w:val="000000"/>
          <w:sz w:val="28"/>
        </w:rPr>
        <w:t>
      Выпущенные долговые ценные бумаги представлены выпущенными в обращение облигациями Фонда, которые отражаются в учете в соответствии с теми же принципами, что и займы и средства Правительства.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Договоры финансовой гарантии</w:t>
      </w:r>
    </w:p>
    <w:p>
      <w:pPr>
        <w:spacing w:after="0"/>
        <w:ind w:left="0"/>
        <w:jc w:val="both"/>
      </w:pPr>
      <w:r>
        <w:rPr>
          <w:rFonts w:ascii="Times New Roman"/>
          <w:b w:val="false"/>
          <w:i w:val="false"/>
          <w:color w:val="000000"/>
          <w:sz w:val="28"/>
        </w:rPr>
        <w:t>
      Выпущенные Фондом договоры финансовой гарантии представляют собой договоры, требующие осуществления платежа в возмещение убытков, понесенных владельцем этого договора вследствие неспособности определенного должника осуществить своевременный платеж в соответствии с условиями долгового инструмента. Договоры финансовой гарантии первоначально признаются как обязательство по справедливой стоимости с учетом затрат по сделке, напрямую связанных с выпуском гарантии. Впоследствии, обязательство оценивается по наибольшей из следующих величин: наилучшая оценка затрат, необходимых для погашения существующего обязательства на отчетную дату, и признанная сумма обязательства за вычетом накопленной амортизации.</w:t>
      </w:r>
    </w:p>
    <w:bookmarkStart w:name="z418" w:id="416"/>
    <w:p>
      <w:pPr>
        <w:spacing w:after="0"/>
        <w:ind w:left="0"/>
        <w:jc w:val="both"/>
      </w:pPr>
      <w:r>
        <w:rPr>
          <w:rFonts w:ascii="Times New Roman"/>
          <w:b w:val="false"/>
          <w:i w:val="false"/>
          <w:color w:val="000000"/>
          <w:sz w:val="28"/>
        </w:rPr>
        <w:t xml:space="preserve">
      </w:t>
      </w:r>
      <w:r>
        <w:rPr>
          <w:rFonts w:ascii="Times New Roman"/>
          <w:b/>
          <w:i w:val="false"/>
          <w:color w:val="000000"/>
          <w:sz w:val="28"/>
        </w:rPr>
        <w:t>Опционы, возникающие при приобретении инвестиций</w:t>
      </w:r>
    </w:p>
    <w:bookmarkEnd w:id="416"/>
    <w:p>
      <w:pPr>
        <w:spacing w:after="0"/>
        <w:ind w:left="0"/>
        <w:jc w:val="both"/>
      </w:pPr>
      <w:r>
        <w:rPr>
          <w:rFonts w:ascii="Times New Roman"/>
          <w:b w:val="false"/>
          <w:i w:val="false"/>
          <w:color w:val="000000"/>
          <w:sz w:val="28"/>
        </w:rPr>
        <w:t xml:space="preserve">
      Если при приобретении инвестиций Фонд наделяет третью сторону опционом колл по приобретенной доле в предприятии, Фонд оценивает, дает ли участие в таком опционе третьей стороне доступ к выгодам и рискам, связанным с правом собственности на такую долю. </w:t>
      </w:r>
    </w:p>
    <w:p>
      <w:pPr>
        <w:spacing w:after="0"/>
        <w:ind w:left="0"/>
        <w:jc w:val="both"/>
      </w:pPr>
      <w:r>
        <w:rPr>
          <w:rFonts w:ascii="Times New Roman"/>
          <w:b w:val="false"/>
          <w:i w:val="false"/>
          <w:color w:val="000000"/>
          <w:sz w:val="28"/>
        </w:rPr>
        <w:t xml:space="preserve">
      В случае если опцион колл по приобретенной доле не дает доступа третьей стороне к выгодам и рискам долевого владения, данный опцион не учитывается при определении существенного влияния Фонда. </w:t>
      </w:r>
    </w:p>
    <w:p>
      <w:pPr>
        <w:spacing w:after="0"/>
        <w:ind w:left="0"/>
        <w:jc w:val="both"/>
      </w:pPr>
      <w:r>
        <w:rPr>
          <w:rFonts w:ascii="Times New Roman"/>
          <w:b w:val="false"/>
          <w:i w:val="false"/>
          <w:color w:val="000000"/>
          <w:sz w:val="28"/>
        </w:rPr>
        <w:t>
      Справедливая стоимость обязательства для Фонда по опциону признается как часть стоимости приобретенных инвестиций. Впоследствии, финансовое обязательство оценивается в соответствии с требованиями МСБУ 39. Изменения в справедливой стоимости финансового обязательства, а также любые доходы или расходы, связанные с реализацией данных опционов, учитываются в отдельном отчете о совокупном доходе.</w:t>
      </w:r>
    </w:p>
    <w:bookmarkStart w:name="z419" w:id="417"/>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Производные финансовые инструменты</w:t>
      </w:r>
    </w:p>
    <w:bookmarkEnd w:id="417"/>
    <w:p>
      <w:pPr>
        <w:spacing w:after="0"/>
        <w:ind w:left="0"/>
        <w:jc w:val="both"/>
      </w:pPr>
      <w:r>
        <w:rPr>
          <w:rFonts w:ascii="Times New Roman"/>
          <w:b w:val="false"/>
          <w:i w:val="false"/>
          <w:color w:val="000000"/>
          <w:sz w:val="28"/>
        </w:rPr>
        <w:t>
      Производные инструменты первоначально признаются по справедливой стоимости на дату заключения производного контракта и впоследствии переоцениваются до их справедливой стоимости на каждую отчетную дату. Суммарная прибыль или убыток признается в отдельном отчете о совокупном доходе, только если производный инструмент не признается и действителен как инструмент хеджирования, в этом случае срок признания в отдельном отчете о совокупном доходе зависит от характера отношений хеджирования.</w:t>
      </w:r>
    </w:p>
    <w:p>
      <w:pPr>
        <w:spacing w:after="0"/>
        <w:ind w:left="0"/>
        <w:jc w:val="both"/>
      </w:pPr>
      <w:r>
        <w:rPr>
          <w:rFonts w:ascii="Times New Roman"/>
          <w:b w:val="false"/>
          <w:i w:val="false"/>
          <w:color w:val="000000"/>
          <w:sz w:val="28"/>
        </w:rPr>
        <w:t>
      Производный инструмент с положительной справедливой стоимостью признается в качестве финансового актива, а производный инструмент с отрицательной справедливой стоимостью – в качестве финансового обязательства. Производный инструмент отражаются как долгосрочный актив или долгосрочное обязательство в случае, если оставшийся срок действия инструмента превышает 12 (двенадцать) месяцев и его продажа или погашение не предполагается в течение ближайших 12 (двенадцати) месяцев. Прочие производные инструменты включаются в краткосрочные активы или краткосрочные обязательства.</w:t>
      </w:r>
    </w:p>
    <w:bookmarkStart w:name="z420" w:id="418"/>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Признание дохода</w:t>
      </w:r>
    </w:p>
    <w:bookmarkEnd w:id="418"/>
    <w:p>
      <w:pPr>
        <w:spacing w:after="0"/>
        <w:ind w:left="0"/>
        <w:jc w:val="both"/>
      </w:pPr>
      <w:r>
        <w:rPr>
          <w:rFonts w:ascii="Times New Roman"/>
          <w:b w:val="false"/>
          <w:i w:val="false"/>
          <w:color w:val="000000"/>
          <w:sz w:val="28"/>
        </w:rPr>
        <w:t>
      Доходы признаются тогда, когда существует вероятность того, что Фонд будет получать экономические выгоды, связанные с операцией, и сумма дохода может быть достоверна определена.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Процентные и аналогичные доходы и расходы</w:t>
      </w:r>
    </w:p>
    <w:p>
      <w:pPr>
        <w:spacing w:after="0"/>
        <w:ind w:left="0"/>
        <w:jc w:val="both"/>
      </w:pPr>
      <w:r>
        <w:rPr>
          <w:rFonts w:ascii="Times New Roman"/>
          <w:b w:val="false"/>
          <w:i w:val="false"/>
          <w:color w:val="000000"/>
          <w:sz w:val="28"/>
        </w:rPr>
        <w:t>
      Процентные доходы по всем финансовым инструментам, за исключением процентного дохода от размещения временно свободных денежных средств, представляют собой доходы от основной деятельности Фонда и раскрываются в составе процентных доходов. Процентные доходы от размещения временно свободных денежных средств раскрываются в составе финансовых доходов.</w:t>
      </w:r>
    </w:p>
    <w:p>
      <w:pPr>
        <w:spacing w:after="0"/>
        <w:ind w:left="0"/>
        <w:jc w:val="both"/>
      </w:pPr>
      <w:r>
        <w:rPr>
          <w:rFonts w:ascii="Times New Roman"/>
          <w:b w:val="false"/>
          <w:i w:val="false"/>
          <w:color w:val="000000"/>
          <w:sz w:val="28"/>
        </w:rPr>
        <w:t>
      По всем финансовым инструментам, оцениваемым по амортизированной стоимости, и процентным финансовым инструментам, классифицированным в качестве инвестиций, имеющихся в наличии для продажи, процентные доходы или расходы отражаются по эффективной процентной ставке, при дисконтировании по которой ожидаемые будущие денежные платежи или поступления на протяжении предполагаемого срока использования финансового инструмента или в течение более короткого периода времени, где это применимо, в точности приводятся к чистой балансовой стоимости финансового актива или финансового обязательства. При расчете учитываются все договорные условия по финансовому инструменту (например, право на досрочное погашение) и комиссионные или дополнительные расходы, непосредственно связанные с инструментом, которые являются неотъемлемой частью эффективной процентной ставки, но не учитываются будущие убытки по кредитам.</w:t>
      </w:r>
    </w:p>
    <w:p>
      <w:pPr>
        <w:spacing w:after="0"/>
        <w:ind w:left="0"/>
        <w:jc w:val="both"/>
      </w:pPr>
      <w:r>
        <w:rPr>
          <w:rFonts w:ascii="Times New Roman"/>
          <w:b w:val="false"/>
          <w:i w:val="false"/>
          <w:color w:val="000000"/>
          <w:sz w:val="28"/>
        </w:rPr>
        <w:t>
      Балансовая стоимость финансового актива или финансового обязательства корректируется в случае пересмотра Фондом оценок платежей или поступлений. Скорректированная балансовая стоимость рассчитывается на основании первоначальной эффективной процентной ставки, а изменение балансовой стоимости отражается как процентные доходы или расходы.</w:t>
      </w:r>
    </w:p>
    <w:p>
      <w:pPr>
        <w:spacing w:after="0"/>
        <w:ind w:left="0"/>
        <w:jc w:val="both"/>
      </w:pPr>
      <w:r>
        <w:rPr>
          <w:rFonts w:ascii="Times New Roman"/>
          <w:b w:val="false"/>
          <w:i w:val="false"/>
          <w:color w:val="000000"/>
          <w:sz w:val="28"/>
        </w:rPr>
        <w:t>
      В случае снижения отраженной в отдельной финансовой отчетности стоимости финансового актива или группы аналогичных финансовых активов вследствие обесценения, процентные доходы продолжают признаваться по первоначальной эффективной процентной ставке на основе новой балансовой стоимости.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w:t>
      </w:r>
    </w:p>
    <w:p>
      <w:pPr>
        <w:spacing w:after="0"/>
        <w:ind w:left="0"/>
        <w:jc w:val="both"/>
      </w:pPr>
      <w:r>
        <w:rPr>
          <w:rFonts w:ascii="Times New Roman"/>
          <w:b w:val="false"/>
          <w:i w:val="false"/>
          <w:color w:val="000000"/>
          <w:sz w:val="28"/>
        </w:rPr>
        <w:t>
      Доход по дивидендам признается, когда установлено право Фонда на получение платежа.</w:t>
      </w:r>
    </w:p>
    <w:bookmarkStart w:name="z421" w:id="419"/>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Признание расходов</w:t>
      </w:r>
    </w:p>
    <w:bookmarkEnd w:id="419"/>
    <w:p>
      <w:pPr>
        <w:spacing w:after="0"/>
        <w:ind w:left="0"/>
        <w:jc w:val="both"/>
      </w:pPr>
      <w:r>
        <w:rPr>
          <w:rFonts w:ascii="Times New Roman"/>
          <w:b w:val="false"/>
          <w:i w:val="false"/>
          <w:color w:val="000000"/>
          <w:sz w:val="28"/>
        </w:rPr>
        <w:t>
      Расходы учитываются в момент возникновения и отражаются в отдельной финансовой отчетности в периоде, к которому они относятся, на основе метода начисления.</w:t>
      </w:r>
    </w:p>
    <w:bookmarkStart w:name="z422" w:id="420"/>
    <w:p>
      <w:pPr>
        <w:spacing w:after="0"/>
        <w:ind w:left="0"/>
        <w:jc w:val="both"/>
      </w:pPr>
      <w:r>
        <w:rPr>
          <w:rFonts w:ascii="Times New Roman"/>
          <w:b w:val="false"/>
          <w:i w:val="false"/>
          <w:color w:val="000000"/>
          <w:sz w:val="28"/>
        </w:rPr>
        <w:t xml:space="preserve">
      </w:t>
      </w:r>
      <w:r>
        <w:rPr>
          <w:rFonts w:ascii="Times New Roman"/>
          <w:b/>
          <w:i w:val="false"/>
          <w:color w:val="000000"/>
          <w:sz w:val="28"/>
        </w:rPr>
        <w:t>Подоходный налог</w:t>
      </w:r>
    </w:p>
    <w:bookmarkEnd w:id="420"/>
    <w:p>
      <w:pPr>
        <w:spacing w:after="0"/>
        <w:ind w:left="0"/>
        <w:jc w:val="both"/>
      </w:pPr>
      <w:r>
        <w:rPr>
          <w:rFonts w:ascii="Times New Roman"/>
          <w:b w:val="false"/>
          <w:i w:val="false"/>
          <w:color w:val="000000"/>
          <w:sz w:val="28"/>
        </w:rPr>
        <w:t>
      Подоходный налог за год включает текущий и отсроченный налог. Подоходный налог отражается в отдельном отчете о совокупном доходе, за исключением тех ситуаций, когда он относится к статьям, непосредственно отнесенным на собственный капитал, и в этом случае он признается в капитале.</w:t>
      </w:r>
    </w:p>
    <w:p>
      <w:pPr>
        <w:spacing w:after="0"/>
        <w:ind w:left="0"/>
        <w:jc w:val="both"/>
      </w:pPr>
      <w:r>
        <w:rPr>
          <w:rFonts w:ascii="Times New Roman"/>
          <w:b w:val="false"/>
          <w:i w:val="false"/>
          <w:color w:val="000000"/>
          <w:sz w:val="28"/>
        </w:rPr>
        <w:t>
      Текущие расходы по подоходному налогу представляют собой ожидаемые налоги к уплате по налогооблагаемой прибыли за год и любые корректировки в отношении налога к уплате в отношении предыдущих лет.</w:t>
      </w:r>
    </w:p>
    <w:p>
      <w:pPr>
        <w:spacing w:after="0"/>
        <w:ind w:left="0"/>
        <w:jc w:val="both"/>
      </w:pPr>
      <w:r>
        <w:rPr>
          <w:rFonts w:ascii="Times New Roman"/>
          <w:b w:val="false"/>
          <w:i w:val="false"/>
          <w:color w:val="000000"/>
          <w:sz w:val="28"/>
        </w:rPr>
        <w:t>
      Активы и обязательства по отсроченному налогу рассчитываются в отношении всех временных разниц с использованием балансового метода. Отсроченные налоги определяются по всем временным разницам между налоговой базой активов и обязательств и их балансовой стоимостью в финансовой отчетности, за исключением возникновения отсроченного подоходного налога в результате первоначального признания гудвила, актива или обязательства по сделке, которая не является объединением компаний и которая, в момент ее совершения, не оказывает влияния на бухгалтерский доход или на налогооблагаемую прибыль и убыток.</w:t>
      </w:r>
    </w:p>
    <w:p>
      <w:pPr>
        <w:spacing w:after="0"/>
        <w:ind w:left="0"/>
        <w:jc w:val="both"/>
      </w:pPr>
      <w:r>
        <w:rPr>
          <w:rFonts w:ascii="Times New Roman"/>
          <w:b w:val="false"/>
          <w:i w:val="false"/>
          <w:color w:val="000000"/>
          <w:sz w:val="28"/>
        </w:rPr>
        <w:t>
      Актив по отсроченному налогу признается только в той степени, в какой существует значительная вероятность получения налогооблагаемой прибыли, который может быть уменьшен на сумму вычитаемых временных разниц. Активы и обязательства по отсроченному налогу рассчитываются по налоговым ставкам, применение которых ожидается в период реализации актива или погашения обязательства, на основе действующих или объявленных (и практически принятых) на отчетную дату налоговых ставок.</w:t>
      </w:r>
    </w:p>
    <w:bookmarkStart w:name="z423" w:id="421"/>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w:t>
      </w:r>
    </w:p>
    <w:bookmarkEnd w:id="421"/>
    <w:p>
      <w:pPr>
        <w:spacing w:after="0"/>
        <w:ind w:left="0"/>
        <w:jc w:val="both"/>
      </w:pPr>
      <w:r>
        <w:rPr>
          <w:rFonts w:ascii="Times New Roman"/>
          <w:b w:val="false"/>
          <w:i w:val="false"/>
          <w:color w:val="000000"/>
          <w:sz w:val="28"/>
        </w:rPr>
        <w:t xml:space="preserve">
      </w:t>
      </w:r>
      <w:r>
        <w:rPr>
          <w:rFonts w:ascii="Times New Roman"/>
          <w:b w:val="false"/>
          <w:i/>
          <w:color w:val="000000"/>
          <w:sz w:val="28"/>
        </w:rPr>
        <w:t>Уставный капитал</w:t>
      </w:r>
    </w:p>
    <w:p>
      <w:pPr>
        <w:spacing w:after="0"/>
        <w:ind w:left="0"/>
        <w:jc w:val="both"/>
      </w:pPr>
      <w:r>
        <w:rPr>
          <w:rFonts w:ascii="Times New Roman"/>
          <w:b w:val="false"/>
          <w:i w:val="false"/>
          <w:color w:val="000000"/>
          <w:sz w:val="28"/>
        </w:rPr>
        <w:t>
      Простые акции классифицируются как капитал. Затраты на оплату услуг третьим сторонам, непосредственно связанные с выпуском новых акций, за исключением случаев объединения предприятий, отражаются в составе капитала как уменьшение суммы, полученной в результате данной эмиссии. Сумма превышения справедливой стоимости полученных средств над номинальной стоимостью выпущенных акций относится на нераспределенную прибыль.</w:t>
      </w:r>
    </w:p>
    <w:bookmarkStart w:name="z424" w:id="422"/>
    <w:p>
      <w:pPr>
        <w:spacing w:after="0"/>
        <w:ind w:left="0"/>
        <w:jc w:val="both"/>
      </w:pPr>
      <w:r>
        <w:rPr>
          <w:rFonts w:ascii="Times New Roman"/>
          <w:b w:val="false"/>
          <w:i w:val="false"/>
          <w:color w:val="000000"/>
          <w:sz w:val="28"/>
        </w:rPr>
        <w:t xml:space="preserve">
      </w:t>
      </w:r>
      <w:r>
        <w:rPr>
          <w:rFonts w:ascii="Times New Roman"/>
          <w:b/>
          <w:i w:val="false"/>
          <w:color w:val="000000"/>
          <w:sz w:val="28"/>
        </w:rPr>
        <w:t>Дивиденды</w:t>
      </w:r>
    </w:p>
    <w:bookmarkEnd w:id="422"/>
    <w:p>
      <w:pPr>
        <w:spacing w:after="0"/>
        <w:ind w:left="0"/>
        <w:jc w:val="both"/>
      </w:pPr>
      <w:r>
        <w:rPr>
          <w:rFonts w:ascii="Times New Roman"/>
          <w:b w:val="false"/>
          <w:i w:val="false"/>
          <w:color w:val="000000"/>
          <w:sz w:val="28"/>
        </w:rPr>
        <w:t>
      Дивиденды признаются как обязательства и вычитаются из суммы капитала на отчетную дату только в том случае, если они были объявлены до отчетной даты включительно. Информация о дивидендах раскрывается в отдельной финансовой отчетности, если они были рекомендованы до отчетной даты, а также рекомендованы или объявлены после отчетной даты, но до даты утверждения отдельной финансовой отчетности к выпуску.</w:t>
      </w:r>
    </w:p>
    <w:bookmarkStart w:name="z425" w:id="423"/>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Условные обязательства и условные активы</w:t>
      </w:r>
    </w:p>
    <w:bookmarkEnd w:id="423"/>
    <w:p>
      <w:pPr>
        <w:spacing w:after="0"/>
        <w:ind w:left="0"/>
        <w:jc w:val="both"/>
      </w:pPr>
      <w:r>
        <w:rPr>
          <w:rFonts w:ascii="Times New Roman"/>
          <w:b w:val="false"/>
          <w:i w:val="false"/>
          <w:color w:val="000000"/>
          <w:sz w:val="28"/>
        </w:rPr>
        <w:t>
      Условные обязательства не учитываются в отдельной финансовой отчетности. Они раскрываются, если только возможность оттока ресурсов и экономических выгод не является маловероятной.</w:t>
      </w:r>
    </w:p>
    <w:p>
      <w:pPr>
        <w:spacing w:after="0"/>
        <w:ind w:left="0"/>
        <w:jc w:val="both"/>
      </w:pPr>
      <w:r>
        <w:rPr>
          <w:rFonts w:ascii="Times New Roman"/>
          <w:b w:val="false"/>
          <w:i w:val="false"/>
          <w:color w:val="000000"/>
          <w:sz w:val="28"/>
        </w:rPr>
        <w:t>
      Условные активы не учитываются в отдельной финансовой отчетности. Они раскрываются тогда, когда поступление экономических выгод является вероятным.</w:t>
      </w:r>
    </w:p>
    <w:bookmarkStart w:name="z426" w:id="424"/>
    <w:p>
      <w:pPr>
        <w:spacing w:after="0"/>
        <w:ind w:left="0"/>
        <w:jc w:val="both"/>
      </w:pPr>
      <w:r>
        <w:rPr>
          <w:rFonts w:ascii="Times New Roman"/>
          <w:b w:val="false"/>
          <w:i w:val="false"/>
          <w:color w:val="000000"/>
          <w:sz w:val="28"/>
        </w:rPr>
        <w:t xml:space="preserve">
      </w:t>
      </w:r>
      <w:r>
        <w:rPr>
          <w:rFonts w:ascii="Times New Roman"/>
          <w:b/>
          <w:i w:val="false"/>
          <w:color w:val="000000"/>
          <w:sz w:val="28"/>
        </w:rPr>
        <w:t>Взаимозачет</w:t>
      </w:r>
    </w:p>
    <w:bookmarkEnd w:id="424"/>
    <w:p>
      <w:pPr>
        <w:spacing w:after="0"/>
        <w:ind w:left="0"/>
        <w:jc w:val="both"/>
      </w:pPr>
      <w:r>
        <w:rPr>
          <w:rFonts w:ascii="Times New Roman"/>
          <w:b w:val="false"/>
          <w:i w:val="false"/>
          <w:color w:val="000000"/>
          <w:sz w:val="28"/>
        </w:rPr>
        <w:t>
      Активы и обязательства взаимоисключаются, и сумма нетто показывается в отдельном бухгалтерском балансе тогда, когда существует юридически защищенное право зачесть учтенные суммы и имеется намерение урегулирования на нетто-основе или одновременной реализации актива и погашения обязательства.</w:t>
      </w:r>
    </w:p>
    <w:bookmarkStart w:name="z427" w:id="425"/>
    <w:p>
      <w:pPr>
        <w:spacing w:after="0"/>
        <w:ind w:left="0"/>
        <w:jc w:val="both"/>
      </w:pPr>
      <w:r>
        <w:rPr>
          <w:rFonts w:ascii="Times New Roman"/>
          <w:b w:val="false"/>
          <w:i w:val="false"/>
          <w:color w:val="000000"/>
          <w:sz w:val="28"/>
        </w:rPr>
        <w:t xml:space="preserve">
      </w:t>
      </w:r>
      <w:r>
        <w:rPr>
          <w:rFonts w:ascii="Times New Roman"/>
          <w:b/>
          <w:i w:val="false"/>
          <w:color w:val="000000"/>
          <w:sz w:val="28"/>
        </w:rPr>
        <w:t>Последующие события</w:t>
      </w:r>
    </w:p>
    <w:bookmarkEnd w:id="425"/>
    <w:p>
      <w:pPr>
        <w:spacing w:after="0"/>
        <w:ind w:left="0"/>
        <w:jc w:val="both"/>
      </w:pPr>
      <w:r>
        <w:rPr>
          <w:rFonts w:ascii="Times New Roman"/>
          <w:b w:val="false"/>
          <w:i w:val="false"/>
          <w:color w:val="000000"/>
          <w:sz w:val="28"/>
        </w:rPr>
        <w:t>
      События, произошедшие после окончания отчетного периода, которые предоставляют дополнительную информацию об отдельном финансовом положении Фонда на отчетную дату (корректирующие события), отражаются в отдельной финансовой отчетности. События, произошедшие после окончания отчетного периода, которые не являются корректирующими событиями, раскрываются в примечаниях при их существенности.</w:t>
      </w:r>
    </w:p>
    <w:bookmarkStart w:name="z428" w:id="426"/>
    <w:p>
      <w:pPr>
        <w:spacing w:after="0"/>
        <w:ind w:left="0"/>
        <w:jc w:val="both"/>
      </w:pPr>
      <w:r>
        <w:rPr>
          <w:rFonts w:ascii="Times New Roman"/>
          <w:b w:val="false"/>
          <w:i w:val="false"/>
          <w:color w:val="000000"/>
          <w:sz w:val="28"/>
        </w:rPr>
        <w:t xml:space="preserve">
      </w:t>
      </w:r>
      <w:r>
        <w:rPr>
          <w:rFonts w:ascii="Times New Roman"/>
          <w:b/>
          <w:i w:val="false"/>
          <w:color w:val="000000"/>
          <w:sz w:val="28"/>
        </w:rPr>
        <w:t>4. СУЩЕСТВЕННЫЕ БУХГАЛТЕРСКИЕ СУЖДЕНИЯ, ОЦЕНКИ И ДОПУЩЕНИЯ</w:t>
      </w:r>
    </w:p>
    <w:bookmarkEnd w:id="426"/>
    <w:p>
      <w:pPr>
        <w:spacing w:after="0"/>
        <w:ind w:left="0"/>
        <w:jc w:val="both"/>
      </w:pPr>
      <w:r>
        <w:rPr>
          <w:rFonts w:ascii="Times New Roman"/>
          <w:b w:val="false"/>
          <w:i w:val="false"/>
          <w:color w:val="000000"/>
          <w:sz w:val="28"/>
        </w:rPr>
        <w:t>
      Подготовка отдельной финансовой отчетности Фонда требует от его руководства вынесения суждений, определения оценочных значений и допущений, которые влияют на указываемые в отдельной финансовой отчетности суммы доходов, расходов, активов и обязательств, а также на раскрытие информации об условных обязательствах и активах на отчетную дату. Однако неопределенность в отношении этих допущений и оценочных значений может привести к результатам, которые могут потребовать существенных корректировок к балансовой стоимости актива или обязательства, в отношении которых делаются подобные допущения и оценки, в будущем.</w:t>
      </w:r>
    </w:p>
    <w:p>
      <w:pPr>
        <w:spacing w:after="0"/>
        <w:ind w:left="0"/>
        <w:jc w:val="both"/>
      </w:pPr>
      <w:r>
        <w:rPr>
          <w:rFonts w:ascii="Times New Roman"/>
          <w:b w:val="false"/>
          <w:i w:val="false"/>
          <w:color w:val="000000"/>
          <w:sz w:val="28"/>
        </w:rPr>
        <w:t>
      Основные допущения о будущем и прочие основные источники неопределенности в оценках на отчетную дату, которые могут послужить причиной существенных корректировок балансовой стоимости активов и обязательств в течение следующего финансового года, рассматриваются ниже: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Справедливая стоимость финансовых инструментов</w:t>
      </w:r>
    </w:p>
    <w:p>
      <w:pPr>
        <w:spacing w:after="0"/>
        <w:ind w:left="0"/>
        <w:jc w:val="both"/>
      </w:pPr>
      <w:r>
        <w:rPr>
          <w:rFonts w:ascii="Times New Roman"/>
          <w:b w:val="false"/>
          <w:i w:val="false"/>
          <w:color w:val="000000"/>
          <w:sz w:val="28"/>
        </w:rPr>
        <w:t>
      В случаях, когда справедливая стоимость финансовых инструментов и финансовых обязательств, признанных в отдельном бухгалтерском балансе, не может быть определена на основании данных активных рынков, она определяется с использованием методов оценки, включая модель дисконтированных денежных потоков. В качестве исходных данных для этих моделей по возможности используется информация с наблюдаемых рынков, однако в тех случаях, когда это не представляется практически осуществимым, требуется определенная доля суждения для установления справедливой стоимости. Суждения включают учет таких исходных данных, как риск ликвидности, кредитный риск и волатильность. Изменения в допущениях относительно данных факторов могут оказать влияние на справедливую стоимость финансовых инструментов, отраженную в отдельной финансовой отчетности.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Резерв на обесценение займов выданных, средств в кредитных учреждениях и депозитов</w:t>
      </w:r>
    </w:p>
    <w:p>
      <w:pPr>
        <w:spacing w:after="0"/>
        <w:ind w:left="0"/>
        <w:jc w:val="both"/>
      </w:pPr>
      <w:r>
        <w:rPr>
          <w:rFonts w:ascii="Times New Roman"/>
          <w:b w:val="false"/>
          <w:i w:val="false"/>
          <w:color w:val="000000"/>
          <w:sz w:val="28"/>
        </w:rPr>
        <w:t>
      На каждую отчетную дату Фонд проводит анализ своих существенных займов выданных, средств в кредитных учреждениях и депозитов, на предмет необходимости отражения убытка от обесценения в прибылях и убытках. В частности, суждения руководства требуются в оценке суммы и сроков будущих денежных потоков при определении убытка от обесценения. При оценке таких денежных потоков, Фонд выносит суждения о финансовом положении заемщика и чистой стоимости реализации обеспечения, если таковое имеется. Эти оценки основаны на допущениях по ряду факторов, и фактические результаты могут быть иными, что приведет к будущим изменениям в резерве.</w:t>
      </w:r>
    </w:p>
    <w:p>
      <w:pPr>
        <w:spacing w:after="0"/>
        <w:ind w:left="0"/>
        <w:jc w:val="both"/>
      </w:pPr>
      <w:r>
        <w:rPr>
          <w:rFonts w:ascii="Times New Roman"/>
          <w:b w:val="false"/>
          <w:i w:val="false"/>
          <w:color w:val="000000"/>
          <w:sz w:val="28"/>
        </w:rPr>
        <w:t xml:space="preserve">
      В связи с ухудшением финансового положения, относительной ограниченностью в ликвидных средствах и отрицательным финансовым результатом БТА в течение 2011 года, Фонд признал убыток от обесценения средств в кредитных учреждениях и банковских депозитов в размере 36.999 миллионов тенге и 245.068 миллионов тенге, соответственно, размещенных в данном банке по состоянию на 31 декабря 2011 года. В 2012 году Фонд полностью сторнировал накопленное обесценение по данным активам (Примечания 5.3) в связи с осуществлением второй реструктуризации обязательств БТА </w:t>
      </w:r>
      <w:r>
        <w:rPr>
          <w:rFonts w:ascii="Times New Roman"/>
          <w:b w:val="false"/>
          <w:i/>
          <w:color w:val="000000"/>
          <w:sz w:val="28"/>
        </w:rPr>
        <w:t>(Примечание 1)</w:t>
      </w:r>
      <w:r>
        <w:rPr>
          <w:rFonts w:ascii="Times New Roman"/>
          <w:b w:val="false"/>
          <w:i w:val="false"/>
          <w:color w:val="000000"/>
          <w:sz w:val="28"/>
        </w:rPr>
        <w:t xml:space="preserve"> и улучшением его финансового состояния.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Налогообложение</w:t>
      </w:r>
    </w:p>
    <w:p>
      <w:pPr>
        <w:spacing w:after="0"/>
        <w:ind w:left="0"/>
        <w:jc w:val="both"/>
      </w:pPr>
      <w:r>
        <w:rPr>
          <w:rFonts w:ascii="Times New Roman"/>
          <w:b w:val="false"/>
          <w:i w:val="false"/>
          <w:color w:val="000000"/>
          <w:sz w:val="28"/>
        </w:rPr>
        <w:t xml:space="preserve">
      При оценке налоговых рисков, руководство рассматривает в качестве возможных обязательств известные сферы несоблюдения налогового законодательства, которые Фонд не может оспорить или не считает, что он сможет успешно обжаловать, если дополнительные налоги будут начислены налоговыми органами. Такое определение требует вынесения существенных суждений и может изменяться в результате изменений в налоговом законодательстве и нормативно-правовых актах, поправок в условия налогообложения, определения предполагаемых результатов по ожидающим своего решения налоговым разбирательствам и текущего результата осуществляемой налоговыми органами проверки на соответствие. Неопределенности, относящиеся к налогообложению, раскрыты в </w:t>
      </w:r>
      <w:r>
        <w:rPr>
          <w:rFonts w:ascii="Times New Roman"/>
          <w:b w:val="false"/>
          <w:i/>
          <w:color w:val="000000"/>
          <w:sz w:val="28"/>
        </w:rPr>
        <w:t>Примечании 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Активы по отсроченному налогу</w:t>
      </w:r>
    </w:p>
    <w:p>
      <w:pPr>
        <w:spacing w:after="0"/>
        <w:ind w:left="0"/>
        <w:jc w:val="both"/>
      </w:pPr>
      <w:r>
        <w:rPr>
          <w:rFonts w:ascii="Times New Roman"/>
          <w:b w:val="false"/>
          <w:i w:val="false"/>
          <w:color w:val="000000"/>
          <w:sz w:val="28"/>
        </w:rPr>
        <w:t>
      Активы по отсроченному налогу были признаны по всем резервам и прочим обязательствам в той степени, в которой существует вероятность того, что будут обоснованы налогооблагаемые временные разницы и коммерческий характер таких расходов, а также успешное применение стратегии налогового планирования. Сумма непризнанных активов по отсроченному налогу на 31 декабря 2013 года составила 6.651 миллион тенге (2012: 5.561 миллион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Обесценение инвестиций в дочерние организации</w:t>
      </w:r>
    </w:p>
    <w:p>
      <w:pPr>
        <w:spacing w:after="0"/>
        <w:ind w:left="0"/>
        <w:jc w:val="both"/>
      </w:pPr>
      <w:r>
        <w:rPr>
          <w:rFonts w:ascii="Times New Roman"/>
          <w:b w:val="false"/>
          <w:i w:val="false"/>
          <w:color w:val="000000"/>
          <w:sz w:val="28"/>
        </w:rPr>
        <w:t xml:space="preserve">
      Обесценение имеет место, если балансовая стоимость инвестиции в дочернюю организацию превышает ее возмещаемую стоимость, которая является наибольшей из следующих величин: справедливая стоимость за вычетом затрат на продажу и ценность от использования. В 2013 году Фонд признал обесценение инвестиций в дочерние организации на общую сумму 71.717 миллионов тенге (2012: 154.287 миллиона тенге) </w:t>
      </w:r>
      <w:r>
        <w:rPr>
          <w:rFonts w:ascii="Times New Roman"/>
          <w:b w:val="false"/>
          <w:i/>
          <w:color w:val="000000"/>
          <w:sz w:val="28"/>
        </w:rPr>
        <w:t>(Примечание 5.4)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Обесценение активов, классифицированных как предназначенные для продажи</w:t>
      </w:r>
    </w:p>
    <w:p>
      <w:pPr>
        <w:spacing w:after="0"/>
        <w:ind w:left="0"/>
        <w:jc w:val="both"/>
      </w:pPr>
      <w:r>
        <w:rPr>
          <w:rFonts w:ascii="Times New Roman"/>
          <w:b w:val="false"/>
          <w:i w:val="false"/>
          <w:color w:val="000000"/>
          <w:sz w:val="28"/>
        </w:rPr>
        <w:t>
      Внеоборотный актив, классифицированный как предназначенный для продажи, должен оцениваться по наименьшей из следующих величин: балансовой стоимости или справедливой стоимости за вычетом затрат на продажу. Справедливая стоимость определяется как сумма, на которую актив может быть обменен или обязательство погашено в рамках коммерческой сделки, проведенной осведомленными, желающими провести такую сделку сторонами. Затраты на продажу определяются как дополнительные затраты, непосредственно связанные с выбытием актива, за исключением затрат на финансирование и налога на прибыль.</w:t>
      </w:r>
    </w:p>
    <w:p>
      <w:pPr>
        <w:spacing w:after="0"/>
        <w:ind w:left="0"/>
        <w:jc w:val="both"/>
      </w:pPr>
      <w:r>
        <w:rPr>
          <w:rFonts w:ascii="Times New Roman"/>
          <w:b w:val="false"/>
          <w:i w:val="false"/>
          <w:color w:val="000000"/>
          <w:sz w:val="28"/>
        </w:rPr>
        <w:t xml:space="preserve">
      В 2013 году Фонд признал убыток от обесценения активов, классифицированных как предназначенные для продажи, в размере 147.421 миллион тенге (2012: ноль) </w:t>
      </w:r>
      <w:r>
        <w:rPr>
          <w:rFonts w:ascii="Times New Roman"/>
          <w:b w:val="false"/>
          <w:i/>
          <w:color w:val="000000"/>
          <w:sz w:val="28"/>
        </w:rPr>
        <w:t>(Примечание 5.4)</w:t>
      </w:r>
      <w:r>
        <w:rPr>
          <w:rFonts w:ascii="Times New Roman"/>
          <w:b w:val="false"/>
          <w:i w:val="false"/>
          <w:color w:val="000000"/>
          <w:sz w:val="28"/>
        </w:rPr>
        <w:t xml:space="preserve">. </w:t>
      </w:r>
    </w:p>
    <w:bookmarkStart w:name="z429" w:id="427"/>
    <w:p>
      <w:pPr>
        <w:spacing w:after="0"/>
        <w:ind w:left="0"/>
        <w:jc w:val="both"/>
      </w:pPr>
      <w:r>
        <w:rPr>
          <w:rFonts w:ascii="Times New Roman"/>
          <w:b w:val="false"/>
          <w:i w:val="false"/>
          <w:color w:val="000000"/>
          <w:sz w:val="28"/>
        </w:rPr>
        <w:t xml:space="preserve">
      </w:t>
      </w:r>
      <w:r>
        <w:rPr>
          <w:rFonts w:ascii="Times New Roman"/>
          <w:b/>
          <w:i w:val="false"/>
          <w:color w:val="000000"/>
          <w:sz w:val="28"/>
        </w:rPr>
        <w:t>5. БУХГАЛТЕРСКИЙ БАЛАНС</w:t>
      </w:r>
    </w:p>
    <w:bookmarkEnd w:id="427"/>
    <w:bookmarkStart w:name="z430" w:id="428"/>
    <w:p>
      <w:pPr>
        <w:spacing w:after="0"/>
        <w:ind w:left="0"/>
        <w:jc w:val="both"/>
      </w:pPr>
      <w:r>
        <w:rPr>
          <w:rFonts w:ascii="Times New Roman"/>
          <w:b w:val="false"/>
          <w:i w:val="false"/>
          <w:color w:val="000000"/>
          <w:sz w:val="28"/>
        </w:rPr>
        <w:t xml:space="preserve">
      </w:t>
      </w:r>
      <w:r>
        <w:rPr>
          <w:rFonts w:ascii="Times New Roman"/>
          <w:b/>
          <w:i w:val="false"/>
          <w:color w:val="000000"/>
          <w:sz w:val="28"/>
        </w:rPr>
        <w:t>5.1 Денежные средства и их эквиваленты</w:t>
      </w:r>
    </w:p>
    <w:bookmarkEnd w:id="428"/>
    <w:p>
      <w:pPr>
        <w:spacing w:after="0"/>
        <w:ind w:left="0"/>
        <w:jc w:val="both"/>
      </w:pPr>
      <w:r>
        <w:rPr>
          <w:rFonts w:ascii="Times New Roman"/>
          <w:b w:val="false"/>
          <w:i w:val="false"/>
          <w:color w:val="000000"/>
          <w:sz w:val="28"/>
        </w:rPr>
        <w:t>
      На 31 декабря денежные средства и их эквиваленты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5029"/>
        <w:gridCol w:w="5029"/>
      </w:tblGrid>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банках, выраженные в тенге</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58.863.001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301.829.428</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банках, выраженные в долларах США</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1.946.022</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29.997.843</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банках, выраженные в евро</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1.154.005</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601.644</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депозиты в банках, выраженные в тенге</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41.545.016</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100.543.566</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103.508.044</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432.972.481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31 декабря 2013 года средневзвешенная процентная ставка по большинству текущих счетов, размещенных в казахстанских банках, составила 0,001% (2012: 0,1%). Срочные депозиты размещены на различные сроки, от 1 (одного) дня до 3 (трех) месяцев, в зависимости от потребностей Фонда в наличных денежных средствах. На 31 декабря 2013 года средневзвешенная процентная ставка по срочным депозитам в банках составила 4,01% (2012: 0,77%).</w:t>
      </w:r>
    </w:p>
    <w:p>
      <w:pPr>
        <w:spacing w:after="0"/>
        <w:ind w:left="0"/>
        <w:jc w:val="both"/>
      </w:pPr>
      <w:r>
        <w:rPr>
          <w:rFonts w:ascii="Times New Roman"/>
          <w:b w:val="false"/>
          <w:i w:val="false"/>
          <w:color w:val="000000"/>
          <w:sz w:val="28"/>
        </w:rPr>
        <w:t>
      В общей сумме денежных средств Фонда на счетах в банках имеются средства, полученные из Республиканского бюджета и Национального Фонда по целевым программам Правительства. По состоянию на 31 декабря 2013 года данные денежные средства аккумулируются на счетах Национального Банка и составляют 85 миллиардов тенге (2012: 395 миллиардов тенге), в том числе:</w:t>
      </w:r>
    </w:p>
    <w:p>
      <w:pPr>
        <w:spacing w:after="0"/>
        <w:ind w:left="0"/>
        <w:jc w:val="both"/>
      </w:pPr>
      <w:r>
        <w:rPr>
          <w:rFonts w:ascii="Times New Roman"/>
          <w:b w:val="false"/>
          <w:i w:val="false"/>
          <w:color w:val="000000"/>
          <w:sz w:val="28"/>
        </w:rPr>
        <w:t>
      - 54 миллиарда тенге – средства Национального Фонда, полученные в рамках реализации Плана Стабилизации (2012: 247 миллиардов тенге);</w:t>
      </w:r>
    </w:p>
    <w:p>
      <w:pPr>
        <w:spacing w:after="0"/>
        <w:ind w:left="0"/>
        <w:jc w:val="both"/>
      </w:pPr>
      <w:r>
        <w:rPr>
          <w:rFonts w:ascii="Times New Roman"/>
          <w:b w:val="false"/>
          <w:i w:val="false"/>
          <w:color w:val="000000"/>
          <w:sz w:val="28"/>
        </w:rPr>
        <w:t>
      - 2 миллиарда тенге – средства, полученные из Республиканского бюджета в целях финансирования проектов, реализуемых Фондом (2012: 6 миллиардов тенге);</w:t>
      </w:r>
    </w:p>
    <w:p>
      <w:pPr>
        <w:spacing w:after="0"/>
        <w:ind w:left="0"/>
        <w:jc w:val="both"/>
      </w:pPr>
      <w:r>
        <w:rPr>
          <w:rFonts w:ascii="Times New Roman"/>
          <w:b w:val="false"/>
          <w:i w:val="false"/>
          <w:color w:val="000000"/>
          <w:sz w:val="28"/>
        </w:rPr>
        <w:t>
      - 29 миллиардов тенге – остаток денежных средств Фонда, необходимый для осуществления операционной и инвестиционной деятельности (2012: 142 миллиарда тенге).</w:t>
      </w:r>
    </w:p>
    <w:bookmarkStart w:name="z431" w:id="429"/>
    <w:p>
      <w:pPr>
        <w:spacing w:after="0"/>
        <w:ind w:left="0"/>
        <w:jc w:val="both"/>
      </w:pPr>
      <w:r>
        <w:rPr>
          <w:rFonts w:ascii="Times New Roman"/>
          <w:b w:val="false"/>
          <w:i w:val="false"/>
          <w:color w:val="000000"/>
          <w:sz w:val="28"/>
        </w:rPr>
        <w:t xml:space="preserve">
      </w:t>
      </w:r>
      <w:r>
        <w:rPr>
          <w:rFonts w:ascii="Times New Roman"/>
          <w:b/>
          <w:i w:val="false"/>
          <w:color w:val="000000"/>
          <w:sz w:val="28"/>
        </w:rPr>
        <w:t>5.2 Финансовые активы, имеющиеся в наличии для продажи и финансовые активы, удерживаемые до погашения</w:t>
      </w:r>
    </w:p>
    <w:bookmarkEnd w:id="429"/>
    <w:p>
      <w:pPr>
        <w:spacing w:after="0"/>
        <w:ind w:left="0"/>
        <w:jc w:val="both"/>
      </w:pPr>
      <w:r>
        <w:rPr>
          <w:rFonts w:ascii="Times New Roman"/>
          <w:b w:val="false"/>
          <w:i w:val="false"/>
          <w:color w:val="000000"/>
          <w:sz w:val="28"/>
        </w:rPr>
        <w:t>
      На 31 декабря финансовые активы, имеющиеся в наличии дл продажи и финансовые активы, удерживаемые до погашения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3693"/>
        <w:gridCol w:w="3694"/>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тысячах тенге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имеющиеся в наличии для продажи: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 АО "Казкоммерцбанк"</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23.236.965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24.827.586</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 АО "Народный Банк Казахстана"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1.025.246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1.028.300</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 Kazakhmys Plc</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111.924.783</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12.467.031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12.537.175</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прочих финансовых активов</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36.729.242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150.317.844</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(24.557.826)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(26.123.503)</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12.171.416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124.194.341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опционными соглашениями, заключенными между Фондом и основными акционерами ККБ и АО "Народный Банк Казахстана" при приобретении акций в 2009 году, основные акционеры получили опционы на приобретение выкупленных Фондом акций данных банков (опционы колл), которые могут быть исполнены в течение периода, начинающегося в первую годовщину с даты приобретения Фондом акций банков и заканчивающегося в пятую годовщину. Срок исполнения по данным опционам начинается в первом полугодии 2010 года, что привело к потере Фондом существенного влияния на банки. Соответственно, Фонд потерял существенное влияние на данные ассоциированные компании и реклассифицировал инвестиции в категорию финансовых активов, имеющихся в наличии для продажи.</w:t>
      </w:r>
    </w:p>
    <w:p>
      <w:pPr>
        <w:spacing w:after="0"/>
        <w:ind w:left="0"/>
        <w:jc w:val="both"/>
      </w:pPr>
      <w:r>
        <w:rPr>
          <w:rFonts w:ascii="Times New Roman"/>
          <w:b w:val="false"/>
          <w:i w:val="false"/>
          <w:color w:val="000000"/>
          <w:sz w:val="28"/>
        </w:rPr>
        <w:t>
      28 мая 2012 года АО "Холдинговая группа "АЛМЭКС" и АО "Народный Банк Казахстана" заключили соглашение об уступке прав по опционному соглашению в отношении привилегированных акций АО "Народный Банк Казахстана".</w:t>
      </w:r>
    </w:p>
    <w:p>
      <w:pPr>
        <w:spacing w:after="0"/>
        <w:ind w:left="0"/>
        <w:jc w:val="both"/>
      </w:pPr>
      <w:r>
        <w:rPr>
          <w:rFonts w:ascii="Times New Roman"/>
          <w:b w:val="false"/>
          <w:i w:val="false"/>
          <w:color w:val="000000"/>
          <w:sz w:val="28"/>
        </w:rPr>
        <w:t xml:space="preserve">
      В соответствии с данным соглашением, 29 июня 2012 года и 5 июля 2012 года АО "Народный Банк Казахстана" частично реализовал свое право на исполнение опциона и осуществил выкуп 150.000.000 и 40.000.000 своих привилегированных акций по цене 179,94 тенге и 180,21 тенге за акцию, соответственно. Общая стоимость реализации составила 34.199 миллионов тенге. </w:t>
      </w:r>
    </w:p>
    <w:p>
      <w:pPr>
        <w:spacing w:after="0"/>
        <w:ind w:left="0"/>
        <w:jc w:val="both"/>
      </w:pPr>
      <w:r>
        <w:rPr>
          <w:rFonts w:ascii="Times New Roman"/>
          <w:b w:val="false"/>
          <w:i w:val="false"/>
          <w:color w:val="000000"/>
          <w:sz w:val="28"/>
        </w:rPr>
        <w:t>
      После реализации привилегированных акций АО "Народный Банк Казахстана" со справедливой стоимостью на дату продажи в размере 34.273 миллиона тенге, Фонд прекратил признание соответствующих обязательств по опциону на выкуп привилегированных акций, справедливая стоимость которых на дату продажи составила 3.509 миллионов тенге.</w:t>
      </w:r>
    </w:p>
    <w:p>
      <w:pPr>
        <w:spacing w:after="0"/>
        <w:ind w:left="0"/>
        <w:jc w:val="both"/>
      </w:pPr>
      <w:r>
        <w:rPr>
          <w:rFonts w:ascii="Times New Roman"/>
          <w:b w:val="false"/>
          <w:i w:val="false"/>
          <w:color w:val="000000"/>
          <w:sz w:val="28"/>
        </w:rPr>
        <w:t>
      Также нереализованный доход в размере 1.395 миллионов тенге по переоценке инвестиций, имеющихся в наличии для продажи, по привилегированным акциям АО "Народный Банк Казахстана", был реклассифицирован из резерва по переоценке инвестиций, имеющихся в наличие для продажи, в чистую прибыль за период. Полученная чистая прибыль от выбытия финансовых активов была отражена в отдельном отчете о совокупном доходе в размере 4.830 миллионов тенге.</w:t>
      </w:r>
    </w:p>
    <w:p>
      <w:pPr>
        <w:spacing w:after="0"/>
        <w:ind w:left="0"/>
        <w:jc w:val="both"/>
      </w:pPr>
      <w:r>
        <w:rPr>
          <w:rFonts w:ascii="Times New Roman"/>
          <w:b w:val="false"/>
          <w:i w:val="false"/>
          <w:color w:val="000000"/>
          <w:sz w:val="28"/>
        </w:rPr>
        <w:t>
      В 2012 году Фонд признал убыток от обесценения по долевым ценным бумагам Kazakhmys Plc и ККБ в размере 86.103 миллиона тенге и 60.745 миллионов тенге, соответственно (2013: ноль).</w:t>
      </w:r>
    </w:p>
    <w:p>
      <w:pPr>
        <w:spacing w:after="0"/>
        <w:ind w:left="0"/>
        <w:jc w:val="both"/>
      </w:pPr>
      <w:r>
        <w:rPr>
          <w:rFonts w:ascii="Times New Roman"/>
          <w:b w:val="false"/>
          <w:i w:val="false"/>
          <w:color w:val="000000"/>
          <w:sz w:val="28"/>
        </w:rPr>
        <w:t xml:space="preserve">
      6 июня 2013 года Фонд осуществил безвозмездную передачу всех, имеющихся во владении Фонда, простых акций Kazakhmys Plc (58.876.793 акции) в республиканскую собственность, путем их передачи Комитету государственного имущества и приватизации Министерства финансов Республики Казахстан в соответствии с постановлением Правительства Республики Казахстан от 28 мая 2013 года № 521дсп. </w:t>
      </w:r>
    </w:p>
    <w:p>
      <w:pPr>
        <w:spacing w:after="0"/>
        <w:ind w:left="0"/>
        <w:jc w:val="both"/>
      </w:pPr>
      <w:r>
        <w:rPr>
          <w:rFonts w:ascii="Times New Roman"/>
          <w:b w:val="false"/>
          <w:i w:val="false"/>
          <w:color w:val="000000"/>
          <w:sz w:val="28"/>
        </w:rPr>
        <w:t>
      Справедливая стоимость долевых ценных бумаг АО "Народный Банк Казахстана" и ККБ по состоянию на 31 декабря 2013 года и 31 декабря 2012 года была определена на основе опубликованных котировок на активном рынке.</w:t>
      </w:r>
    </w:p>
    <w:bookmarkStart w:name="z432" w:id="430"/>
    <w:p>
      <w:pPr>
        <w:spacing w:after="0"/>
        <w:ind w:left="0"/>
        <w:jc w:val="both"/>
      </w:pPr>
      <w:r>
        <w:rPr>
          <w:rFonts w:ascii="Times New Roman"/>
          <w:b w:val="false"/>
          <w:i w:val="false"/>
          <w:color w:val="000000"/>
          <w:sz w:val="28"/>
        </w:rPr>
        <w:t xml:space="preserve">
      </w:t>
      </w:r>
      <w:r>
        <w:rPr>
          <w:rFonts w:ascii="Times New Roman"/>
          <w:b/>
          <w:i w:val="false"/>
          <w:color w:val="000000"/>
          <w:sz w:val="28"/>
        </w:rPr>
        <w:t>5.3 Прочие финансовые активы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5623"/>
        <w:gridCol w:w="5623"/>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805.418.534</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767.481.000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387.312.000</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394.540.000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депозиты</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518.414.771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364.476.000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депозиты</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46.375.870 </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47.428.237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1.757.521.175</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1.573.925.237</w:t>
            </w:r>
          </w:p>
        </w:tc>
      </w:tr>
    </w:tbl>
    <w:p>
      <w:pPr>
        <w:spacing w:after="0"/>
        <w:ind w:left="0"/>
        <w:jc w:val="left"/>
      </w:pPr>
      <w:r>
        <w:br/>
      </w:r>
      <w:r>
        <w:rPr>
          <w:rFonts w:ascii="Times New Roman"/>
          <w:b w:val="false"/>
          <w:i w:val="false"/>
          <w:color w:val="000000"/>
          <w:sz w:val="28"/>
        </w:rPr>
        <w:t>
</w:t>
      </w:r>
    </w:p>
    <w:bookmarkStart w:name="z433" w:id="431"/>
    <w:p>
      <w:pPr>
        <w:spacing w:after="0"/>
        <w:ind w:left="0"/>
        <w:jc w:val="both"/>
      </w:pPr>
      <w:r>
        <w:rPr>
          <w:rFonts w:ascii="Times New Roman"/>
          <w:b w:val="false"/>
          <w:i w:val="false"/>
          <w:color w:val="000000"/>
          <w:sz w:val="28"/>
        </w:rPr>
        <w:t xml:space="preserve">
      </w:t>
      </w:r>
      <w:r>
        <w:rPr>
          <w:rFonts w:ascii="Times New Roman"/>
          <w:b/>
          <w:i w:val="false"/>
          <w:color w:val="000000"/>
          <w:sz w:val="28"/>
        </w:rPr>
        <w:t>Займы выданные</w:t>
      </w:r>
    </w:p>
    <w:bookmarkEnd w:id="431"/>
    <w:p>
      <w:pPr>
        <w:spacing w:after="0"/>
        <w:ind w:left="0"/>
        <w:jc w:val="both"/>
      </w:pPr>
      <w:r>
        <w:rPr>
          <w:rFonts w:ascii="Times New Roman"/>
          <w:b w:val="false"/>
          <w:i w:val="false"/>
          <w:color w:val="000000"/>
          <w:sz w:val="28"/>
        </w:rPr>
        <w:t>
      На 31 декабря займы выданные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5315"/>
        <w:gridCol w:w="5316"/>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сторонним и связанным компаниям</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516.587.249</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505.584.000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дочерним организациям</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280.170.030</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254.513.000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сторонними и связанными сторонами</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1.679.501</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19.108.982</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18.690.000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(12.127.228)</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займов выданных</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805.418.534</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767.481.000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(193.787.619)</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(110.081.000)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611.630.915</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анализ займов выданных в разрезе сроков задолженности представлен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9"/>
        <w:gridCol w:w="4140"/>
        <w:gridCol w:w="4141"/>
      </w:tblGrid>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не было выявлено признаков обесценения:</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просроченные и не обесцененные</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803.295.000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766.159.000</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но не обесцененные:</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от 90 до 180 дней</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732.000</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от 180 до 360 дней</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1.533.534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просроченные свыше 360 дней</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просроченные займы</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2.123.534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займы выданные</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805.418.534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767.481.000</w:t>
            </w:r>
          </w:p>
        </w:tc>
      </w:tr>
    </w:tbl>
    <w:p>
      <w:pPr>
        <w:spacing w:after="0"/>
        <w:ind w:left="0"/>
        <w:jc w:val="left"/>
      </w:pPr>
      <w:r>
        <w:br/>
      </w:r>
      <w:r>
        <w:rPr>
          <w:rFonts w:ascii="Times New Roman"/>
          <w:b w:val="false"/>
          <w:i w:val="false"/>
          <w:color w:val="000000"/>
          <w:sz w:val="28"/>
        </w:rPr>
        <w:t>
</w:t>
      </w:r>
    </w:p>
    <w:bookmarkStart w:name="z434" w:id="4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Займы, выданные сторонним и связанным компаниям </w:t>
      </w:r>
    </w:p>
    <w:bookmarkEnd w:id="432"/>
    <w:p>
      <w:pPr>
        <w:spacing w:after="0"/>
        <w:ind w:left="0"/>
        <w:jc w:val="both"/>
      </w:pPr>
      <w:r>
        <w:rPr>
          <w:rFonts w:ascii="Times New Roman"/>
          <w:b w:val="false"/>
          <w:i w:val="false"/>
          <w:color w:val="000000"/>
          <w:sz w:val="28"/>
        </w:rPr>
        <w:t xml:space="preserve">
      </w:t>
      </w:r>
      <w:r>
        <w:rPr>
          <w:rFonts w:ascii="Times New Roman"/>
          <w:b w:val="false"/>
          <w:i/>
          <w:color w:val="000000"/>
          <w:sz w:val="28"/>
        </w:rPr>
        <w:t>Kazakhmys Finance Plc</w:t>
      </w:r>
    </w:p>
    <w:p>
      <w:pPr>
        <w:spacing w:after="0"/>
        <w:ind w:left="0"/>
        <w:jc w:val="both"/>
      </w:pPr>
      <w:r>
        <w:rPr>
          <w:rFonts w:ascii="Times New Roman"/>
          <w:b w:val="false"/>
          <w:i w:val="false"/>
          <w:color w:val="000000"/>
          <w:sz w:val="28"/>
        </w:rPr>
        <w:t xml:space="preserve">
      24 января 2013 года Фонд предоставил заем Kazakhmys Finance Plc в размере 200 миллионов долларов США (эквивалент 30.812 миллионов тенге по курсу на 31 декабря 2013 года) со сроком погашения 12 (двенадцать) лет. Годовая процентная ставка по займу состоит из базовой ставки, равной шестимесячной ставке ЛИБОР, и маржи в размере 4,80%. Данный заем был предоставлен для разработки медного месторождения Жомарт. Заем был предоставлен из средств, полученных в рамках кредитной линии с Государственным Банком Развития Китая в январе 2013 года </w:t>
      </w:r>
      <w:r>
        <w:rPr>
          <w:rFonts w:ascii="Times New Roman"/>
          <w:b w:val="false"/>
          <w:i/>
          <w:color w:val="000000"/>
          <w:sz w:val="28"/>
        </w:rPr>
        <w:t>(Примечание 5.5)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ТОО "Елорда Даму"</w:t>
      </w:r>
    </w:p>
    <w:p>
      <w:pPr>
        <w:spacing w:after="0"/>
        <w:ind w:left="0"/>
        <w:jc w:val="both"/>
      </w:pPr>
      <w:r>
        <w:rPr>
          <w:rFonts w:ascii="Times New Roman"/>
          <w:b w:val="false"/>
          <w:i w:val="false"/>
          <w:color w:val="000000"/>
          <w:sz w:val="28"/>
        </w:rPr>
        <w:t>
      25 декабря 2013 года ТОО "Елорда Даму" осуществил досрочное погашение займа, выданного в 2012 году, в размере 20.000 миллионов тенге.</w:t>
      </w:r>
    </w:p>
    <w:bookmarkStart w:name="z435" w:id="433"/>
    <w:p>
      <w:pPr>
        <w:spacing w:after="0"/>
        <w:ind w:left="0"/>
        <w:jc w:val="both"/>
      </w:pPr>
      <w:r>
        <w:rPr>
          <w:rFonts w:ascii="Times New Roman"/>
          <w:b w:val="false"/>
          <w:i w:val="false"/>
          <w:color w:val="000000"/>
          <w:sz w:val="28"/>
        </w:rPr>
        <w:t xml:space="preserve">
      </w:t>
      </w:r>
      <w:r>
        <w:rPr>
          <w:rFonts w:ascii="Times New Roman"/>
          <w:b/>
          <w:i w:val="false"/>
          <w:color w:val="000000"/>
          <w:sz w:val="28"/>
        </w:rPr>
        <w:t>Займы, выданные дочерним организациям</w:t>
      </w:r>
    </w:p>
    <w:bookmarkEnd w:id="433"/>
    <w:p>
      <w:pPr>
        <w:spacing w:after="0"/>
        <w:ind w:left="0"/>
        <w:jc w:val="both"/>
      </w:pPr>
      <w:r>
        <w:rPr>
          <w:rFonts w:ascii="Times New Roman"/>
          <w:b w:val="false"/>
          <w:i w:val="false"/>
          <w:color w:val="000000"/>
          <w:sz w:val="28"/>
        </w:rPr>
        <w:t xml:space="preserve">
      </w:t>
      </w:r>
      <w:r>
        <w:rPr>
          <w:rFonts w:ascii="Times New Roman"/>
          <w:b w:val="false"/>
          <w:i/>
          <w:color w:val="000000"/>
          <w:sz w:val="28"/>
        </w:rPr>
        <w:t>АО "Национальная Компания "Қазақстан Темір Жолы"</w:t>
      </w:r>
    </w:p>
    <w:p>
      <w:pPr>
        <w:spacing w:after="0"/>
        <w:ind w:left="0"/>
        <w:jc w:val="both"/>
      </w:pPr>
      <w:r>
        <w:rPr>
          <w:rFonts w:ascii="Times New Roman"/>
          <w:b w:val="false"/>
          <w:i w:val="false"/>
          <w:color w:val="000000"/>
          <w:sz w:val="28"/>
        </w:rPr>
        <w:t>
      31 января 2013 года Фонд заключил договор займа с АО "Национальная Компания "Қазақстан Темір Жолы", в соответствии с которым Фонд предоставил заем в размере 118.346 миллионов тенге, со сроком погашения до 2062 года и ставкой вознаграждения 0,1%. Данный заем был предоставлен для финансирования строительства железных дорог "Жезказган-Бейнеу" и "Аркалык-Шубарколь".</w:t>
      </w:r>
    </w:p>
    <w:p>
      <w:pPr>
        <w:spacing w:after="0"/>
        <w:ind w:left="0"/>
        <w:jc w:val="both"/>
      </w:pPr>
      <w:r>
        <w:rPr>
          <w:rFonts w:ascii="Times New Roman"/>
          <w:b w:val="false"/>
          <w:i w:val="false"/>
          <w:color w:val="000000"/>
          <w:sz w:val="28"/>
        </w:rPr>
        <w:t xml:space="preserve">
      7 марта 2013 года Фонд заключил договор займа с АО "Национальная Компания "Қазақстан Темір Жолы", в соответствии с которым Фонд предоставил заем в размере 24.673 миллиона тенге, со сроком погашения до 2038 года и ставкой вознаграждения 0,75% для финансирования обновления парка подвижного состава железнодорожных пассажирских вагонов АО "Пассажирские перевозки". </w:t>
      </w:r>
    </w:p>
    <w:p>
      <w:pPr>
        <w:spacing w:after="0"/>
        <w:ind w:left="0"/>
        <w:jc w:val="both"/>
      </w:pPr>
      <w:r>
        <w:rPr>
          <w:rFonts w:ascii="Times New Roman"/>
          <w:b w:val="false"/>
          <w:i w:val="false"/>
          <w:color w:val="000000"/>
          <w:sz w:val="28"/>
        </w:rPr>
        <w:t>
      23 июля 2013 года и 28 декабря 2013 года Фонд заключил договора займов с АО "Национальная Компания "Қазақстан Темір Жолы", в соответствии с которыми Фонд предоставил займы в размере 51.298 миллионов тенге и 8.166 миллионов тенге, соответственно, со сроком погашения до 2062 года и ставкой вознаграждения 0,1% для финансирования строительства железной дороги "Жезгазган-Бейнеу".</w:t>
      </w:r>
    </w:p>
    <w:p>
      <w:pPr>
        <w:spacing w:after="0"/>
        <w:ind w:left="0"/>
        <w:jc w:val="both"/>
      </w:pPr>
      <w:r>
        <w:rPr>
          <w:rFonts w:ascii="Times New Roman"/>
          <w:b w:val="false"/>
          <w:i w:val="false"/>
          <w:color w:val="000000"/>
          <w:sz w:val="28"/>
        </w:rPr>
        <w:t xml:space="preserve">
      Финансирование данных займов осуществлено за счет повторного использования антикризисных средств в соответствии с протоколами заседания Государственной комиссии по вопросам модернизации экономики Республики Казахстан № 17-5/И-380 от 5 апреля 2012 года и № 17-5/11-10 от 30 января 2013 года. При первоначальном признании данные займы были оценены по справедливой стоимости, составляющей 15.908 миллионов тенге, с использованием соответствующих рыночных ставок вознаграждения. Разница между номинальной стоимостью займов и их справедливой стоимостью в размере 186.575 миллионов тенге была признана как увеличение инвестиций в АО "Национальная Компания "Қазақстан Темір Жолы" </w:t>
      </w:r>
      <w:r>
        <w:rPr>
          <w:rFonts w:ascii="Times New Roman"/>
          <w:b w:val="false"/>
          <w:i/>
          <w:color w:val="000000"/>
          <w:sz w:val="28"/>
        </w:rPr>
        <w:t>(Примечание 5.4)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АО "Фонд недвижимости "Самрук-Казына"</w:t>
      </w:r>
    </w:p>
    <w:p>
      <w:pPr>
        <w:spacing w:after="0"/>
        <w:ind w:left="0"/>
        <w:jc w:val="both"/>
      </w:pPr>
      <w:r>
        <w:rPr>
          <w:rFonts w:ascii="Times New Roman"/>
          <w:b w:val="false"/>
          <w:i w:val="false"/>
          <w:color w:val="000000"/>
          <w:sz w:val="28"/>
        </w:rPr>
        <w:t xml:space="preserve">
      В 2012 году Фонд заключил договор возобновляемой кредитной линии (с лимитом линии в размере 99.053 миллиона тенге) с АО "Фонд недвижимости "Самрук-Казына", в соответствии с которой в 2013 году Фонд предоставил дополнительные транши АО "Фонд недвижимости "Самрук-Казына" на общую сумму 28.100 миллионов тенге, со сроком погашения до 31 июля 2022 года, для финансирования проектов жилищного строительства в рамках </w:t>
      </w:r>
      <w:r>
        <w:rPr>
          <w:rFonts w:ascii="Times New Roman"/>
          <w:b w:val="false"/>
          <w:i w:val="false"/>
          <w:color w:val="000000"/>
          <w:sz w:val="28"/>
        </w:rPr>
        <w:t>Программы</w:t>
      </w:r>
      <w:r>
        <w:rPr>
          <w:rFonts w:ascii="Times New Roman"/>
          <w:b w:val="false"/>
          <w:i w:val="false"/>
          <w:color w:val="000000"/>
          <w:sz w:val="28"/>
        </w:rPr>
        <w:t xml:space="preserve"> "Доступное жилье - 2020", утвержденной постановлением Правительства Республики Казахстан № 821 от 21 июня 2012 года. Данные займы были предоставлены за счет средств Национального Фонда в соответствии с протоколом заседания Государственной комиссии по вопросам модернизации экономики Республики Казахстан № 175/И 380 от 5 апреля 2012 года и с учетом перераспределения средств в соответствии с протоколом заседания Государственной комиссии по вопросам модернизации экономики Республики Казахстан № 175/1110 от 30 января 2013 года.</w:t>
      </w:r>
    </w:p>
    <w:p>
      <w:pPr>
        <w:spacing w:after="0"/>
        <w:ind w:left="0"/>
        <w:jc w:val="both"/>
      </w:pPr>
      <w:r>
        <w:rPr>
          <w:rFonts w:ascii="Times New Roman"/>
          <w:b w:val="false"/>
          <w:i w:val="false"/>
          <w:color w:val="000000"/>
          <w:sz w:val="28"/>
        </w:rPr>
        <w:t>
      В соответствии с условиями кредитной линии, Фонд имеет право в любое время требовать от АО "Фонд недвижимости "Самрук-Казына" досрочного погашения займов или их части, а АО "Фонд недвижимости "Самрук-Казына" обязуется произвести погашение в случае требования Фонда. В связи с этим условием, Фонд классифицирует все займы, выданные в рамках данной кредитной линии, как краткосрочные.</w:t>
      </w:r>
    </w:p>
    <w:p>
      <w:pPr>
        <w:spacing w:after="0"/>
        <w:ind w:left="0"/>
        <w:jc w:val="both"/>
      </w:pPr>
      <w:r>
        <w:rPr>
          <w:rFonts w:ascii="Times New Roman"/>
          <w:b w:val="false"/>
          <w:i w:val="false"/>
          <w:color w:val="000000"/>
          <w:sz w:val="28"/>
        </w:rPr>
        <w:t xml:space="preserve">
      В 2013 году АО "Фонд недвижимости "Самрук-Казына" осуществил частичное досрочное погашение займов на сумму 4.335 миллионов тенге. </w:t>
      </w:r>
    </w:p>
    <w:bookmarkStart w:name="z436" w:id="434"/>
    <w:p>
      <w:pPr>
        <w:spacing w:after="0"/>
        <w:ind w:left="0"/>
        <w:jc w:val="both"/>
      </w:pPr>
      <w:r>
        <w:rPr>
          <w:rFonts w:ascii="Times New Roman"/>
          <w:b w:val="false"/>
          <w:i w:val="false"/>
          <w:color w:val="000000"/>
          <w:sz w:val="28"/>
        </w:rPr>
        <w:t xml:space="preserve">
      </w:t>
      </w:r>
      <w:r>
        <w:rPr>
          <w:rFonts w:ascii="Times New Roman"/>
          <w:b/>
          <w:i w:val="false"/>
          <w:color w:val="000000"/>
          <w:sz w:val="28"/>
        </w:rPr>
        <w:t>Средства в кредитных учреждениях</w:t>
      </w:r>
    </w:p>
    <w:bookmarkEnd w:id="434"/>
    <w:p>
      <w:pPr>
        <w:spacing w:after="0"/>
        <w:ind w:left="0"/>
        <w:jc w:val="both"/>
      </w:pPr>
      <w:r>
        <w:rPr>
          <w:rFonts w:ascii="Times New Roman"/>
          <w:b w:val="false"/>
          <w:i w:val="false"/>
          <w:color w:val="000000"/>
          <w:sz w:val="28"/>
        </w:rPr>
        <w:t>
      На 31 декабря средства в кредитных учреждениях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5154"/>
        <w:gridCol w:w="5154"/>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крупнейших местных банков</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268.195.000</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266.215.000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местные кредитные учреждения</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110.793.000</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123.172.000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8.324.000</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5.153.000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средств в кредитных учреждениях</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387.312.000</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394.540.000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(41.160.000)</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(32.760.000)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346.152.000</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361.780.000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4883"/>
        <w:gridCol w:w="4884"/>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выше BB+</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23.454.000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от В до ВВ-</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109.253.000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118.380.000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В-</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9.940.000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ниже В-</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163.114.000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141.767.000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отсутствует</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81.551.000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98.037.000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387.312.000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394.540.000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и 2012 годов у Фонда отсутствовали просроченные и обесцененные средства в кредитных учреждениях.</w:t>
      </w:r>
    </w:p>
    <w:p>
      <w:pPr>
        <w:spacing w:after="0"/>
        <w:ind w:left="0"/>
        <w:jc w:val="both"/>
      </w:pPr>
      <w:r>
        <w:rPr>
          <w:rFonts w:ascii="Times New Roman"/>
          <w:b w:val="false"/>
          <w:i w:val="false"/>
          <w:color w:val="000000"/>
          <w:sz w:val="28"/>
        </w:rPr>
        <w:t>
      Средства в кредитных учреждениях, в основном, представляют собой средства, размещенные в банках и других финансовых организациях в целях финансирования мероприятий в рамках Плана Стабилизации.</w:t>
      </w:r>
    </w:p>
    <w:p>
      <w:pPr>
        <w:spacing w:after="0"/>
        <w:ind w:left="0"/>
        <w:jc w:val="both"/>
      </w:pPr>
      <w:r>
        <w:rPr>
          <w:rFonts w:ascii="Times New Roman"/>
          <w:b w:val="false"/>
          <w:i w:val="false"/>
          <w:color w:val="000000"/>
          <w:sz w:val="28"/>
        </w:rPr>
        <w:t>
      Общая сумма возврата средств за 2013 год составила 28.989 миллионов тенге, включая возврат АО "Фонд развития предпринимательства "Даму" в размере 20.778 миллионов тенге (2012: 49.730 миллионов тенге и 42.892 миллиона тенге, соответственно).</w:t>
      </w:r>
    </w:p>
    <w:p>
      <w:pPr>
        <w:spacing w:after="0"/>
        <w:ind w:left="0"/>
        <w:jc w:val="both"/>
      </w:pPr>
      <w:r>
        <w:rPr>
          <w:rFonts w:ascii="Times New Roman"/>
          <w:b w:val="false"/>
          <w:i w:val="false"/>
          <w:color w:val="000000"/>
          <w:sz w:val="28"/>
        </w:rPr>
        <w:t>
      На 31 декабря 2013 года средства в кредитных учреждениях в основном представлены займами, предоставленными следующим финансовым организациям:</w:t>
      </w:r>
    </w:p>
    <w:p>
      <w:pPr>
        <w:spacing w:after="0"/>
        <w:ind w:left="0"/>
        <w:jc w:val="both"/>
      </w:pPr>
      <w:r>
        <w:rPr>
          <w:rFonts w:ascii="Times New Roman"/>
          <w:b w:val="false"/>
          <w:i w:val="false"/>
          <w:color w:val="000000"/>
          <w:sz w:val="28"/>
        </w:rPr>
        <w:t xml:space="preserve">
      - АО "Фонд развития предпринимательства "Даму" на сумму 55.170 миллионов тенге (2012: 72.638 миллионов тенге) для целей финансирования субъектов малого и среднего бизнеса, из которых 32.360 миллионов тенге (2012: 44.690 миллионов тенге) представляли средства, размещенные в рамках Плана Стабилизации </w:t>
      </w:r>
      <w:r>
        <w:rPr>
          <w:rFonts w:ascii="Times New Roman"/>
          <w:b w:val="false"/>
          <w:i/>
          <w:color w:val="000000"/>
          <w:sz w:val="28"/>
        </w:rPr>
        <w:t>(Примечание 1)</w:t>
      </w:r>
      <w:r>
        <w:rPr>
          <w:rFonts w:ascii="Times New Roman"/>
          <w:b w:val="false"/>
          <w:i w:val="false"/>
          <w:color w:val="000000"/>
          <w:sz w:val="28"/>
        </w:rPr>
        <w:t>. Проценты по данным займам начислялись в размере от 4,51% до 7% годовых;</w:t>
      </w:r>
    </w:p>
    <w:p>
      <w:pPr>
        <w:spacing w:after="0"/>
        <w:ind w:left="0"/>
        <w:jc w:val="both"/>
      </w:pPr>
      <w:r>
        <w:rPr>
          <w:rFonts w:ascii="Times New Roman"/>
          <w:b w:val="false"/>
          <w:i w:val="false"/>
          <w:color w:val="000000"/>
          <w:sz w:val="28"/>
        </w:rPr>
        <w:t>
      - АО "Банк Развития Казахстана" для целей снижения ставки кредитования инвестиционных проектов в приоритетных отраслях экономики, снижения стоимости фондирования финансового лизинга и стимулирования экспорта казахстанских локомотивов в размере 2.850 миллионов тенге, 17.301 миллион тенге и 3.304 миллиона тенге, соответственно (2012: 2.659 миллионов тенге, 16.542 миллиона тенге и ноль тенге, соответственно).</w:t>
      </w:r>
    </w:p>
    <w:p>
      <w:pPr>
        <w:spacing w:after="0"/>
        <w:ind w:left="0"/>
        <w:jc w:val="both"/>
      </w:pPr>
      <w:r>
        <w:rPr>
          <w:rFonts w:ascii="Times New Roman"/>
          <w:b w:val="false"/>
          <w:i w:val="false"/>
          <w:color w:val="000000"/>
          <w:sz w:val="28"/>
        </w:rPr>
        <w:t xml:space="preserve">
      - Банкам второго уровня на рефинансирование ипотечных займов, строительство жилых объектов в городах Астана и Алматы и предоставление промежуточных жилищных займов в размере 109.310 миллионов тенге (2012: 116.346 миллионов тенге), 53.366 миллионов тенге (2012:53.661 миллион тенге) и 26.381 миллион тенге (2012: 25.399 миллионов тенге), соответственно. Часть средств, предоставленных банкам второго уровня на рефинансирование ипотечных займов и строительство жилых объектов в городах Астана и Алматы в размере 162.676 миллионов тенге (2012: 170.007 миллионов тенге) являются средствами, размещенными в рамках Плана Стабилизации. Вознаграждение по данным займам начислялось в размере от 3,74% до 7,28% годовых. </w:t>
      </w:r>
    </w:p>
    <w:bookmarkStart w:name="z437" w:id="435"/>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435"/>
    <w:p>
      <w:pPr>
        <w:spacing w:after="0"/>
        <w:ind w:left="0"/>
        <w:jc w:val="both"/>
      </w:pPr>
      <w:r>
        <w:rPr>
          <w:rFonts w:ascii="Times New Roman"/>
          <w:b w:val="false"/>
          <w:i w:val="false"/>
          <w:color w:val="000000"/>
          <w:sz w:val="28"/>
        </w:rPr>
        <w:t xml:space="preserve">
      </w:t>
      </w:r>
      <w:r>
        <w:rPr>
          <w:rFonts w:ascii="Times New Roman"/>
          <w:b w:val="false"/>
          <w:i/>
          <w:color w:val="000000"/>
          <w:sz w:val="28"/>
        </w:rPr>
        <w:t>АО "БТА Банк"</w:t>
      </w:r>
    </w:p>
    <w:p>
      <w:pPr>
        <w:spacing w:after="0"/>
        <w:ind w:left="0"/>
        <w:jc w:val="both"/>
      </w:pPr>
      <w:r>
        <w:rPr>
          <w:rFonts w:ascii="Times New Roman"/>
          <w:b w:val="false"/>
          <w:i w:val="false"/>
          <w:color w:val="000000"/>
          <w:sz w:val="28"/>
        </w:rPr>
        <w:t xml:space="preserve">
      19 декабря 2012 года Фонд заключил договор займа с БТА, в соответствии с которым Фонд предоставил займ в размере 239.771 миллион тенге, со сроком погашения до 2024 года и ставкой вознаграждения 4%. Данный заем предоставлен для выплаты доли наличных средств в суммах компенсации, подлежащих уплате в порядке, описанном в Информационном меморандуме, и для общих банковских целей в рамках реструктуризации обязательств БТА. Финансирование займа было осуществлено за счет выпуска облигаций в размере 143.196 миллионов тенге </w:t>
      </w:r>
      <w:r>
        <w:rPr>
          <w:rFonts w:ascii="Times New Roman"/>
          <w:b w:val="false"/>
          <w:i/>
          <w:color w:val="000000"/>
          <w:sz w:val="28"/>
        </w:rPr>
        <w:t>(Примечание 5.5)</w:t>
      </w:r>
      <w:r>
        <w:rPr>
          <w:rFonts w:ascii="Times New Roman"/>
          <w:b w:val="false"/>
          <w:i w:val="false"/>
          <w:color w:val="000000"/>
          <w:sz w:val="28"/>
        </w:rPr>
        <w:t xml:space="preserve"> и собственных средств Фонда в размере 96.575 миллионов тенге.</w:t>
      </w:r>
    </w:p>
    <w:p>
      <w:pPr>
        <w:spacing w:after="0"/>
        <w:ind w:left="0"/>
        <w:jc w:val="both"/>
      </w:pPr>
      <w:r>
        <w:rPr>
          <w:rFonts w:ascii="Times New Roman"/>
          <w:b w:val="false"/>
          <w:i w:val="false"/>
          <w:color w:val="000000"/>
          <w:sz w:val="28"/>
        </w:rPr>
        <w:t>
      При первоначальном признании данный заем был оценен по справедливой стоимости, составляющей 105.672 миллиона тенге, с использованием соответствующих рыночных ставок вознаграждения. Разница между номинальной стоимостью займов и их справедливой стоимостью в размере 134.099 миллионов тенге была признана как увеличение инвестиций в БТА.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Обесценение средств в кредитных учреждениях</w:t>
      </w:r>
    </w:p>
    <w:p>
      <w:pPr>
        <w:spacing w:after="0"/>
        <w:ind w:left="0"/>
        <w:jc w:val="both"/>
      </w:pPr>
      <w:r>
        <w:rPr>
          <w:rFonts w:ascii="Times New Roman"/>
          <w:b w:val="false"/>
          <w:i w:val="false"/>
          <w:color w:val="000000"/>
          <w:sz w:val="28"/>
        </w:rPr>
        <w:t>
      В связи с ухудшением финансового положения, относительной ограниченностью в ликвидных средствах и отрицательным финансовым результатом БТА в течение 2011 года, Фонд признал убыток от обесценения средств в кредитных учреждениях в размере 36.999 миллионов тенге, размещенных в данном банке по состоянию на 31 декабря 2011 года. В 2012 году Фонд полностью сторнировал накопленное обесценение по данным активам в связи с осуществлением второй реструктуризации обязательств БТА и улучшением его финансового состояния.</w:t>
      </w:r>
    </w:p>
    <w:bookmarkStart w:name="z438" w:id="436"/>
    <w:p>
      <w:pPr>
        <w:spacing w:after="0"/>
        <w:ind w:left="0"/>
        <w:jc w:val="both"/>
      </w:pPr>
      <w:r>
        <w:rPr>
          <w:rFonts w:ascii="Times New Roman"/>
          <w:b w:val="false"/>
          <w:i w:val="false"/>
          <w:color w:val="000000"/>
          <w:sz w:val="28"/>
        </w:rPr>
        <w:t xml:space="preserve">
      </w:t>
      </w:r>
      <w:r>
        <w:rPr>
          <w:rFonts w:ascii="Times New Roman"/>
          <w:b/>
          <w:i w:val="false"/>
          <w:color w:val="000000"/>
          <w:sz w:val="28"/>
        </w:rPr>
        <w:t>Банковские депозиты</w:t>
      </w:r>
    </w:p>
    <w:bookmarkEnd w:id="436"/>
    <w:p>
      <w:pPr>
        <w:spacing w:after="0"/>
        <w:ind w:left="0"/>
        <w:jc w:val="both"/>
      </w:pPr>
      <w:r>
        <w:rPr>
          <w:rFonts w:ascii="Times New Roman"/>
          <w:b w:val="false"/>
          <w:i w:val="false"/>
          <w:color w:val="000000"/>
          <w:sz w:val="28"/>
        </w:rPr>
        <w:t>
      На 31 декабря банковские депозиты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5223"/>
        <w:gridCol w:w="5224"/>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крупнейших местных банков</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399.736.507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284.155.000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местные кредитные учреждения</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113.100.000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73.198.000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5.578.264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банковских депозитов</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518.414.771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364.476.000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(321.735.000)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(159.923.000)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196.679.771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204.553.000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4883"/>
        <w:gridCol w:w="4884"/>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выше BB+</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20.302.466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29.957.000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от В до ВВ-</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244.698.765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190.012.000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В-</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99.076.221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54.115.000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ниже В-</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152.624.977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89.894.000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отсутствует</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1.712.342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518.414.771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Размещение временно свободных денежных средств</w:t>
      </w:r>
    </w:p>
    <w:p>
      <w:pPr>
        <w:spacing w:after="0"/>
        <w:ind w:left="0"/>
        <w:jc w:val="both"/>
      </w:pPr>
      <w:r>
        <w:rPr>
          <w:rFonts w:ascii="Times New Roman"/>
          <w:b w:val="false"/>
          <w:i w:val="false"/>
          <w:color w:val="000000"/>
          <w:sz w:val="28"/>
        </w:rPr>
        <w:t xml:space="preserve">
      В рамках политики по управлению временно свободными денежными средствами, Фонд размещает депозиты в крупных казахстанских банках второго уровня. </w:t>
      </w:r>
    </w:p>
    <w:p>
      <w:pPr>
        <w:spacing w:after="0"/>
        <w:ind w:left="0"/>
        <w:jc w:val="both"/>
      </w:pPr>
      <w:r>
        <w:rPr>
          <w:rFonts w:ascii="Times New Roman"/>
          <w:b w:val="false"/>
          <w:i w:val="false"/>
          <w:color w:val="000000"/>
          <w:sz w:val="28"/>
        </w:rPr>
        <w:t>
      По состоянию на 31 декабря 2013 года средневзвешенная ставка по долгосрочным банковским депозитам составила 8,03% годовых (на 31 декабря 2012 года: 7,81%), средневзвешенная ставка по краткосрочным банковским депозитам составила 7,88 % годовых (на 31 декабря 2012 года: 7,74%).</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Обесценение депозитов в АО "БТА Банк"</w:t>
      </w:r>
    </w:p>
    <w:p>
      <w:pPr>
        <w:spacing w:after="0"/>
        <w:ind w:left="0"/>
        <w:jc w:val="both"/>
      </w:pPr>
      <w:r>
        <w:rPr>
          <w:rFonts w:ascii="Times New Roman"/>
          <w:b w:val="false"/>
          <w:i w:val="false"/>
          <w:color w:val="000000"/>
          <w:sz w:val="28"/>
        </w:rPr>
        <w:t>
      В связи с ухудшением финансового состояния, относительной ограниченностью в ликвидных средствах и отрицательным финансовым результатом БТА в течение 2011 года, Фонд признал убыток от обесценения банковских депозитов в размере 245.068 миллионов тенге, размещенных в данном банке по состоянию на 31 декабря 2011 года. В 2012 году Фонд полностью сторнировал накопленное обесценение по данным активам в связи с осуществлением второй реструктуризации обязательств БТА и улучшением его финансового состояния.</w:t>
      </w:r>
    </w:p>
    <w:bookmarkStart w:name="z439" w:id="437"/>
    <w:p>
      <w:pPr>
        <w:spacing w:after="0"/>
        <w:ind w:left="0"/>
        <w:jc w:val="both"/>
      </w:pPr>
      <w:r>
        <w:rPr>
          <w:rFonts w:ascii="Times New Roman"/>
          <w:b w:val="false"/>
          <w:i w:val="false"/>
          <w:color w:val="000000"/>
          <w:sz w:val="28"/>
        </w:rPr>
        <w:t xml:space="preserve">
      </w:t>
      </w:r>
      <w:r>
        <w:rPr>
          <w:rFonts w:ascii="Times New Roman"/>
          <w:b/>
          <w:i w:val="false"/>
          <w:color w:val="000000"/>
          <w:sz w:val="28"/>
        </w:rPr>
        <w:t>5.4 Прочие долгосрочные активы</w:t>
      </w:r>
    </w:p>
    <w:bookmarkEnd w:id="437"/>
    <w:p>
      <w:pPr>
        <w:spacing w:after="0"/>
        <w:ind w:left="0"/>
        <w:jc w:val="both"/>
      </w:pPr>
      <w:r>
        <w:rPr>
          <w:rFonts w:ascii="Times New Roman"/>
          <w:b w:val="false"/>
          <w:i w:val="false"/>
          <w:color w:val="000000"/>
          <w:sz w:val="28"/>
        </w:rPr>
        <w:t>
      На 31 декабря прочие долгосрочные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5623"/>
        <w:gridCol w:w="5623"/>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2.993.877.516</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3.231.412.000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компании</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18.455.077</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53.548</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3.012.386.141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3.250.068.330</w:t>
            </w:r>
          </w:p>
        </w:tc>
      </w:tr>
    </w:tbl>
    <w:p>
      <w:pPr>
        <w:spacing w:after="0"/>
        <w:ind w:left="0"/>
        <w:jc w:val="left"/>
      </w:pPr>
      <w:r>
        <w:br/>
      </w:r>
      <w:r>
        <w:rPr>
          <w:rFonts w:ascii="Times New Roman"/>
          <w:b w:val="false"/>
          <w:i w:val="false"/>
          <w:color w:val="000000"/>
          <w:sz w:val="28"/>
        </w:rPr>
        <w:t>
</w:t>
      </w:r>
    </w:p>
    <w:bookmarkStart w:name="z440" w:id="438"/>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Инвестиции в дочерние организации</w:t>
      </w:r>
    </w:p>
    <w:bookmarkEnd w:id="438"/>
    <w:p>
      <w:pPr>
        <w:spacing w:after="0"/>
        <w:ind w:left="0"/>
        <w:jc w:val="both"/>
      </w:pPr>
      <w:r>
        <w:rPr>
          <w:rFonts w:ascii="Times New Roman"/>
          <w:b w:val="false"/>
          <w:i w:val="false"/>
          <w:color w:val="000000"/>
          <w:sz w:val="28"/>
        </w:rPr>
        <w:t xml:space="preserve">
      В следующей таблице представлены инвестиции в дочерние организации Фонда, их деятельность, страна регистрации или местонахождения, а также доля Фонда в этих дочерних организациях: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790"/>
        <w:gridCol w:w="213"/>
        <w:gridCol w:w="2020"/>
        <w:gridCol w:w="2238"/>
        <w:gridCol w:w="1364"/>
        <w:gridCol w:w="1364"/>
      </w:tblGrid>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деятельности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"Казақстан ТемірЖолы"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и пассажирские железнодорожные перевозки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1.078.596.000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835.476.000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"КазМунайГаз"</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Нефтегазовая промышленность</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947.531.000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928.806.000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"Самрук–Энерго"</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транспортировка тепла и электроэнергии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263.651.000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254.652.000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"НГK "Тау-Кен Самрук"</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горнорудной отрасли РК</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211.546.000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Атомная Компания "Казатомпром"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урана</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147.275.000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147.275.000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"Альянс Банк"</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142.075.000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142.075.000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"Казахстанская компания по управлению электрическими сетями"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электроэнергии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113.532.000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113.129.000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фиксированной связи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88.733.000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88.733.000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"Объединенная химическая компания"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химической отрасли РК</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62.365.000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40.428.000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недвижимости "Самрук-Казына"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рынка недвижимости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"Казпочта"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деятельность и финансовые услуги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"Казахстан Инжиниринг"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 и оборонная отрасль</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"Эйр Астана"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авиаперевозки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Актобе"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аэропорта</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"Самрук–Казына Инвест"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услуги по инвестиционным проектам</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"Аэропорт Павлодар"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аэропорта</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"Самрук-Казына Контракт"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проектами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Атырау"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аэропорта</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"КазНИИ энергетики имени академика Ш.Ч. Чокина"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деятельность</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"КОРЭМ"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рынка электроэнергии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"Карагандагипрошахт и К"</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деятельности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IM</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операции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Management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операции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SLP</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операции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1.320.026.000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Развития Казахстана"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инвестиционная деятельность</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312.614.000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"Kazyna Capital Management"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инвестиционных фондов</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69.444.000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развития предпринимательства "Даму"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малого предпринимательства</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67.771.000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"Инвестиционный Фонд Казахстана"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реализации стратегии индустриально-инновационного развития</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33.268.000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"Темiрбанк"</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23.488.000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"Экспортно-кредитная страховая корпорация "КазЭкспортГарант"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страхования</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геологоразведки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"Восточно-Казахстанская региональная энергетическая компания"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электроэнергии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"СК-Фармация"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лекарственных средств в рамках гарантированной медицинской помощи населению</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(135.827.484)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(1.252.864.000)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2.993.877.516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3.231.412.000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февраля 2013 года Фонд осуществил приобретение 29,8221% доли участия в уставном капитале ТОО "Казцинк" путем приобретения 100% долей участия в уставных капиталах ТОО "Logic Business", ТОО "Logic Invest Capital" и ТОО "Инвестиционный дом "Дана", владеющих по 9,9407 % долей участия в ТОО "Казцинк", на общую сумму 248.838 миллионов тенге (стоимость каждой компании составила 82.946 миллионов тенге). Приобретение было произведено за счет средств, полученных от реализации облигаций Фонда </w:t>
      </w:r>
      <w:r>
        <w:rPr>
          <w:rFonts w:ascii="Times New Roman"/>
          <w:b w:val="false"/>
          <w:i/>
          <w:color w:val="000000"/>
          <w:sz w:val="28"/>
        </w:rPr>
        <w:t>(Примечание 5.5)</w:t>
      </w:r>
      <w:r>
        <w:rPr>
          <w:rFonts w:ascii="Times New Roman"/>
          <w:b w:val="false"/>
          <w:i w:val="false"/>
          <w:color w:val="000000"/>
          <w:sz w:val="28"/>
        </w:rPr>
        <w:t xml:space="preserve">. В августе 2013 года Фонд произвел передачу долей участия в данных компаниях в уставный капитал АО "НГК "Тау-Кен Самрук". </w:t>
      </w:r>
    </w:p>
    <w:p>
      <w:pPr>
        <w:spacing w:after="0"/>
        <w:ind w:left="0"/>
        <w:jc w:val="both"/>
      </w:pPr>
      <w:r>
        <w:rPr>
          <w:rFonts w:ascii="Times New Roman"/>
          <w:b w:val="false"/>
          <w:i w:val="false"/>
          <w:color w:val="000000"/>
          <w:sz w:val="28"/>
        </w:rPr>
        <w:t>
      14 марта 2013 года Фонд осуществил передачу 100% акций в АО "Восточно-Казахстанская региональная энергетическая компания" с балансовой стоимостью 7.723 миллиона тенге в уставный капитал АО "Самрук-Энерго".</w:t>
      </w:r>
    </w:p>
    <w:p>
      <w:pPr>
        <w:spacing w:after="0"/>
        <w:ind w:left="0"/>
        <w:jc w:val="both"/>
      </w:pPr>
      <w:r>
        <w:rPr>
          <w:rFonts w:ascii="Times New Roman"/>
          <w:b w:val="false"/>
          <w:i w:val="false"/>
          <w:color w:val="000000"/>
          <w:sz w:val="28"/>
        </w:rPr>
        <w:t xml:space="preserve">
      12 декабря 2013 года Фонд осуществил передачу 100% акций в АО "Национальная Компания "Актауский международный морской торговый порт" с балансовой стоимостью 26.234 миллиона тенге в уставный капитал АО "Национальная Компания "КазақстанТемірЖолы" </w:t>
      </w:r>
      <w:r>
        <w:rPr>
          <w:rFonts w:ascii="Times New Roman"/>
          <w:b w:val="false"/>
          <w:i/>
          <w:color w:val="000000"/>
          <w:sz w:val="28"/>
        </w:rPr>
        <w:t xml:space="preserve">(Примечание 5.7). </w:t>
      </w:r>
    </w:p>
    <w:p>
      <w:pPr>
        <w:spacing w:after="0"/>
        <w:ind w:left="0"/>
        <w:jc w:val="both"/>
      </w:pPr>
      <w:r>
        <w:rPr>
          <w:rFonts w:ascii="Times New Roman"/>
          <w:b w:val="false"/>
          <w:i w:val="false"/>
          <w:color w:val="000000"/>
          <w:sz w:val="28"/>
        </w:rPr>
        <w:t>
      В 2013 году Фонд осуществил следующие вклады в уставный капитал:</w:t>
      </w:r>
    </w:p>
    <w:p>
      <w:pPr>
        <w:spacing w:after="0"/>
        <w:ind w:left="0"/>
        <w:jc w:val="both"/>
      </w:pPr>
      <w:r>
        <w:rPr>
          <w:rFonts w:ascii="Times New Roman"/>
          <w:b w:val="false"/>
          <w:i w:val="false"/>
          <w:color w:val="000000"/>
          <w:sz w:val="28"/>
        </w:rPr>
        <w:t xml:space="preserve">
      - АО "Национальная Компания "КазақстанТемірЖолы" в размере 30.311 миллионов тенге. Вклады были осуществлены в денежной форме за счет средств, полученных из Республиканского бюджета, в размере 30.000 миллионов тенге, и в форме имущественного вклада в размере 311 миллионов тенге, соответственно </w:t>
      </w:r>
      <w:r>
        <w:rPr>
          <w:rFonts w:ascii="Times New Roman"/>
          <w:b w:val="false"/>
          <w:i/>
          <w:color w:val="000000"/>
          <w:sz w:val="28"/>
        </w:rPr>
        <w:t>(Примечание 5.7)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АО "Национальная Компания "КазМунайГаз" (далее "НК КМГ") в размере 18.725 миллионов тенге, в том числе в форме денежного вклада в размере 8.917 миллионов тенге за счет средств, полученных из Республиканского бюджета, и в форме имущественного вклада в размере 9.808 миллионов тенге </w:t>
      </w:r>
      <w:r>
        <w:rPr>
          <w:rFonts w:ascii="Times New Roman"/>
          <w:b w:val="false"/>
          <w:i/>
          <w:color w:val="000000"/>
          <w:sz w:val="28"/>
        </w:rPr>
        <w:t>(Примечание 5.7)</w:t>
      </w:r>
      <w:r>
        <w:rPr>
          <w:rFonts w:ascii="Times New Roman"/>
          <w:b w:val="false"/>
          <w:i w:val="false"/>
          <w:color w:val="000000"/>
          <w:sz w:val="28"/>
        </w:rPr>
        <w:t>;</w:t>
      </w:r>
    </w:p>
    <w:p>
      <w:pPr>
        <w:spacing w:after="0"/>
        <w:ind w:left="0"/>
        <w:jc w:val="both"/>
      </w:pPr>
      <w:r>
        <w:rPr>
          <w:rFonts w:ascii="Times New Roman"/>
          <w:b w:val="false"/>
          <w:i w:val="false"/>
          <w:color w:val="000000"/>
          <w:sz w:val="28"/>
        </w:rPr>
        <w:t>
      - ТОО "Объединенная химическая компания" в размере 21.937 миллионов тенге. Вклады были осуществлены в денежной форме, в том числе в размере 17.062 миллиона тенге за счет средств, предусмотренных Планом Стабилизации Правительства в соответствии с Протоколами заседания Государственной комиссии по управлению Национальным фондом №17-5/И-380 от 5 апреля 2012 года, №17-5/И-788 от 7 октября 2013 года. Денежные средства в размере 4.875 миллионов тенге для вклада в уставный капитал были выделены за счет собственных средств Фонда;</w:t>
      </w:r>
    </w:p>
    <w:p>
      <w:pPr>
        <w:spacing w:after="0"/>
        <w:ind w:left="0"/>
        <w:jc w:val="both"/>
      </w:pPr>
      <w:r>
        <w:rPr>
          <w:rFonts w:ascii="Times New Roman"/>
          <w:b w:val="false"/>
          <w:i w:val="false"/>
          <w:color w:val="000000"/>
          <w:sz w:val="28"/>
        </w:rPr>
        <w:t>
      - АО "Национальная горнорудная компания "Тау-Кен Самрук", ТОО "Самрук-Казына Инвест", АО "Казпочта", ТОО "Самрук-Казына Контракт", и АО "Казахстанская компания по управлению электрическими сетями" на общую сумму 15.331 миллион тенге. Все вклады были осуществлены в денежной форме.</w:t>
      </w:r>
    </w:p>
    <w:p>
      <w:pPr>
        <w:spacing w:after="0"/>
        <w:ind w:left="0"/>
        <w:jc w:val="both"/>
      </w:pPr>
      <w:r>
        <w:rPr>
          <w:rFonts w:ascii="Times New Roman"/>
          <w:b w:val="false"/>
          <w:i w:val="false"/>
          <w:color w:val="000000"/>
          <w:sz w:val="28"/>
        </w:rPr>
        <w:t xml:space="preserve">
      В 2013 году Фонд предоставил АО "Национальная Компания "Қазақстан Темір Жолы" займы со ставками вознаграждения ниже рыночных (Примечание 5.3), дисконт по которым в размере 186.575 миллионов тенге, рассчитанный как разница между справедливой стоимостью данных займов и их номинальной стоимостью, был признан как увеличение инвестиций в дочернюю организацию. </w:t>
      </w:r>
    </w:p>
    <w:p>
      <w:pPr>
        <w:spacing w:after="0"/>
        <w:ind w:left="0"/>
        <w:jc w:val="both"/>
      </w:pPr>
      <w:r>
        <w:rPr>
          <w:rFonts w:ascii="Times New Roman"/>
          <w:b w:val="false"/>
          <w:i w:val="false"/>
          <w:color w:val="000000"/>
          <w:sz w:val="28"/>
        </w:rPr>
        <w:t>
      В 2013 году Фонд признал финансовые гарантии в пользу кредиторов АО "Самрук-Энерго" и АО "Банк Развития Казахстана". Справедливая стоимость финансовых гарантий составила 1.212 миллионов тенге и 808 миллионов тенге, соответственно, и была признана в обязательствах и увеличила инвестиции в эти дочерние организации.</w:t>
      </w:r>
    </w:p>
    <w:p>
      <w:pPr>
        <w:spacing w:after="0"/>
        <w:ind w:left="0"/>
        <w:jc w:val="both"/>
      </w:pPr>
      <w:r>
        <w:rPr>
          <w:rFonts w:ascii="Times New Roman"/>
          <w:b w:val="false"/>
          <w:i w:val="false"/>
          <w:color w:val="000000"/>
          <w:sz w:val="28"/>
        </w:rPr>
        <w:t xml:space="preserve">
      В соответствии с протоколом совещания с участием Президента Республики Казахстан от 23 января 2013 года № 017.1 "Об итогах социально-экономического развития Республики Казахстан за 2012 год и задачах по реализации </w:t>
      </w:r>
      <w:r>
        <w:rPr>
          <w:rFonts w:ascii="Times New Roman"/>
          <w:b w:val="false"/>
          <w:i w:val="false"/>
          <w:color w:val="000000"/>
          <w:sz w:val="28"/>
        </w:rPr>
        <w:t>Стратегии</w:t>
      </w:r>
      <w:r>
        <w:rPr>
          <w:rFonts w:ascii="Times New Roman"/>
          <w:b w:val="false"/>
          <w:i w:val="false"/>
          <w:color w:val="000000"/>
          <w:sz w:val="28"/>
        </w:rPr>
        <w:t xml:space="preserve"> "Казахстан-2050" Правительству Республики Казахстан было поручено осуществить передачу институтов развития и финансовых организаций (АО "Банк Развития Казахстана", АО "Kazyna Capital Management", АО "Экспортно-кредитная страховая корпорация "КазЭкспортГарант", АО "Фонд развития предпринимательства "Даму", АО "Инвестиционный Фонд Казахстана") АО "Национальный управляющий холдинг "Байтерек", владельцем 100% акций которого является Правительство, и передачу ТОО "СК-Фармация" в Министерство здравоохранения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Изменения в инвестициях в дочерние организации</w:t>
      </w:r>
    </w:p>
    <w:p>
      <w:pPr>
        <w:spacing w:after="0"/>
        <w:ind w:left="0"/>
        <w:jc w:val="both"/>
      </w:pPr>
      <w:r>
        <w:rPr>
          <w:rFonts w:ascii="Times New Roman"/>
          <w:b w:val="false"/>
          <w:i w:val="false"/>
          <w:color w:val="000000"/>
          <w:sz w:val="28"/>
        </w:rPr>
        <w:t xml:space="preserve">
      В апреле 2013 года Фонд в соответствии с договорами доверительного управления с правом полного контроля передал пакеты акций этих дочерних организаций следующим государственным учреждениям: Министерству регионального развития Республики Казахстан – АО "Фонд развития предпринимательства "Даму", Министерству индустрии и новых технологий Республики Казахстан – АО "Банк Развития Казахстана", АО "Kazyna Capital Management", АО "Экспортно-кредитная страховая корпорация "КазЭкспортГарант", АО "Инвестиционный Фонд Казахстана", Министерству здравоохранения Республики Казахстан – </w:t>
      </w:r>
    </w:p>
    <w:p>
      <w:pPr>
        <w:spacing w:after="0"/>
        <w:ind w:left="0"/>
        <w:jc w:val="both"/>
      </w:pPr>
      <w:r>
        <w:rPr>
          <w:rFonts w:ascii="Times New Roman"/>
          <w:b w:val="false"/>
          <w:i w:val="false"/>
          <w:color w:val="000000"/>
          <w:sz w:val="28"/>
        </w:rPr>
        <w:t xml:space="preserve">
      ТОО "СК-Фармация". Таким образом, Фонд определил 10 апреля 2013 года (для АО "Фонд развития предпринимательства "Даму", АО "Банк Развития Казахстана", АО "Kazyna Capital Management", АО "Экспортно-кредитная страховая корпорация "КазЭкспортГарант", АО "Инвестиционный Фонд Казахстана") и 30 апреля 2013 года (для ТОО "СК-Фармация"), как эффективные даты потери контроля над дочерними организациями. В мае 2013 года вышеуказанные договоры доверительного управления с государственными учреждениями были аннулированы и на основании договора мены акции институтов развития и финансовых организаций были переданы Фондом в собственность Комитета государственного имущества и приватизации Министерства финансов Республики Казахстан, который в последующем передал их АО "Национальный управляющий холдинг "Байтерек" </w:t>
      </w:r>
      <w:r>
        <w:rPr>
          <w:rFonts w:ascii="Times New Roman"/>
          <w:b w:val="false"/>
          <w:i/>
          <w:color w:val="000000"/>
          <w:sz w:val="28"/>
        </w:rPr>
        <w:t>(Примечание 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Кроме этого, на основании договора мены между Фондом и Акционером, в августе 2013 года Фонд осуществил передачу в республиканскую собственность 100% акций в АО "Национальная геологоразведочная компания "Казгеология". Балансовая стоимость вышеупомянутых инвестиций в дочерние организации на дату потери контроля составляла 411.142 миллиона тенге. </w:t>
      </w:r>
    </w:p>
    <w:p>
      <w:pPr>
        <w:spacing w:after="0"/>
        <w:ind w:left="0"/>
        <w:jc w:val="both"/>
      </w:pPr>
      <w:r>
        <w:rPr>
          <w:rFonts w:ascii="Times New Roman"/>
          <w:b w:val="false"/>
          <w:i w:val="false"/>
          <w:color w:val="000000"/>
          <w:sz w:val="28"/>
        </w:rPr>
        <w:t xml:space="preserve">
      Фонд прекратил признание и отразил выбытие данных дочерних организаций как Операции с Акционером в отдельном отчете об изменениях в капитале на общую стоимость выбытия инвестиций в дочерние организации </w:t>
      </w:r>
      <w:r>
        <w:rPr>
          <w:rFonts w:ascii="Times New Roman"/>
          <w:b w:val="false"/>
          <w:i/>
          <w:color w:val="000000"/>
          <w:sz w:val="28"/>
        </w:rPr>
        <w:t>(Примечание 5.7)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связи с тем, что в соответствии с договорами купли-продажи акций в течение 2014 года планируется реализовать принадлежащие доли участия Фонда в БТА и Темирбанк, Фонд классифицировал инвестиции в данные банки как активы, предназначенные для продажи, с балансовой стоимостью на дату реклассификации 279.509 миллионов тенге и 23.488 миллионов тенге, соответственно </w:t>
      </w:r>
      <w:r>
        <w:rPr>
          <w:rFonts w:ascii="Times New Roman"/>
          <w:b w:val="false"/>
          <w:i/>
          <w:color w:val="000000"/>
          <w:sz w:val="28"/>
        </w:rPr>
        <w:t>(Примечание 1)</w:t>
      </w:r>
      <w:r>
        <w:rPr>
          <w:rFonts w:ascii="Times New Roman"/>
          <w:b w:val="false"/>
          <w:i w:val="false"/>
          <w:color w:val="000000"/>
          <w:sz w:val="28"/>
        </w:rPr>
        <w:t>.</w:t>
      </w:r>
    </w:p>
    <w:bookmarkStart w:name="z441" w:id="439"/>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439"/>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Инвестиции в Карачаганакский проект</w:t>
      </w:r>
    </w:p>
    <w:p>
      <w:pPr>
        <w:spacing w:after="0"/>
        <w:ind w:left="0"/>
        <w:jc w:val="both"/>
      </w:pPr>
      <w:r>
        <w:rPr>
          <w:rFonts w:ascii="Times New Roman"/>
          <w:b w:val="false"/>
          <w:i w:val="false"/>
          <w:color w:val="000000"/>
          <w:sz w:val="28"/>
        </w:rPr>
        <w:t xml:space="preserve">
      28 июня 2012 года Правительство, в лице Министерства нефти и газа и Комитета государственного имущества и приватизации Министерства финансов Республики Казахстан, и участники Карачаганакского проекта (далее "Консорциум" или "КПО") подписали договор, согласно которого Правительство приобрело 10%-ю долю участия в КПО. Справедливая стоимость приобретенной 10%-й доли была оценена в размере 2 миллиарда долларов США (300.000 миллионов тенге), из которых 150.000 миллионов тенге Правительство выплатило денежными средствами, а оставшаяся часть была зачтена в счет обязательств по налогам. Правительство создало новое предприятие "Компания по управлению долей в окончательном соглашении о разделе продукции" (далее "КУДОСРП") и осуществило передачу приобретенной 10%-й доли в проекте в капитал КУДОСРП. Далее, в соответствии с постановлением Правительства № 570 от 3 мая 2012 года, 28 июня 2012 года Фонду был передан государственный пакет 100% доли участия в КУДОСРП, справедливая стоимость которого на дату передачи составила 300.070 миллионов тенге. </w:t>
      </w:r>
    </w:p>
    <w:p>
      <w:pPr>
        <w:spacing w:after="0"/>
        <w:ind w:left="0"/>
        <w:jc w:val="both"/>
      </w:pPr>
      <w:r>
        <w:rPr>
          <w:rFonts w:ascii="Times New Roman"/>
          <w:b w:val="false"/>
          <w:i w:val="false"/>
          <w:color w:val="000000"/>
          <w:sz w:val="28"/>
        </w:rPr>
        <w:t>
      29 июня 2012 Фонд осуществил передачу КУДОСРП в НК КМГ в обмен на акции НК КМГ в размере 150.035 миллионов тенге и денежное вознаграждение в размере 150.035 миллионов тенге, которое было финансировано посредством займа в размере 1 миллиард долларов США. В соответствии с договором займа, годовая процентная ставка составила ЛИБОР плюс 3%, помноженный на 1,25, и основной долг подлежит к уплате равными ежемесячными долями за счет денежных потоков от проекта в течение 3 (трех) лет. Согласно соглашению по займу в качестве обеспечения, НК КМГ предоставил Консорциуму 5%-ю долю участия в проекте. Также Фонд предоставил гарантию по данному займу.</w:t>
      </w:r>
    </w:p>
    <w:p>
      <w:pPr>
        <w:spacing w:after="0"/>
        <w:ind w:left="0"/>
        <w:jc w:val="both"/>
      </w:pPr>
      <w:r>
        <w:rPr>
          <w:rFonts w:ascii="Times New Roman"/>
          <w:b w:val="false"/>
          <w:i w:val="false"/>
          <w:color w:val="000000"/>
          <w:sz w:val="28"/>
        </w:rPr>
        <w:t>
      28 июня 2012, Фонд выплатил единственному Акционеру дивиденды в размере 159.113 миллионов тенге. Часть дивидендов в сумме 150.035 миллионов тенге Правительство использовало для финансирования приобретения упомянутой выше доли участия в КПО.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Обесценение</w:t>
      </w:r>
    </w:p>
    <w:p>
      <w:pPr>
        <w:spacing w:after="0"/>
        <w:ind w:left="0"/>
        <w:jc w:val="both"/>
      </w:pPr>
      <w:r>
        <w:rPr>
          <w:rFonts w:ascii="Times New Roman"/>
          <w:b w:val="false"/>
          <w:i w:val="false"/>
          <w:color w:val="000000"/>
          <w:sz w:val="28"/>
        </w:rPr>
        <w:t>
      В 2013 году Фонд признал убыток от обесценения инвестиций в ТОО "Logic Business", ТОО "Logic Invest Capital" и ТОО "Инвестиционный дом "Дана" на общую сумму 55.344 миллиона тенге. Возмещаемая стоимость данных инвестиций была определена на основании метода ценности от использования.</w:t>
      </w:r>
    </w:p>
    <w:p>
      <w:pPr>
        <w:spacing w:after="0"/>
        <w:ind w:left="0"/>
        <w:jc w:val="both"/>
      </w:pPr>
      <w:r>
        <w:rPr>
          <w:rFonts w:ascii="Times New Roman"/>
          <w:b w:val="false"/>
          <w:i w:val="false"/>
          <w:color w:val="000000"/>
          <w:sz w:val="28"/>
        </w:rPr>
        <w:t xml:space="preserve">
      Также, в 2013 году Фонд признал убыток от обесценения инвестиций в БТА, Альянс Банк в размере 14.830 миллионов тенге и 1.543 миллиона тенге, соответственно (2012: 134.596 миллионов тенге и 12.175 миллионов тенге, соответственно). </w:t>
      </w:r>
    </w:p>
    <w:p>
      <w:pPr>
        <w:spacing w:after="0"/>
        <w:ind w:left="0"/>
        <w:jc w:val="both"/>
      </w:pPr>
      <w:r>
        <w:rPr>
          <w:rFonts w:ascii="Times New Roman"/>
          <w:b w:val="false"/>
          <w:i w:val="false"/>
          <w:color w:val="000000"/>
          <w:sz w:val="28"/>
        </w:rPr>
        <w:t xml:space="preserve">
      Кроме того, после реклассификации инвестиций в БТА в состав активов, предназначенных для продажи, Фондом признал убыток в размере 147.421 миллионов тенге, связанный с приведением балансовой стоимости данных инвестиций до справедливой стоимости ожидаемого к получению возмещения за данные инвестиции в соответствии с условием договора купли-продажи </w:t>
      </w:r>
      <w:r>
        <w:rPr>
          <w:rFonts w:ascii="Times New Roman"/>
          <w:b w:val="false"/>
          <w:i/>
          <w:color w:val="000000"/>
          <w:sz w:val="28"/>
        </w:rPr>
        <w:t>(Примечание 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Возмещаемая стоимость инвестиций в БТА и Альянс Банк была определена на основании справедливой стоимости за минусом затрат по продаже.</w:t>
      </w:r>
    </w:p>
    <w:p>
      <w:pPr>
        <w:spacing w:after="0"/>
        <w:ind w:left="0"/>
        <w:jc w:val="both"/>
      </w:pPr>
      <w:r>
        <w:rPr>
          <w:rFonts w:ascii="Times New Roman"/>
          <w:b w:val="false"/>
          <w:i w:val="false"/>
          <w:color w:val="000000"/>
          <w:sz w:val="28"/>
        </w:rPr>
        <w:t xml:space="preserve">
      Информация по обесценению инвестиций в дочерние организации в разрезе компаний по состоянию на 31 декабря 2013 и 31 декабря 2012 годов представлена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4912"/>
        <w:gridCol w:w="5597"/>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"Альянс Банк"</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135.827.484</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134.285.000</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1.025.686.000</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Развития Казахстана"</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78.554.000</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"Инвестиционный Фонд Казахстана"</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14.339.000</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135.827.484</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1.252.864.000</w:t>
            </w:r>
          </w:p>
        </w:tc>
      </w:tr>
    </w:tbl>
    <w:p>
      <w:pPr>
        <w:spacing w:after="0"/>
        <w:ind w:left="0"/>
        <w:jc w:val="left"/>
      </w:pPr>
      <w:r>
        <w:br/>
      </w:r>
      <w:r>
        <w:rPr>
          <w:rFonts w:ascii="Times New Roman"/>
          <w:b w:val="false"/>
          <w:i w:val="false"/>
          <w:color w:val="000000"/>
          <w:sz w:val="28"/>
        </w:rPr>
        <w:t>
</w:t>
      </w:r>
    </w:p>
    <w:bookmarkStart w:name="z442" w:id="440"/>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Инвестиции в ассоциированные компании</w:t>
      </w:r>
    </w:p>
    <w:bookmarkEnd w:id="440"/>
    <w:p>
      <w:pPr>
        <w:spacing w:after="0"/>
        <w:ind w:left="0"/>
        <w:jc w:val="both"/>
      </w:pPr>
      <w:r>
        <w:rPr>
          <w:rFonts w:ascii="Times New Roman"/>
          <w:b w:val="false"/>
          <w:i w:val="false"/>
          <w:color w:val="000000"/>
          <w:sz w:val="28"/>
        </w:rPr>
        <w:t>
      На 31 декабря инвестиции в ассоциированные компании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5222"/>
        <w:gridCol w:w="5222"/>
      </w:tblGrid>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Шекербанк</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18.174.565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18.174.565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"Астана-Финанс"</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6.515.875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6.515.875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"Майкаинзолото"</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(6.515.875)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(6.515.875)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18.455.077</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18.455.077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ассоциированных компаний, страна их местонахождения и доля Фонда в этих организациях на 31 декабря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718"/>
        <w:gridCol w:w="441"/>
        <w:gridCol w:w="4578"/>
        <w:gridCol w:w="4578"/>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деятельности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Шекербанк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"Астана-Финанс"</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организация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"Майкаинзолото"</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золота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Приобретение доли участия в Шекербанк</w:t>
      </w:r>
    </w:p>
    <w:p>
      <w:pPr>
        <w:spacing w:after="0"/>
        <w:ind w:left="0"/>
        <w:jc w:val="both"/>
      </w:pPr>
      <w:r>
        <w:rPr>
          <w:rFonts w:ascii="Times New Roman"/>
          <w:b w:val="false"/>
          <w:i w:val="false"/>
          <w:color w:val="000000"/>
          <w:sz w:val="28"/>
        </w:rPr>
        <w:t xml:space="preserve">
      16 марта 2012 года Фонд приобрел 222.148.406 акций (22,1%) турецкого банка "Шекербанк" у АО "БТА Секьюритис" (дочерней организации АО "БТА Банк").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Изменения в доле участия в АО "Астана-Финанс"</w:t>
      </w:r>
    </w:p>
    <w:p>
      <w:pPr>
        <w:spacing w:after="0"/>
        <w:ind w:left="0"/>
        <w:jc w:val="both"/>
      </w:pPr>
      <w:r>
        <w:rPr>
          <w:rFonts w:ascii="Times New Roman"/>
          <w:b w:val="false"/>
          <w:i w:val="false"/>
          <w:color w:val="000000"/>
          <w:sz w:val="28"/>
        </w:rPr>
        <w:t xml:space="preserve">
      В 2013 году доля участия Фонда в АО "Астана-Финанс" уменьшилась до 1,63% в связи с дополнительной эмиссией акций данной компании, осуществленной 17 января 2013 года. </w:t>
      </w:r>
    </w:p>
    <w:bookmarkStart w:name="z443" w:id="441"/>
    <w:p>
      <w:pPr>
        <w:spacing w:after="0"/>
        <w:ind w:left="0"/>
        <w:jc w:val="both"/>
      </w:pPr>
      <w:r>
        <w:rPr>
          <w:rFonts w:ascii="Times New Roman"/>
          <w:b w:val="false"/>
          <w:i w:val="false"/>
          <w:color w:val="000000"/>
          <w:sz w:val="28"/>
        </w:rPr>
        <w:t xml:space="preserve">
      </w:t>
      </w:r>
      <w:r>
        <w:rPr>
          <w:rFonts w:ascii="Times New Roman"/>
          <w:b/>
          <w:i w:val="false"/>
          <w:color w:val="000000"/>
          <w:sz w:val="28"/>
        </w:rPr>
        <w:t>Прочие текущие активы</w:t>
      </w:r>
    </w:p>
    <w:bookmarkEnd w:id="441"/>
    <w:p>
      <w:pPr>
        <w:spacing w:after="0"/>
        <w:ind w:left="0"/>
        <w:jc w:val="both"/>
      </w:pPr>
      <w:r>
        <w:rPr>
          <w:rFonts w:ascii="Times New Roman"/>
          <w:b w:val="false"/>
          <w:i w:val="false"/>
          <w:color w:val="000000"/>
          <w:sz w:val="28"/>
        </w:rPr>
        <w:t>
      На 31 декабря прочие текущие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5387"/>
        <w:gridCol w:w="5388"/>
      </w:tblGrid>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к получению</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14.680.970</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23.996.300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7.694.608</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6.074.813</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1.277.569</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1.487.027</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 на обесценение</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(3.750.714)</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(3.618.717)</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19.902.433</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27.939.423</w:t>
            </w:r>
          </w:p>
        </w:tc>
      </w:tr>
    </w:tbl>
    <w:p>
      <w:pPr>
        <w:spacing w:after="0"/>
        <w:ind w:left="0"/>
        <w:jc w:val="left"/>
      </w:pPr>
      <w:r>
        <w:br/>
      </w:r>
      <w:r>
        <w:rPr>
          <w:rFonts w:ascii="Times New Roman"/>
          <w:b w:val="false"/>
          <w:i w:val="false"/>
          <w:color w:val="000000"/>
          <w:sz w:val="28"/>
        </w:rPr>
        <w:t>
</w:t>
      </w:r>
    </w:p>
    <w:bookmarkStart w:name="z444" w:id="442"/>
    <w:p>
      <w:pPr>
        <w:spacing w:after="0"/>
        <w:ind w:left="0"/>
        <w:jc w:val="both"/>
      </w:pPr>
      <w:r>
        <w:rPr>
          <w:rFonts w:ascii="Times New Roman"/>
          <w:b w:val="false"/>
          <w:i w:val="false"/>
          <w:color w:val="000000"/>
          <w:sz w:val="28"/>
        </w:rPr>
        <w:t xml:space="preserve">
      </w:t>
      </w:r>
      <w:r>
        <w:rPr>
          <w:rFonts w:ascii="Times New Roman"/>
          <w:b/>
          <w:i w:val="false"/>
          <w:color w:val="000000"/>
          <w:sz w:val="28"/>
        </w:rPr>
        <w:t>5.5 Займы</w:t>
      </w:r>
    </w:p>
    <w:bookmarkEnd w:id="442"/>
    <w:p>
      <w:pPr>
        <w:spacing w:after="0"/>
        <w:ind w:left="0"/>
        <w:jc w:val="both"/>
      </w:pPr>
      <w:r>
        <w:rPr>
          <w:rFonts w:ascii="Times New Roman"/>
          <w:b w:val="false"/>
          <w:i w:val="false"/>
          <w:color w:val="000000"/>
          <w:sz w:val="28"/>
        </w:rPr>
        <w:t xml:space="preserve">
      На 31 декабря займы, в том числе начисленное вознаграждение, включали: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8"/>
        <w:gridCol w:w="4741"/>
        <w:gridCol w:w="4741"/>
      </w:tblGrid>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декабря 2013 года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приобретенные дочерними организациями:</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 "БТА Банк"</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656.322.000</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652.978.333</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 "Альянс Банк"</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106.820.000</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106.260.000</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 "Национальная Компания "КазМунайГаз"</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41.811.000</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41.599.948</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 "Темiрбанк"</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3.048.000</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3.047.610</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 "Самрук-Энерго"</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223.000</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приобретенные прочими организациями</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150.942.337</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150.440.195</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403.524.321</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422.445.000</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Правительства</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197.547.347</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185.902.557</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займов</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1.560.238.005</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1.562.673.643</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суммы, подлежащей погашению в течение 12 месяцев</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(107.043.383)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(81.962.499)</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погашению после 12 месяцев</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1.453.194.622</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1.480.711.144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займы, в том числе начисленное вознаграждение, были выражены в следующих валютах: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5421"/>
        <w:gridCol w:w="5421"/>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выраженные в тенге</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1.156.713.684</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1.140.228.643</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выраженные в долларах США</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403.524.321</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422.445.000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1.560.238.005</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1.562.673.643</w:t>
            </w:r>
          </w:p>
        </w:tc>
      </w:tr>
    </w:tbl>
    <w:p>
      <w:pPr>
        <w:spacing w:after="0"/>
        <w:ind w:left="0"/>
        <w:jc w:val="left"/>
      </w:pPr>
      <w:r>
        <w:br/>
      </w:r>
      <w:r>
        <w:rPr>
          <w:rFonts w:ascii="Times New Roman"/>
          <w:b w:val="false"/>
          <w:i w:val="false"/>
          <w:color w:val="000000"/>
          <w:sz w:val="28"/>
        </w:rPr>
        <w:t>
</w:t>
      </w:r>
    </w:p>
    <w:bookmarkStart w:name="z445" w:id="443"/>
    <w:p>
      <w:pPr>
        <w:spacing w:after="0"/>
        <w:ind w:left="0"/>
        <w:jc w:val="both"/>
      </w:pPr>
      <w:r>
        <w:rPr>
          <w:rFonts w:ascii="Times New Roman"/>
          <w:b w:val="false"/>
          <w:i w:val="false"/>
          <w:color w:val="000000"/>
          <w:sz w:val="28"/>
        </w:rPr>
        <w:t xml:space="preserve">
      </w:t>
      </w:r>
      <w:r>
        <w:rPr>
          <w:rFonts w:ascii="Times New Roman"/>
          <w:b/>
          <w:i w:val="false"/>
          <w:color w:val="000000"/>
          <w:sz w:val="28"/>
        </w:rPr>
        <w:t>Облигации выпущенные</w:t>
      </w:r>
    </w:p>
    <w:bookmarkEnd w:id="443"/>
    <w:p>
      <w:pPr>
        <w:spacing w:after="0"/>
        <w:ind w:left="0"/>
        <w:jc w:val="both"/>
      </w:pPr>
      <w:r>
        <w:rPr>
          <w:rFonts w:ascii="Times New Roman"/>
          <w:b w:val="false"/>
          <w:i w:val="false"/>
          <w:color w:val="000000"/>
          <w:sz w:val="28"/>
        </w:rPr>
        <w:t xml:space="preserve">
      В 2013 году АО "Банк Развития Казахстана" приобрел облигации Фонда на общую сумму 21.600 миллионов тенге. Облигации имеют срок погашения 50 лет со ставкой купона 0,01% годовых. При первоначальном признании облигации были оценены по справедливой стоимости, составляющей 648 миллионов тенге, с использованием соответствующей рыночной процентной ставки. Продажа произошла одновременно с приобретением облигаций АО "Банк Развития Казахстана" за аналогичное возмещение на аналогичных условиях. </w:t>
      </w:r>
    </w:p>
    <w:p>
      <w:pPr>
        <w:spacing w:after="0"/>
        <w:ind w:left="0"/>
        <w:jc w:val="both"/>
      </w:pPr>
      <w:r>
        <w:rPr>
          <w:rFonts w:ascii="Times New Roman"/>
          <w:b w:val="false"/>
          <w:i w:val="false"/>
          <w:color w:val="000000"/>
          <w:sz w:val="28"/>
        </w:rPr>
        <w:t>
      В 2012 году в соответствии с изменениями в проспекте по ранее выпущенным облигациям Фонда, приобретенным БТА и Альянс Банк, ставка купона была увеличена с 4% до 6%. В соответствии с МСФО 39, Фонд списал ранее отраженные облигации с общей балансовой стоимостью 612.267 миллионов тенге и признал новые облигации по справедливой стоимости 750.000 миллионов тенге. Разница в сумме 137.733 миллиона тенге была признана как увеличение инвестиций в данные дочерние организации.</w:t>
      </w:r>
    </w:p>
    <w:bookmarkStart w:name="z446" w:id="444"/>
    <w:p>
      <w:pPr>
        <w:spacing w:after="0"/>
        <w:ind w:left="0"/>
        <w:jc w:val="both"/>
      </w:pPr>
      <w:r>
        <w:rPr>
          <w:rFonts w:ascii="Times New Roman"/>
          <w:b w:val="false"/>
          <w:i w:val="false"/>
          <w:color w:val="000000"/>
          <w:sz w:val="28"/>
        </w:rPr>
        <w:t xml:space="preserve">
      </w:t>
      </w:r>
      <w:r>
        <w:rPr>
          <w:rFonts w:ascii="Times New Roman"/>
          <w:b/>
          <w:i w:val="false"/>
          <w:color w:val="000000"/>
          <w:sz w:val="28"/>
        </w:rPr>
        <w:t>Займы полученные</w:t>
      </w:r>
    </w:p>
    <w:bookmarkEnd w:id="444"/>
    <w:p>
      <w:pPr>
        <w:spacing w:after="0"/>
        <w:ind w:left="0"/>
        <w:jc w:val="both"/>
      </w:pPr>
      <w:r>
        <w:rPr>
          <w:rFonts w:ascii="Times New Roman"/>
          <w:b w:val="false"/>
          <w:i w:val="false"/>
          <w:color w:val="000000"/>
          <w:sz w:val="28"/>
        </w:rPr>
        <w:t xml:space="preserve">
      </w:t>
      </w:r>
      <w:r>
        <w:rPr>
          <w:rFonts w:ascii="Times New Roman"/>
          <w:b w:val="false"/>
          <w:i/>
          <w:color w:val="000000"/>
          <w:sz w:val="28"/>
        </w:rPr>
        <w:t>Кредитная линия Государственного Банка Развития Китая</w:t>
      </w:r>
    </w:p>
    <w:p>
      <w:pPr>
        <w:spacing w:after="0"/>
        <w:ind w:left="0"/>
        <w:jc w:val="both"/>
      </w:pPr>
      <w:r>
        <w:rPr>
          <w:rFonts w:ascii="Times New Roman"/>
          <w:b w:val="false"/>
          <w:i w:val="false"/>
          <w:color w:val="000000"/>
          <w:sz w:val="28"/>
        </w:rPr>
        <w:t>
      22 июня 2009 года между Фондом, Государственным Банком Развития Китая и Банком Развития Казахстана, выступающим в качестве оператора, было подписано Рамочное финансовое соглашение на открытие кредитной линии на сумму 3 миллиарда долларов США. В соответствии с данным соглашением Государственный Банк Развития Китая предоставляет Фонду долгосрочные займы в долларах США на общую сумму до 3 миллиардов долларов США с процентной ставкой равной шестимесячному ЛИБОР плюс 4,3%. Займы направляются на поддержку и развитие промышленного производства и прочих отраслей экономики между Китаем и Казахстаном. В рамках данной кредитной линии в 2013 году Фонд получил транш на сумму 200 миллионов долларов США, что эквивалентно 30.144 миллионам тенге на дату получения (2012: 1.200 миллионов долларов США и 179.305 миллионам тенге, соответственно). Полученный транш в 2013 году предназначен для предоставления займа Kazakhmys Finance Plc для разработки медного месторождения Жомарт (Примечание 5.3). По состоянию на 31 декабря 2013 года общая текущая стоимость задолженности перед Государственным Банком Развития Китая в рамках данной кредитной линии составила 403.524 миллиона тенге (2012: 422.445 миллионов тенге).</w:t>
      </w:r>
    </w:p>
    <w:bookmarkStart w:name="z447" w:id="445"/>
    <w:p>
      <w:pPr>
        <w:spacing w:after="0"/>
        <w:ind w:left="0"/>
        <w:jc w:val="both"/>
      </w:pPr>
      <w:r>
        <w:rPr>
          <w:rFonts w:ascii="Times New Roman"/>
          <w:b w:val="false"/>
          <w:i w:val="false"/>
          <w:color w:val="000000"/>
          <w:sz w:val="28"/>
        </w:rPr>
        <w:t xml:space="preserve">
      </w:t>
      </w:r>
      <w:r>
        <w:rPr>
          <w:rFonts w:ascii="Times New Roman"/>
          <w:b/>
          <w:i w:val="false"/>
          <w:color w:val="000000"/>
          <w:sz w:val="28"/>
        </w:rPr>
        <w:t>Средства Правительства</w:t>
      </w:r>
    </w:p>
    <w:bookmarkEnd w:id="445"/>
    <w:p>
      <w:pPr>
        <w:spacing w:after="0"/>
        <w:ind w:left="0"/>
        <w:jc w:val="both"/>
      </w:pPr>
      <w:r>
        <w:rPr>
          <w:rFonts w:ascii="Times New Roman"/>
          <w:b w:val="false"/>
          <w:i w:val="false"/>
          <w:color w:val="000000"/>
          <w:sz w:val="28"/>
        </w:rPr>
        <w:t xml:space="preserve">
      </w:t>
      </w:r>
      <w:r>
        <w:rPr>
          <w:rFonts w:ascii="Times New Roman"/>
          <w:b w:val="false"/>
          <w:i/>
          <w:color w:val="000000"/>
          <w:sz w:val="28"/>
        </w:rPr>
        <w:t>На 31 декабря средства Правительства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4"/>
        <w:gridCol w:w="4758"/>
        <w:gridCol w:w="4758"/>
      </w:tblGrid>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Облигации, выкупленные Национальным Банком Республики Казахстан за счет средств Национального Фонда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71.302.000</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63.055.814</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выкупленные Национальным Банком Республики Казахстан</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59.867.000</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59.207.504</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займы, полученные от Правительства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66.378.347</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63.639.239</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197.547.347</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185.902.557</w:t>
            </w:r>
          </w:p>
        </w:tc>
      </w:tr>
    </w:tbl>
    <w:p>
      <w:pPr>
        <w:spacing w:after="0"/>
        <w:ind w:left="0"/>
        <w:jc w:val="left"/>
      </w:pPr>
      <w:r>
        <w:br/>
      </w:r>
      <w:r>
        <w:rPr>
          <w:rFonts w:ascii="Times New Roman"/>
          <w:b w:val="false"/>
          <w:i w:val="false"/>
          <w:color w:val="000000"/>
          <w:sz w:val="28"/>
        </w:rPr>
        <w:t>
</w:t>
      </w:r>
    </w:p>
    <w:bookmarkStart w:name="z448" w:id="446"/>
    <w:p>
      <w:pPr>
        <w:spacing w:after="0"/>
        <w:ind w:left="0"/>
        <w:jc w:val="both"/>
      </w:pPr>
      <w:r>
        <w:rPr>
          <w:rFonts w:ascii="Times New Roman"/>
          <w:b w:val="false"/>
          <w:i w:val="false"/>
          <w:color w:val="000000"/>
          <w:sz w:val="28"/>
        </w:rPr>
        <w:t xml:space="preserve">
      </w:t>
      </w:r>
      <w:r>
        <w:rPr>
          <w:rFonts w:ascii="Times New Roman"/>
          <w:b/>
          <w:i w:val="false"/>
          <w:color w:val="000000"/>
          <w:sz w:val="28"/>
        </w:rPr>
        <w:t>2013</w:t>
      </w:r>
    </w:p>
    <w:bookmarkEnd w:id="446"/>
    <w:p>
      <w:pPr>
        <w:spacing w:after="0"/>
        <w:ind w:left="0"/>
        <w:jc w:val="both"/>
      </w:pPr>
      <w:r>
        <w:rPr>
          <w:rFonts w:ascii="Times New Roman"/>
          <w:b w:val="false"/>
          <w:i w:val="false"/>
          <w:color w:val="000000"/>
          <w:sz w:val="28"/>
        </w:rPr>
        <w:t>
      В январе 2013 года Фонд разместил 255.000.000 купонных облигаций, номинальной стоимостью 1.000 тенге за облигацию на общую сумму 255.000 миллионов тенге со сроком обращения облигаций 50 лет и купонным вознаграждением в размере 0,01% годовых. Все облигации были выкуплены Национальным Банком Республики Казахстан за счет средств Национального Фонда Республики Казахстан на праве доверительного управления. Данные облигации были первоначально отражены по справедливой стоимости, рассчитанной с использованием рыночных процентных ставок, применимых для Фонда на дату выпуска облигаций и впоследствии учитываются по амортизированной стоимости. Разница между номинальной стоимостью облигаций и их справедливой стоимостью в размере 249.828 миллионов тенге была признана в отдельном отчете об изменениях в капитале.</w:t>
      </w:r>
    </w:p>
    <w:p>
      <w:pPr>
        <w:spacing w:after="0"/>
        <w:ind w:left="0"/>
        <w:jc w:val="both"/>
      </w:pPr>
      <w:r>
        <w:rPr>
          <w:rFonts w:ascii="Times New Roman"/>
          <w:b w:val="false"/>
          <w:i w:val="false"/>
          <w:color w:val="000000"/>
          <w:sz w:val="28"/>
        </w:rPr>
        <w:t xml:space="preserve">
      Средства, полученные от реализации данных облигаций, использованы для приобретения 29,8221% доли участия в ТОО "Казцинк" </w:t>
      </w:r>
      <w:r>
        <w:rPr>
          <w:rFonts w:ascii="Times New Roman"/>
          <w:b w:val="false"/>
          <w:i/>
          <w:color w:val="000000"/>
          <w:sz w:val="28"/>
        </w:rPr>
        <w:t>(Примечание 5.4)</w:t>
      </w:r>
      <w:r>
        <w:rPr>
          <w:rFonts w:ascii="Times New Roman"/>
          <w:b w:val="false"/>
          <w:i w:val="false"/>
          <w:color w:val="000000"/>
          <w:sz w:val="28"/>
        </w:rPr>
        <w:t>.</w:t>
      </w:r>
    </w:p>
    <w:bookmarkStart w:name="z449" w:id="447"/>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447"/>
    <w:p>
      <w:pPr>
        <w:spacing w:after="0"/>
        <w:ind w:left="0"/>
        <w:jc w:val="both"/>
      </w:pPr>
      <w:r>
        <w:rPr>
          <w:rFonts w:ascii="Times New Roman"/>
          <w:b w:val="false"/>
          <w:i w:val="false"/>
          <w:color w:val="000000"/>
          <w:sz w:val="28"/>
        </w:rPr>
        <w:t xml:space="preserve">
      В 2012 году Фонд разместил 73.000.000 и 70.196.000 купонных облигаций, номинальной стоимостью 1.000 тенге за облигацию на общую сумму 73.000 миллионов тенге и 70.196 миллионов тенге, соответственно. Срок обращения облигаций составляет 50 лет и 12 лет, купонное вознаграждение в размере 0,01% годовых и 4% годовых, частота выплат – два раза в год. Данные облигации были выкуплены Национальным Банком Республики Казахстан, из которых облигации на сумму 73.000 миллиона тенге были выкуплены за счет средств Национального Фонда Республики Казахстан на праве доверительного управления. Все облигации были первоначально отражены по справедливой стоимости, рассчитанной с использованием рыночных процентных ставок, применимых для Фонда на даты выпуска облигаций и впоследствии учитываются по амортизированной стоимости. Разница между номинальной стоимостью займов и их справедливой стоимостью в размере 82.646 миллионов тенге была признана в отдельном отчете об изменениях в капитале. </w:t>
      </w:r>
    </w:p>
    <w:p>
      <w:pPr>
        <w:spacing w:after="0"/>
        <w:ind w:left="0"/>
        <w:jc w:val="both"/>
      </w:pPr>
      <w:r>
        <w:rPr>
          <w:rFonts w:ascii="Times New Roman"/>
          <w:b w:val="false"/>
          <w:i w:val="false"/>
          <w:color w:val="000000"/>
          <w:sz w:val="28"/>
        </w:rPr>
        <w:t xml:space="preserve">
      Средства, полученные от реализации данных облигаций, использованы для предоставления займа БТА в рамках реструктуризации его обязательств </w:t>
      </w:r>
      <w:r>
        <w:rPr>
          <w:rFonts w:ascii="Times New Roman"/>
          <w:b w:val="false"/>
          <w:i/>
          <w:color w:val="000000"/>
          <w:sz w:val="28"/>
        </w:rPr>
        <w:t>(Примечание 5.3)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2012 году были зарегистрированы изменения и дополнения в проспекты по облигациям с номинальной стоимостью 850 миллиардов тенге, размещенным Фондом в 2009 и 2010 годах. В соответствии с данными изменениями сроки обращения по данным облигациям были продлены до 2062 года и ставки вознаграждения были снижены до 0,01%. Изменения в проспекте привели к значительным изменениям в первоначальных условиях размещения облигаций, и, соответственно, к прекращению признания первоначального обязательства и признанию нового обязательства в соответствии с МСБУ 39. Разница между справедливой стоимостью нового обязательства и балансовой стоимостью первоначального обязательства на дату внесения изменений, в размере 304.650 миллионов тенге была признана в отдельном отчете об изменениях в капитале.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2012-2014 годы" от 24 ноября 2011 года, 13 августа 2012 года и 22 ноября 2012 года Фонд получил займы от Министерства финансов Республики Казахстан. Общая сумма займов составила 15.285 миллионов с процентными ставками от 0,15% до 0,5%. Займы были получены на срок от 10 до 25 лет и имеют следующие целевые назначения:</w:t>
      </w:r>
    </w:p>
    <w:p>
      <w:pPr>
        <w:spacing w:after="0"/>
        <w:ind w:left="0"/>
        <w:jc w:val="both"/>
      </w:pPr>
      <w:r>
        <w:rPr>
          <w:rFonts w:ascii="Times New Roman"/>
          <w:b w:val="false"/>
          <w:i w:val="false"/>
          <w:color w:val="000000"/>
          <w:sz w:val="28"/>
        </w:rPr>
        <w:t>
      - предоставление займа АО "Национальная Компания "Казақстан Темір Жолы" в размере 2.155 миллионов тенге. Ставка вознаграждения по данному займу не должна превышать 0,75% годовых.</w:t>
      </w:r>
    </w:p>
    <w:p>
      <w:pPr>
        <w:spacing w:after="0"/>
        <w:ind w:left="0"/>
        <w:jc w:val="both"/>
      </w:pPr>
      <w:r>
        <w:rPr>
          <w:rFonts w:ascii="Times New Roman"/>
          <w:b w:val="false"/>
          <w:i w:val="false"/>
          <w:color w:val="000000"/>
          <w:sz w:val="28"/>
        </w:rPr>
        <w:t>
      - предоставление займа АО "Досжан темир жолы" в размере 3.130 миллионов тенге. Ставка вознаграждения по данному займу не должна превышать 0,5% годовых.</w:t>
      </w:r>
    </w:p>
    <w:p>
      <w:pPr>
        <w:spacing w:after="0"/>
        <w:ind w:left="0"/>
        <w:jc w:val="both"/>
      </w:pPr>
      <w:r>
        <w:rPr>
          <w:rFonts w:ascii="Times New Roman"/>
          <w:b w:val="false"/>
          <w:i w:val="false"/>
          <w:color w:val="000000"/>
          <w:sz w:val="28"/>
        </w:rPr>
        <w:t>
      - предоставление займа АО "Банк Развития Казахстана" в размере 10.000 миллионов тенге. Ставка вознаграждения по данному займу не должна превышать 0,2% годовых.</w:t>
      </w:r>
    </w:p>
    <w:p>
      <w:pPr>
        <w:spacing w:after="0"/>
        <w:ind w:left="0"/>
        <w:jc w:val="both"/>
      </w:pPr>
      <w:r>
        <w:rPr>
          <w:rFonts w:ascii="Times New Roman"/>
          <w:b w:val="false"/>
          <w:i w:val="false"/>
          <w:color w:val="000000"/>
          <w:sz w:val="28"/>
        </w:rPr>
        <w:t xml:space="preserve">
      При первоначальном признании данные займы были оценены по справедливой стоимости, составляющей 8.314 миллионов тенге, с использованием соответствующей рыночной ставки вознаграждения и впоследствии учитываются по амортизированной стоимости. Разница между номинальной стоимостью займов и их справедливой стоимостью в размере 6.971 миллионов тенге была признана в отдельном отчете об изменениях в капитале. </w:t>
      </w:r>
    </w:p>
    <w:bookmarkStart w:name="z450" w:id="448"/>
    <w:p>
      <w:pPr>
        <w:spacing w:after="0"/>
        <w:ind w:left="0"/>
        <w:jc w:val="both"/>
      </w:pPr>
      <w:r>
        <w:rPr>
          <w:rFonts w:ascii="Times New Roman"/>
          <w:b w:val="false"/>
          <w:i w:val="false"/>
          <w:color w:val="000000"/>
          <w:sz w:val="28"/>
        </w:rPr>
        <w:t xml:space="preserve">
      </w:t>
      </w:r>
      <w:r>
        <w:rPr>
          <w:rFonts w:ascii="Times New Roman"/>
          <w:b/>
          <w:i w:val="false"/>
          <w:color w:val="000000"/>
          <w:sz w:val="28"/>
        </w:rPr>
        <w:t>5.6 Прочие финансовые обязательства</w:t>
      </w:r>
    </w:p>
    <w:bookmarkEnd w:id="448"/>
    <w:p>
      <w:pPr>
        <w:spacing w:after="0"/>
        <w:ind w:left="0"/>
        <w:jc w:val="both"/>
      </w:pPr>
      <w:r>
        <w:rPr>
          <w:rFonts w:ascii="Times New Roman"/>
          <w:b w:val="false"/>
          <w:i w:val="false"/>
          <w:color w:val="000000"/>
          <w:sz w:val="28"/>
        </w:rPr>
        <w:t>
      Прочие финансовые обязательства представлены обязательствами по финансовым гарантиям. Изменения в обязательствах по финансовым гарантиям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5178"/>
        <w:gridCol w:w="5178"/>
      </w:tblGrid>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37.680.190</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28.936.000</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выданные в течение года</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4.170.200</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12.982.000</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обязательств по финансовым гарантиям</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(5.626.900)</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(4.717.418)</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изменения обменных курсов</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922.000</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479.000</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37.145.490</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37.679.582</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текущая часть</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(6.420.029)</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(5.956.029)</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часть</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30.725.461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31.723.553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Обязательства по финансовым гарантиям представляют собой обязательства Фонда по гарантиям, выданным финансовым учреждениям для финансирования деятельности и существенных контрактов своих дочерних организаций (Примечание 5.4). Основная часть договоров гарантий заключена на условии отсутствия компенсации Фонду. Общая гарантированная сумма задолженности на 31 декабря 2013 года составляет 2.658 миллионов долларов США, 13.703 миллиона тенге и 2.485 миллионов российских рублей (2012: 3.261 миллион долларов США, 10.613 миллионов тенге и 2.130 миллионов российских рублей, соответственно).</w:t>
      </w:r>
    </w:p>
    <w:bookmarkStart w:name="z451" w:id="449"/>
    <w:p>
      <w:pPr>
        <w:spacing w:after="0"/>
        <w:ind w:left="0"/>
        <w:jc w:val="both"/>
      </w:pPr>
      <w:r>
        <w:rPr>
          <w:rFonts w:ascii="Times New Roman"/>
          <w:b w:val="false"/>
          <w:i w:val="false"/>
          <w:color w:val="000000"/>
          <w:sz w:val="28"/>
        </w:rPr>
        <w:t xml:space="preserve">
      </w:t>
      </w:r>
      <w:r>
        <w:rPr>
          <w:rFonts w:ascii="Times New Roman"/>
          <w:b/>
          <w:i w:val="false"/>
          <w:color w:val="000000"/>
          <w:sz w:val="28"/>
        </w:rPr>
        <w:t>5.7 Капитал</w:t>
      </w:r>
    </w:p>
    <w:bookmarkEnd w:id="449"/>
    <w:bookmarkStart w:name="z452" w:id="450"/>
    <w:p>
      <w:pPr>
        <w:spacing w:after="0"/>
        <w:ind w:left="0"/>
        <w:jc w:val="both"/>
      </w:pPr>
      <w:r>
        <w:rPr>
          <w:rFonts w:ascii="Times New Roman"/>
          <w:b w:val="false"/>
          <w:i w:val="false"/>
          <w:color w:val="000000"/>
          <w:sz w:val="28"/>
        </w:rPr>
        <w:t xml:space="preserve">
      </w:t>
      </w:r>
      <w:r>
        <w:rPr>
          <w:rFonts w:ascii="Times New Roman"/>
          <w:b/>
          <w:i w:val="false"/>
          <w:color w:val="000000"/>
          <w:sz w:val="28"/>
        </w:rPr>
        <w:t>Уставный капитал</w:t>
      </w:r>
    </w:p>
    <w:bookmarkEnd w:id="450"/>
    <w:p>
      <w:pPr>
        <w:spacing w:after="0"/>
        <w:ind w:left="0"/>
        <w:jc w:val="both"/>
      </w:pPr>
      <w:r>
        <w:rPr>
          <w:rFonts w:ascii="Times New Roman"/>
          <w:b w:val="false"/>
          <w:i w:val="false"/>
          <w:color w:val="000000"/>
          <w:sz w:val="28"/>
        </w:rPr>
        <w:t>
      В течение 2013 и 2012 годов Фонд произвел эмиссии простых акций, оплата которых была осуществлена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058"/>
        <w:gridCol w:w="6710"/>
        <w:gridCol w:w="2059"/>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акций</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разрешенных к выпуску и выпущенных акций</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в тенге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 тысячах тенге</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2011 года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3.480.637.455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4.050.382.510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государственными пакетами акций</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40.600; 46.000; 100.000; 282.174; 1.000.000;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311.903.168</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имуществом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23.156; 72.800; 80.000; 90.092; 93.549; 100.000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35.027.977</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денежными средствами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2012 года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3.481.526.139</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4.409.313.655</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денежными средствами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901.000; 1.000.000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39.319.901</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государственными пакетами акций</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1.000.000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26.233.840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имуществом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422.451; 615.921; 1.000.000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9.808.038</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2013 года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3.481.602.341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4.484.675.434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2013 года 3.481.602.341 акция была полностью оплачена (2012: 3.481.526.139 акций).</w:t>
      </w:r>
    </w:p>
    <w:bookmarkStart w:name="z453" w:id="451"/>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45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2012-2014 годы" от 24 ноября 2011 года, в 2012 году Акционер осуществил денежный взнос в уставный капитал Фонда в сумме 12.000 миллионов тенге. Данные средства предназначены для финансирования проектов, осуществляемых дочерними организациями.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570 от 3 мая 2012 года, 28 июня 2012 года Фонду была передана 100% доля участия в КУДОСРП, справедливая стоимость которой на дату получения составила </w:t>
      </w:r>
    </w:p>
    <w:p>
      <w:pPr>
        <w:spacing w:after="0"/>
        <w:ind w:left="0"/>
        <w:jc w:val="both"/>
      </w:pPr>
      <w:r>
        <w:rPr>
          <w:rFonts w:ascii="Times New Roman"/>
          <w:b w:val="false"/>
          <w:i w:val="false"/>
          <w:color w:val="000000"/>
          <w:sz w:val="28"/>
        </w:rPr>
        <w:t xml:space="preserve">
      300.070 миллионов тенге.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822 от 18 июля 2011 года, 19 апреля 2012 года Фонду был передан государственный пакет акций АО "Аркагаз", справедливая стоимость которого на дату получения составила 4.110 миллионов тенге.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543 от 28 апреля 2012 года, 20 декабря 2012 года Фонду был передан государственный пакет 100% акций в АО "Восточно-Казахстанская региональная энергетическая компания", справедливая стоимость которого на дату передачи составила 7.723 миллиона тенге. </w:t>
      </w:r>
    </w:p>
    <w:p>
      <w:pPr>
        <w:spacing w:after="0"/>
        <w:ind w:left="0"/>
        <w:jc w:val="both"/>
      </w:pPr>
      <w:r>
        <w:rPr>
          <w:rFonts w:ascii="Times New Roman"/>
          <w:b w:val="false"/>
          <w:i w:val="false"/>
          <w:color w:val="000000"/>
          <w:sz w:val="28"/>
        </w:rPr>
        <w:t xml:space="preserve">
      В 2012 году Акционер осуществил взнос в уставный капитал Фонда имуществом на общую сумму 35.028 миллионов тенге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 939 от 14 сентября 2010 года "О некоторых вопросах государственной собственности" и постановлению Правительства № 660 от 6 августа 2007 года "Отдельные вопросы энергоснабжения города Алматы и Алматинской области". </w:t>
      </w:r>
    </w:p>
    <w:bookmarkStart w:name="z454" w:id="452"/>
    <w:p>
      <w:pPr>
        <w:spacing w:after="0"/>
        <w:ind w:left="0"/>
        <w:jc w:val="both"/>
      </w:pPr>
      <w:r>
        <w:rPr>
          <w:rFonts w:ascii="Times New Roman"/>
          <w:b w:val="false"/>
          <w:i w:val="false"/>
          <w:color w:val="000000"/>
          <w:sz w:val="28"/>
        </w:rPr>
        <w:t xml:space="preserve">
      </w:t>
      </w:r>
      <w:r>
        <w:rPr>
          <w:rFonts w:ascii="Times New Roman"/>
          <w:b/>
          <w:i w:val="false"/>
          <w:color w:val="000000"/>
          <w:sz w:val="28"/>
        </w:rPr>
        <w:t>2013</w:t>
      </w:r>
    </w:p>
    <w:bookmarkEnd w:id="45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2013-2015 годы" от 23 ноября 2012 года № 54-V с учетом изменений в Законе Республики Казахстан "О республиканском бюджете на 2013 - 2015 годы" от 29 ноября 2013 года № 146-V, в 2013 году Акционер осуществил взнос в уставный капитал Фонда денежными средствами в размере 39.320 миллионов тенге. Данные средства предназначены для финансирования проектов, осуществляемых дочерними организациями Фонда (Примечание 5.4).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1539 от 4 декабря 2012 года, 18 июля 2013 года Фонду был передан 100% пакет акций в АО "Национальная Компания "Актауский международный морской торговый порт", справедливая стоимость которого на дату передачи составила 26.234 миллиона тенге </w:t>
      </w:r>
      <w:r>
        <w:rPr>
          <w:rFonts w:ascii="Times New Roman"/>
          <w:b w:val="false"/>
          <w:i/>
          <w:color w:val="000000"/>
          <w:sz w:val="28"/>
        </w:rPr>
        <w:t>(Примечание 5.4)</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2013 году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939 от 14 сентября 2010 года "О некоторых вопросах государственной собственности" Акционер осуществил взнос в уставный капитал Фонда имуществом на общую сумму 9.808 миллионов тенге </w:t>
      </w:r>
      <w:r>
        <w:rPr>
          <w:rFonts w:ascii="Times New Roman"/>
          <w:b w:val="false"/>
          <w:i/>
          <w:color w:val="000000"/>
          <w:sz w:val="28"/>
        </w:rPr>
        <w:t>(Примечание 5.4).</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Операции с Акционером</w:t>
      </w:r>
    </w:p>
    <w:p>
      <w:pPr>
        <w:spacing w:after="0"/>
        <w:ind w:left="0"/>
        <w:jc w:val="both"/>
      </w:pPr>
      <w:r>
        <w:rPr>
          <w:rFonts w:ascii="Times New Roman"/>
          <w:b w:val="false"/>
          <w:i w:val="false"/>
          <w:color w:val="000000"/>
          <w:sz w:val="28"/>
        </w:rPr>
        <w:t xml:space="preserve">
      В соответствии с постановлением Правительства и договором мены, заключенным между Фондом и Комитетом государственного имущества и приватизации Министерства финансов Республики Казахстан в 2013 году, Фонд передал в республиканскую собственность пакеты акций и доли участия дочерних организаций (АО "Банк Развития Казахстана", АО "Kazyna Capital Management", АО "Экспортно-кредитная страховая корпорация "КазЭкспортГарант", АО "Фонд развития предпринимательства "Даму", АО "Инвестиционный Фонд Казахстана", ТОО "СК-Фармация", АО "Национальная геологоразведочная компания "Казгеология"). Передача пакетов акций и долей участия была осуществлена в соответствии с поручениями, предусмотренными протоколом совещания с участием Президента Республики Казахстан от 23 января 2013 года № 01-7.1 "Об итогах социально-экономического развития Республики Казахстан за 2012 год и задачах по реализации Стратегии "Казахстан-2050" (Примечание 5.4). </w:t>
      </w:r>
    </w:p>
    <w:p>
      <w:pPr>
        <w:spacing w:after="0"/>
        <w:ind w:left="0"/>
        <w:jc w:val="both"/>
      </w:pPr>
      <w:r>
        <w:rPr>
          <w:rFonts w:ascii="Times New Roman"/>
          <w:b w:val="false"/>
          <w:i w:val="false"/>
          <w:color w:val="000000"/>
          <w:sz w:val="28"/>
        </w:rPr>
        <w:t>
      Балансовая стоимость данных инвестиций в дочерние организации на дату выбытия составляла 411.568 миллионов тенге.</w:t>
      </w:r>
    </w:p>
    <w:p>
      <w:pPr>
        <w:spacing w:after="0"/>
        <w:ind w:left="0"/>
        <w:jc w:val="both"/>
      </w:pPr>
      <w:r>
        <w:rPr>
          <w:rFonts w:ascii="Times New Roman"/>
          <w:b w:val="false"/>
          <w:i w:val="false"/>
          <w:color w:val="000000"/>
          <w:sz w:val="28"/>
        </w:rPr>
        <w:t>
      Кроме этого в соответствии с прочими договорами мены, заключенным между Акционером и Фондом в 2010 и 2011 годах, в 2013 году Акционер передал Фонду имущество со справедливой стоимостью 426 миллионов тенге (2012: 1.630 миллионов тенге).</w:t>
      </w:r>
    </w:p>
    <w:p>
      <w:pPr>
        <w:spacing w:after="0"/>
        <w:ind w:left="0"/>
        <w:jc w:val="both"/>
      </w:pPr>
      <w:r>
        <w:rPr>
          <w:rFonts w:ascii="Times New Roman"/>
          <w:b w:val="false"/>
          <w:i w:val="false"/>
          <w:color w:val="000000"/>
          <w:sz w:val="28"/>
        </w:rPr>
        <w:t>
      В 2013 году, в результате вышеуказанных операций, Фонд признал Операции с Акционером на общую сумму 411.142 миллиона тенге непосредственно в отдельном отчете об изменениях в капитале (2012: 1.630 миллионов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Прочие распределения Акционеру</w:t>
      </w:r>
    </w:p>
    <w:p>
      <w:pPr>
        <w:spacing w:after="0"/>
        <w:ind w:left="0"/>
        <w:jc w:val="both"/>
      </w:pPr>
      <w:r>
        <w:rPr>
          <w:rFonts w:ascii="Times New Roman"/>
          <w:b w:val="false"/>
          <w:i w:val="false"/>
          <w:color w:val="000000"/>
          <w:sz w:val="28"/>
        </w:rPr>
        <w:t xml:space="preserve">
      6 июня 2013 года Фонд осуществил безвозмездную передачу всех, имеющихся во владении Фонда, простых акций Kazakhmys Plc (58.876.793 акции) в республиканскую собственность путем их передачи Комитету государственного имущества и приватизации Министерства финансов Республики Казахстан </w:t>
      </w:r>
      <w:r>
        <w:rPr>
          <w:rFonts w:ascii="Times New Roman"/>
          <w:b w:val="false"/>
          <w:i/>
          <w:color w:val="000000"/>
          <w:sz w:val="28"/>
        </w:rPr>
        <w:t>(Примечание 5.2)</w:t>
      </w:r>
      <w:r>
        <w:rPr>
          <w:rFonts w:ascii="Times New Roman"/>
          <w:b w:val="false"/>
          <w:i w:val="false"/>
          <w:color w:val="000000"/>
          <w:sz w:val="28"/>
        </w:rPr>
        <w:t>. Выбытие данных финансовых активов было отражено как распределение Акционеру в размере 111.925 миллионов тенге в отдельном отчете об изменениях в капитале.</w:t>
      </w:r>
    </w:p>
    <w:p>
      <w:pPr>
        <w:spacing w:after="0"/>
        <w:ind w:left="0"/>
        <w:jc w:val="both"/>
      </w:pPr>
      <w:r>
        <w:rPr>
          <w:rFonts w:ascii="Times New Roman"/>
          <w:b w:val="false"/>
          <w:i w:val="false"/>
          <w:color w:val="000000"/>
          <w:sz w:val="28"/>
        </w:rPr>
        <w:t>
      В 2013 году в соответствии с распоряжениями Акционера, Фонд осуществил финансирование различных социальных проектов на общую сумму 8.008 миллионов тенге (2012 год: 9.126 миллионов тенге). Данное финансирование было признано как распределение Акционеру в отдельном отчете об изменениях в капитале.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Дивиденды Акционеру</w:t>
      </w:r>
    </w:p>
    <w:p>
      <w:pPr>
        <w:spacing w:after="0"/>
        <w:ind w:left="0"/>
        <w:jc w:val="both"/>
      </w:pPr>
      <w:r>
        <w:rPr>
          <w:rFonts w:ascii="Times New Roman"/>
          <w:b w:val="false"/>
          <w:i w:val="false"/>
          <w:color w:val="000000"/>
          <w:sz w:val="28"/>
        </w:rPr>
        <w:t xml:space="preserve">
      16 октября 2013 года Фонд осуществил выплату дивидендов Акционеру в размере 9.077 миллионов тенге по итогам 2012 года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 1060 от 5 октября 2013 года (2012 год: 159.113 миллионов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Балансовая стоимость акций</w:t>
      </w:r>
    </w:p>
    <w:p>
      <w:pPr>
        <w:spacing w:after="0"/>
        <w:ind w:left="0"/>
        <w:jc w:val="both"/>
      </w:pPr>
      <w:r>
        <w:rPr>
          <w:rFonts w:ascii="Times New Roman"/>
          <w:b w:val="false"/>
          <w:i w:val="false"/>
          <w:color w:val="000000"/>
          <w:sz w:val="28"/>
        </w:rPr>
        <w:t>
      В соответствии с решением Биржевого совета АО "Казахстанская фондовая биржа" от 4 октября 2010 года, финансовая отчетность должна содержать данные о балансовой стоимости одной акции (простой и привилегированной) на отчетную дату, рассчитанной в соответствии с утвержденными КФБ правилами.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5148"/>
        <w:gridCol w:w="5148"/>
      </w:tblGrid>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5.109.990.909</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5.453.393.241</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(588.023)</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(931.146)</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(1.599.419.847)</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(1.602.663.089)</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для простых акций</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3.509.983.039</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3.849.799.006</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простых акций на 31 декабря</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3.481.602.341</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3.481.526.139</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одной простой акции, тенге</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bl>
    <w:p>
      <w:pPr>
        <w:spacing w:after="0"/>
        <w:ind w:left="0"/>
        <w:jc w:val="left"/>
      </w:pPr>
      <w:r>
        <w:br/>
      </w:r>
      <w:r>
        <w:rPr>
          <w:rFonts w:ascii="Times New Roman"/>
          <w:b w:val="false"/>
          <w:i w:val="false"/>
          <w:color w:val="000000"/>
          <w:sz w:val="28"/>
        </w:rPr>
        <w:t>
</w:t>
      </w:r>
    </w:p>
    <w:bookmarkStart w:name="z455" w:id="453"/>
    <w:p>
      <w:pPr>
        <w:spacing w:after="0"/>
        <w:ind w:left="0"/>
        <w:jc w:val="both"/>
      </w:pPr>
      <w:r>
        <w:rPr>
          <w:rFonts w:ascii="Times New Roman"/>
          <w:b w:val="false"/>
          <w:i w:val="false"/>
          <w:color w:val="000000"/>
          <w:sz w:val="28"/>
        </w:rPr>
        <w:t xml:space="preserve">
      </w:t>
      </w:r>
      <w:r>
        <w:rPr>
          <w:rFonts w:ascii="Times New Roman"/>
          <w:b/>
          <w:i w:val="false"/>
          <w:color w:val="000000"/>
          <w:sz w:val="28"/>
        </w:rPr>
        <w:t>6. ОТЧЕТ О ПРИБЫЛЯХ И УБЫТКАХ</w:t>
      </w:r>
    </w:p>
    <w:bookmarkEnd w:id="453"/>
    <w:bookmarkStart w:name="z456" w:id="454"/>
    <w:p>
      <w:pPr>
        <w:spacing w:after="0"/>
        <w:ind w:left="0"/>
        <w:jc w:val="both"/>
      </w:pPr>
      <w:r>
        <w:rPr>
          <w:rFonts w:ascii="Times New Roman"/>
          <w:b w:val="false"/>
          <w:i w:val="false"/>
          <w:color w:val="000000"/>
          <w:sz w:val="28"/>
        </w:rPr>
        <w:t xml:space="preserve">
      </w:t>
      </w:r>
      <w:r>
        <w:rPr>
          <w:rFonts w:ascii="Times New Roman"/>
          <w:b/>
          <w:i w:val="false"/>
          <w:color w:val="000000"/>
          <w:sz w:val="28"/>
        </w:rPr>
        <w:t>Выручка</w:t>
      </w:r>
    </w:p>
    <w:bookmarkEnd w:id="454"/>
    <w:p>
      <w:pPr>
        <w:spacing w:after="0"/>
        <w:ind w:left="0"/>
        <w:jc w:val="both"/>
      </w:pPr>
      <w:r>
        <w:rPr>
          <w:rFonts w:ascii="Times New Roman"/>
          <w:b w:val="false"/>
          <w:i w:val="false"/>
          <w:color w:val="000000"/>
          <w:sz w:val="28"/>
        </w:rPr>
        <w:t xml:space="preserve">
      Выручка за годы, закончившиеся 31 декабря, включают: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5442"/>
        <w:gridCol w:w="5443"/>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займам</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63.733.651</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47.455.833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дисконта по займам выданным</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17.938.986</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14.047.538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облигациям</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1.986.481</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89.716.111</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341.520.394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173.375.229</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403.030.595</w:t>
            </w:r>
          </w:p>
        </w:tc>
      </w:tr>
    </w:tbl>
    <w:p>
      <w:pPr>
        <w:spacing w:after="0"/>
        <w:ind w:left="0"/>
        <w:jc w:val="left"/>
      </w:pPr>
      <w:r>
        <w:br/>
      </w:r>
      <w:r>
        <w:rPr>
          <w:rFonts w:ascii="Times New Roman"/>
          <w:b w:val="false"/>
          <w:i w:val="false"/>
          <w:color w:val="000000"/>
          <w:sz w:val="28"/>
        </w:rPr>
        <w:t>
</w:t>
      </w:r>
    </w:p>
    <w:bookmarkStart w:name="z457" w:id="455"/>
    <w:p>
      <w:pPr>
        <w:spacing w:after="0"/>
        <w:ind w:left="0"/>
        <w:jc w:val="both"/>
      </w:pPr>
      <w:r>
        <w:rPr>
          <w:rFonts w:ascii="Times New Roman"/>
          <w:b w:val="false"/>
          <w:i w:val="false"/>
          <w:color w:val="000000"/>
          <w:sz w:val="28"/>
        </w:rPr>
        <w:t xml:space="preserve">
      </w:t>
      </w:r>
      <w:r>
        <w:rPr>
          <w:rFonts w:ascii="Times New Roman"/>
          <w:b/>
          <w:i w:val="false"/>
          <w:color w:val="000000"/>
          <w:sz w:val="28"/>
        </w:rPr>
        <w:t>Себестоимость реализованных товаров и услуг</w:t>
      </w:r>
    </w:p>
    <w:bookmarkEnd w:id="455"/>
    <w:p>
      <w:pPr>
        <w:spacing w:after="0"/>
        <w:ind w:left="0"/>
        <w:jc w:val="both"/>
      </w:pPr>
      <w:r>
        <w:rPr>
          <w:rFonts w:ascii="Times New Roman"/>
          <w:b w:val="false"/>
          <w:i w:val="false"/>
          <w:color w:val="000000"/>
          <w:sz w:val="28"/>
        </w:rPr>
        <w:t>
      Себестоимость реализованных товаров и услуг за годы, закончившиеся 31 декабря, включают: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5041"/>
        <w:gridCol w:w="5041"/>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облигациям</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61.667.267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45.684.317</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займам</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20.323.184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20.772.971</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дисконта по финансовым обязательствам</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7.319.030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23.828.802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дисконтирования финансовых активов при первоначальном признании</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584.287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1.137.383</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89.893.768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91.423.473</w:t>
            </w:r>
          </w:p>
        </w:tc>
      </w:tr>
    </w:tbl>
    <w:p>
      <w:pPr>
        <w:spacing w:after="0"/>
        <w:ind w:left="0"/>
        <w:jc w:val="left"/>
      </w:pPr>
      <w:r>
        <w:br/>
      </w:r>
      <w:r>
        <w:rPr>
          <w:rFonts w:ascii="Times New Roman"/>
          <w:b w:val="false"/>
          <w:i w:val="false"/>
          <w:color w:val="000000"/>
          <w:sz w:val="28"/>
        </w:rPr>
        <w:t>
</w:t>
      </w:r>
    </w:p>
    <w:bookmarkStart w:name="z458" w:id="456"/>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 и административные расходы</w:t>
      </w:r>
    </w:p>
    <w:bookmarkEnd w:id="456"/>
    <w:p>
      <w:pPr>
        <w:spacing w:after="0"/>
        <w:ind w:left="0"/>
        <w:jc w:val="both"/>
      </w:pPr>
      <w:r>
        <w:rPr>
          <w:rFonts w:ascii="Times New Roman"/>
          <w:b w:val="false"/>
          <w:i w:val="false"/>
          <w:color w:val="000000"/>
          <w:sz w:val="28"/>
        </w:rPr>
        <w:t>
      Общие и административные расходы за годы, закончившиеся 31 декабря, включают: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5262"/>
        <w:gridCol w:w="5262"/>
      </w:tblGrid>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Спонсорская помощь и благотворительность</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13.671.792</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6.834.971</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заработной плате</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3.328.978</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2.576.432</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1.684.809</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2.047.358</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не принятый в зачет</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513.276</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788.190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4.624.973</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3.719.754</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23.823.828</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15.966.705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2013 году Фонд предоставил спонсорскую помощь в соответствии с Общим Планом мероприятий Фонда по оказанию спонсорской и благотворительной помощи на 2013 год (далее "План"). Спонсорская помощь была предоставлена для финансирования ряда проектов, реализуемых через Корпоративный фонд "СК-Астана", являющимся оператором по финансированию спортивных федераций в целях развития отдельных видов спорта и отдельных проектов, утвержденных Планом. Кроме того, спонсорская помощь предоставлена для прочих организаций в целях финансирования проектов, утвержденных Планом.</w:t>
      </w:r>
    </w:p>
    <w:bookmarkStart w:name="z459" w:id="457"/>
    <w:p>
      <w:pPr>
        <w:spacing w:after="0"/>
        <w:ind w:left="0"/>
        <w:jc w:val="both"/>
      </w:pPr>
      <w:r>
        <w:rPr>
          <w:rFonts w:ascii="Times New Roman"/>
          <w:b w:val="false"/>
          <w:i w:val="false"/>
          <w:color w:val="000000"/>
          <w:sz w:val="28"/>
        </w:rPr>
        <w:t xml:space="preserve">
      </w:t>
      </w:r>
      <w:r>
        <w:rPr>
          <w:rFonts w:ascii="Times New Roman"/>
          <w:b/>
          <w:i w:val="false"/>
          <w:color w:val="000000"/>
          <w:sz w:val="28"/>
        </w:rPr>
        <w:t>Доходы по финансированию</w:t>
      </w:r>
    </w:p>
    <w:bookmarkEnd w:id="457"/>
    <w:p>
      <w:pPr>
        <w:spacing w:after="0"/>
        <w:ind w:left="0"/>
        <w:jc w:val="both"/>
      </w:pPr>
      <w:r>
        <w:rPr>
          <w:rFonts w:ascii="Times New Roman"/>
          <w:b w:val="false"/>
          <w:i w:val="false"/>
          <w:color w:val="000000"/>
          <w:sz w:val="28"/>
        </w:rPr>
        <w:t>
      Доходы по финансированию за годы, закончившиеся 31 декабря, включают: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5379"/>
        <w:gridCol w:w="5380"/>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банковским депозитам</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34.586.000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44.643.647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финансовым гарантиям</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6.442.070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12.666.040</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текущим банковским счетам</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1.317.100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950.187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42.527.190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58.666.745</w:t>
            </w:r>
          </w:p>
        </w:tc>
      </w:tr>
    </w:tbl>
    <w:p>
      <w:pPr>
        <w:spacing w:after="0"/>
        <w:ind w:left="0"/>
        <w:jc w:val="left"/>
      </w:pPr>
      <w:r>
        <w:br/>
      </w:r>
      <w:r>
        <w:rPr>
          <w:rFonts w:ascii="Times New Roman"/>
          <w:b w:val="false"/>
          <w:i w:val="false"/>
          <w:color w:val="000000"/>
          <w:sz w:val="28"/>
        </w:rPr>
        <w:t>
</w:t>
      </w:r>
    </w:p>
    <w:bookmarkStart w:name="z460" w:id="458"/>
    <w:p>
      <w:pPr>
        <w:spacing w:after="0"/>
        <w:ind w:left="0"/>
        <w:jc w:val="both"/>
      </w:pPr>
      <w:r>
        <w:rPr>
          <w:rFonts w:ascii="Times New Roman"/>
          <w:b w:val="false"/>
          <w:i w:val="false"/>
          <w:color w:val="000000"/>
          <w:sz w:val="28"/>
        </w:rPr>
        <w:t xml:space="preserve">
      </w:t>
      </w:r>
      <w:r>
        <w:rPr>
          <w:rFonts w:ascii="Times New Roman"/>
          <w:b/>
          <w:i w:val="false"/>
          <w:color w:val="000000"/>
          <w:sz w:val="28"/>
        </w:rPr>
        <w:t>Расходы по подоходному налогу</w:t>
      </w:r>
    </w:p>
    <w:bookmarkEnd w:id="458"/>
    <w:p>
      <w:pPr>
        <w:spacing w:after="0"/>
        <w:ind w:left="0"/>
        <w:jc w:val="both"/>
      </w:pPr>
      <w:r>
        <w:rPr>
          <w:rFonts w:ascii="Times New Roman"/>
          <w:b w:val="false"/>
          <w:i w:val="false"/>
          <w:color w:val="000000"/>
          <w:sz w:val="28"/>
        </w:rPr>
        <w:t>
      Расходы по подоходному налогу за годы, закончившиеся 31 декабря, включают: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5603"/>
        <w:gridCol w:w="5422"/>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у источника выплаты</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10.214.311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10.825.397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отсроченному налогу</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(6.083.000)</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(336.527)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4.131.311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10.488.870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31 декабря 2013 года Фонд облагался корпоративным подоходным налогом по действующей официальной ставке в 20% (на 31 декабря 2012 года: 20%).</w:t>
      </w:r>
    </w:p>
    <w:p>
      <w:pPr>
        <w:spacing w:after="0"/>
        <w:ind w:left="0"/>
        <w:jc w:val="both"/>
      </w:pPr>
      <w:r>
        <w:rPr>
          <w:rFonts w:ascii="Times New Roman"/>
          <w:b w:val="false"/>
          <w:i w:val="false"/>
          <w:color w:val="000000"/>
          <w:sz w:val="28"/>
        </w:rPr>
        <w:t>
      Сверка расходов по подоходному налогу, рассчитанных от бухгалтерского убытка/прибыли до учета подоходного налога по нормативной ставке подоходного налога к расходам по подоходному налогу, представлена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4959"/>
        <w:gridCol w:w="4553"/>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(Убыток)/прибыль до учета подоходного налога</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(119.502.178)</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350.212.269</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ставка подоходного налога</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экономия) / теоретические расходы по подоходному налогу</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(23.900.436)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70.042.454</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непризнанных налоговых активах по отсроченному налогу</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1.090.038</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4.469.199</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эффект постоянных разниц</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26.941.709</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(64.022.783)</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Необлагаемый налогом доход от дивидендов</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(17.710.407)</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(67.349.262)</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восстановления убытка от обесценения средств в кредитных учреждениях и банковских депозитов</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(56.185.171)</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 классифицированных как предназначенные для продажи</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29.483.558</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инвестиций в дочерние организации</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14.342.563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30.857.462</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инвестиций, имеющихся в наличии для продажи</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29.369.569</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Убыток/(доход) от изменения стоимости опционов, нетто</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213.469</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(2.273.076)</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Дисконтирование и амортизация дисконта по финансовым активам и обязательствам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(1.576.974)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2.183.729</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спонсорскую помощь</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2.512.484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1.122.683</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финансовым гарантиям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(1.125.483)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(943.476)</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постоянные разницы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802.499</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(805.241)</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 представленные в отдельном отчете о совокупном доходе</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4.131.311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10.488.870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Сальдо отсроченного подоходного налога, рассчитанного посредством применения установленных законом ставок налога, действующих на отчетные даты, к временным разницам между основой для расчета активов и обязательств и суммами, отраженными в отдельной финансовой отчетности, включают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5304"/>
        <w:gridCol w:w="5304"/>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отсроченному налогу</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3.041.825</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2.947.401</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 уплате</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6.152.063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179.815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отсроченному налогу</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9.193.888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3.127.216</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отсроченному налогу</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(90.539)</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отсроченному налогу</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(90.539)</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по отсроченному налогу</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9.119.936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3.036.677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 по отсроченному налогу признается только в той степени, в которой существует вероятность наличия в будущем налогооблагаемой прибыли, относительно которой актив может быть использован. Активы по отсроченному налогу уменьшаются в той степени, в которой больше не существует вероятности того, что связанные с ними налоговые льготы будут реализованы.</w:t>
      </w:r>
    </w:p>
    <w:bookmarkStart w:name="z461" w:id="459"/>
    <w:p>
      <w:pPr>
        <w:spacing w:after="0"/>
        <w:ind w:left="0"/>
        <w:jc w:val="both"/>
      </w:pPr>
      <w:r>
        <w:rPr>
          <w:rFonts w:ascii="Times New Roman"/>
          <w:b w:val="false"/>
          <w:i w:val="false"/>
          <w:color w:val="000000"/>
          <w:sz w:val="28"/>
        </w:rPr>
        <w:t xml:space="preserve">
      </w:t>
      </w:r>
      <w:r>
        <w:rPr>
          <w:rFonts w:ascii="Times New Roman"/>
          <w:b/>
          <w:i w:val="false"/>
          <w:color w:val="000000"/>
          <w:sz w:val="28"/>
        </w:rPr>
        <w:t>7. СДЕЛКИ СО СВЯЗАННЫМИ СТОРОНАМИ</w:t>
      </w:r>
    </w:p>
    <w:bookmarkEnd w:id="459"/>
    <w:p>
      <w:pPr>
        <w:spacing w:after="0"/>
        <w:ind w:left="0"/>
        <w:jc w:val="both"/>
      </w:pPr>
      <w:r>
        <w:rPr>
          <w:rFonts w:ascii="Times New Roman"/>
          <w:b w:val="false"/>
          <w:i w:val="false"/>
          <w:color w:val="000000"/>
          <w:sz w:val="28"/>
        </w:rPr>
        <w:t xml:space="preserve">
      Связанные стороны включают в себя компании группы Фонда и прочие компании, контролируемые Правительством, ключевой управленческий персонал Фонда, прочие связанные стороны. Сделки со связанными сторонами были проведены на условиях, согласованных между сторонами, которые не обязательно осуществлялись по рыночным ставкам, за исключением некоторых регулируемых услуг, которые предоставляются на условиях тарифов, применимых к связанным и третьим сторонам. </w:t>
      </w:r>
    </w:p>
    <w:p>
      <w:pPr>
        <w:spacing w:after="0"/>
        <w:ind w:left="0"/>
        <w:jc w:val="both"/>
      </w:pPr>
      <w:r>
        <w:rPr>
          <w:rFonts w:ascii="Times New Roman"/>
          <w:b w:val="false"/>
          <w:i w:val="false"/>
          <w:color w:val="000000"/>
          <w:sz w:val="28"/>
        </w:rPr>
        <w:t>
      В следующих таблицах приведены общие суммы сделок, заключенных со связанными сторонами в течение 2013 и 2012 годов, и соответствующее сальдо на 31 декабря 2013 и 2012 годов: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486"/>
        <w:gridCol w:w="3028"/>
        <w:gridCol w:w="3028"/>
        <w:gridCol w:w="3690"/>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связанных сторон (Примечания 5.3, 5.4)</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связанным сторонам (Примечание 5.5)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депозиты, размещенные у связанных сторон (Примечания 5.3, 5.1)</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предприятия, контролируемые государством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декабря </w:t>
            </w:r>
          </w:p>
          <w:p>
            <w:pPr>
              <w:spacing w:after="20"/>
              <w:ind w:left="20"/>
              <w:jc w:val="both"/>
            </w:pPr>
            <w:r>
              <w:rPr>
                <w:rFonts w:ascii="Times New Roman"/>
                <w:b w:val="false"/>
                <w:i w:val="false"/>
                <w:color w:val="000000"/>
                <w:sz w:val="20"/>
              </w:rPr>
              <w:t>
2013 года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112.577.000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246.623.000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84.979.000</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декабря </w:t>
            </w:r>
          </w:p>
          <w:p>
            <w:pPr>
              <w:spacing w:after="20"/>
              <w:ind w:left="20"/>
              <w:jc w:val="both"/>
            </w:pPr>
            <w:r>
              <w:rPr>
                <w:rFonts w:ascii="Times New Roman"/>
                <w:b w:val="false"/>
                <w:i w:val="false"/>
                <w:color w:val="000000"/>
                <w:sz w:val="20"/>
              </w:rPr>
              <w:t>
2012 года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49.417.000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188.676.000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395.060.970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декабря </w:t>
            </w:r>
          </w:p>
          <w:p>
            <w:pPr>
              <w:spacing w:after="20"/>
              <w:ind w:left="20"/>
              <w:jc w:val="both"/>
            </w:pPr>
            <w:r>
              <w:rPr>
                <w:rFonts w:ascii="Times New Roman"/>
                <w:b w:val="false"/>
                <w:i w:val="false"/>
                <w:color w:val="000000"/>
                <w:sz w:val="20"/>
              </w:rPr>
              <w:t>
2013 года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469.797.000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808.362.000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219.354.000</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декабря </w:t>
            </w:r>
          </w:p>
          <w:p>
            <w:pPr>
              <w:spacing w:after="20"/>
              <w:ind w:left="20"/>
              <w:jc w:val="both"/>
            </w:pPr>
            <w:r>
              <w:rPr>
                <w:rFonts w:ascii="Times New Roman"/>
                <w:b w:val="false"/>
                <w:i w:val="false"/>
                <w:color w:val="000000"/>
                <w:sz w:val="20"/>
              </w:rPr>
              <w:t>
2012 года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536.373.000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849.911.003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211.877.000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 и совместные предприятия дочерних организаций</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декабря </w:t>
            </w:r>
          </w:p>
          <w:p>
            <w:pPr>
              <w:spacing w:after="20"/>
              <w:ind w:left="20"/>
              <w:jc w:val="both"/>
            </w:pPr>
            <w:r>
              <w:rPr>
                <w:rFonts w:ascii="Times New Roman"/>
                <w:b w:val="false"/>
                <w:i w:val="false"/>
                <w:color w:val="000000"/>
                <w:sz w:val="20"/>
              </w:rPr>
              <w:t>
2013 года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16.115.000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декабря </w:t>
            </w:r>
          </w:p>
          <w:p>
            <w:pPr>
              <w:spacing w:after="20"/>
              <w:ind w:left="20"/>
              <w:jc w:val="both"/>
            </w:pPr>
            <w:r>
              <w:rPr>
                <w:rFonts w:ascii="Times New Roman"/>
                <w:b w:val="false"/>
                <w:i w:val="false"/>
                <w:color w:val="000000"/>
                <w:sz w:val="20"/>
              </w:rPr>
              <w:t>
2012 года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9.472.788</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209"/>
        <w:gridCol w:w="2720"/>
        <w:gridCol w:w="2470"/>
        <w:gridCol w:w="2470"/>
        <w:gridCol w:w="24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 у связанных сторон (Примечание 5.4)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полученное от связанных сторон (Примечание 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связанным сторонам (Примечание 6)</w:t>
            </w:r>
          </w:p>
        </w:tc>
      </w:tr>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предприятия, контролируемые государством</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8.396.686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13.326.344</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17.954.691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88.933.380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55.844.310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49.915.112</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336.885.000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75.835.000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50.134.823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Ассоциированные компании и совместные предприятия дочерних организаций</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связанные стороны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Природа сделок, заключенных со связанными сторонами в течение 2013 и 2012 годов, отражена в соответствующих примечаниях к отдельной финансовой отчетности.</w:t>
      </w:r>
    </w:p>
    <w:p>
      <w:pPr>
        <w:spacing w:after="0"/>
        <w:ind w:left="0"/>
        <w:jc w:val="both"/>
      </w:pPr>
      <w:r>
        <w:rPr>
          <w:rFonts w:ascii="Times New Roman"/>
          <w:b w:val="false"/>
          <w:i w:val="false"/>
          <w:color w:val="000000"/>
          <w:sz w:val="28"/>
        </w:rPr>
        <w:t>
      Общая сумма вознаграждения, выплаченная ключевому управленческому персоналу, включенная в общие и административные расходы в прилагаемом отдельном отчете о совокупном доходе, составляет 643 миллионов тенге и 437 миллионов тенге за годы, закончившиеся 31 декабря 2013 и 2012, соответственно. Вознаграждение, выплаченное ключевому управленческому персоналу, преимущественно состоит из расходов по заработной плате, установленной контрактами, и премиями, основанными на операционных результатах.</w:t>
      </w:r>
    </w:p>
    <w:bookmarkStart w:name="z462" w:id="460"/>
    <w:p>
      <w:pPr>
        <w:spacing w:after="0"/>
        <w:ind w:left="0"/>
        <w:jc w:val="both"/>
      </w:pPr>
      <w:r>
        <w:rPr>
          <w:rFonts w:ascii="Times New Roman"/>
          <w:b w:val="false"/>
          <w:i w:val="false"/>
          <w:color w:val="000000"/>
          <w:sz w:val="28"/>
        </w:rPr>
        <w:t xml:space="preserve">
      </w:t>
      </w:r>
      <w:r>
        <w:rPr>
          <w:rFonts w:ascii="Times New Roman"/>
          <w:b/>
          <w:i w:val="false"/>
          <w:color w:val="000000"/>
          <w:sz w:val="28"/>
        </w:rPr>
        <w:t>8. ЦЕЛИ И ПОЛИТИКА УПРАВЛЕНИЯ ФИНАНСОВЫМИ РИСКАМИ</w:t>
      </w:r>
    </w:p>
    <w:bookmarkEnd w:id="460"/>
    <w:p>
      <w:pPr>
        <w:spacing w:after="0"/>
        <w:ind w:left="0"/>
        <w:jc w:val="both"/>
      </w:pPr>
      <w:r>
        <w:rPr>
          <w:rFonts w:ascii="Times New Roman"/>
          <w:b w:val="false"/>
          <w:i w:val="false"/>
          <w:color w:val="000000"/>
          <w:sz w:val="28"/>
        </w:rPr>
        <w:t xml:space="preserve">
      В состав основных финансовых обязательств Фонда входят займы, полученные от кредитных учреждений и Правительства, облигации выпущенные, финансовые гарантии и прочая кредиторская задолженность. Указанные финансовые инструменты главным образом используются для привлечения финансирования операций Фонда. В состав финансовых активов Фонда входят займы, выданные дочерним организациям и кредитным учреждениям, банковские депозиты, прочие финансовые активы, прочая дебиторская задолженность, приобретенные облигации и государственные ценные бумаги, деньги и денежные эквиваленты, возникающие непосредственно в результате его операционной деятельности. </w:t>
      </w:r>
    </w:p>
    <w:p>
      <w:pPr>
        <w:spacing w:after="0"/>
        <w:ind w:left="0"/>
        <w:jc w:val="both"/>
      </w:pPr>
      <w:r>
        <w:rPr>
          <w:rFonts w:ascii="Times New Roman"/>
          <w:b w:val="false"/>
          <w:i w:val="false"/>
          <w:color w:val="000000"/>
          <w:sz w:val="28"/>
        </w:rPr>
        <w:t>
      Фонд подвержен рыночному риску, риску, связанному с процентными ставками, кредитному риску, валютному риску и риску ликвидности.</w:t>
      </w:r>
    </w:p>
    <w:bookmarkStart w:name="z463" w:id="461"/>
    <w:p>
      <w:pPr>
        <w:spacing w:after="0"/>
        <w:ind w:left="0"/>
        <w:jc w:val="both"/>
      </w:pPr>
      <w:r>
        <w:rPr>
          <w:rFonts w:ascii="Times New Roman"/>
          <w:b w:val="false"/>
          <w:i w:val="false"/>
          <w:color w:val="000000"/>
          <w:sz w:val="28"/>
        </w:rPr>
        <w:t xml:space="preserve">
      </w:t>
      </w:r>
      <w:r>
        <w:rPr>
          <w:rFonts w:ascii="Times New Roman"/>
          <w:b/>
          <w:i w:val="false"/>
          <w:color w:val="000000"/>
          <w:sz w:val="28"/>
        </w:rPr>
        <w:t>Риск, связанный с процентными ставками</w:t>
      </w:r>
    </w:p>
    <w:bookmarkEnd w:id="461"/>
    <w:p>
      <w:pPr>
        <w:spacing w:after="0"/>
        <w:ind w:left="0"/>
        <w:jc w:val="both"/>
      </w:pPr>
      <w:r>
        <w:rPr>
          <w:rFonts w:ascii="Times New Roman"/>
          <w:b w:val="false"/>
          <w:i w:val="false"/>
          <w:color w:val="000000"/>
          <w:sz w:val="28"/>
        </w:rPr>
        <w:t xml:space="preserve">
      Риск, связанный со ставками вознаграждения, представляет собой риск колебания стоимости финансового инструмента в результате изменения ставок вознаграждения на рынке. </w:t>
      </w:r>
    </w:p>
    <w:p>
      <w:pPr>
        <w:spacing w:after="0"/>
        <w:ind w:left="0"/>
        <w:jc w:val="both"/>
      </w:pPr>
      <w:r>
        <w:rPr>
          <w:rFonts w:ascii="Times New Roman"/>
          <w:b w:val="false"/>
          <w:i w:val="false"/>
          <w:color w:val="000000"/>
          <w:sz w:val="28"/>
        </w:rPr>
        <w:t>
      Подверженность Фонда риску, связанному со ставками вознаграждения в основном относится к полученным Фондом займом с плавающей процентной ставкой (Примечание 5.5). В то же время, чувствительность на прибыль Фонда до подоходного налога (через влияние на плавающую процентную ставку по займу) к возможным изменениям в процентных ставках, является несущественной в связи с наличием займов выданных с плавающей процентной ставкой, на аналогичных условиях и идентичной сумме (Примечание 5.3). Влияние на капитал Фонда отсутствует.</w:t>
      </w:r>
    </w:p>
    <w:bookmarkStart w:name="z464" w:id="462"/>
    <w:p>
      <w:pPr>
        <w:spacing w:after="0"/>
        <w:ind w:left="0"/>
        <w:jc w:val="both"/>
      </w:pPr>
      <w:r>
        <w:rPr>
          <w:rFonts w:ascii="Times New Roman"/>
          <w:b w:val="false"/>
          <w:i w:val="false"/>
          <w:color w:val="000000"/>
          <w:sz w:val="28"/>
        </w:rPr>
        <w:t xml:space="preserve">
      </w:t>
      </w:r>
      <w:r>
        <w:rPr>
          <w:rFonts w:ascii="Times New Roman"/>
          <w:b/>
          <w:i w:val="false"/>
          <w:color w:val="000000"/>
          <w:sz w:val="28"/>
        </w:rPr>
        <w:t>Кредитный риск</w:t>
      </w:r>
    </w:p>
    <w:bookmarkEnd w:id="462"/>
    <w:p>
      <w:pPr>
        <w:spacing w:after="0"/>
        <w:ind w:left="0"/>
        <w:jc w:val="both"/>
      </w:pPr>
      <w:r>
        <w:rPr>
          <w:rFonts w:ascii="Times New Roman"/>
          <w:b w:val="false"/>
          <w:i w:val="false"/>
          <w:color w:val="000000"/>
          <w:sz w:val="28"/>
        </w:rPr>
        <w:t xml:space="preserve">
      Кредитный риск, возникающий в результате невыполнения контрагентами условий договоров с финансовыми инструментами Фонда, обычно ограничивается суммами, при наличии таковых, на которые величина обязательств контрагентов превышает обязательства Фонда перед этими контрагентами. Политика Фонда предусматривает совершение операций с финансовыми инструментами с рядом кредитоспособных контрагентов. Максимальная величина подверженности кредитному риску равна балансовой стоимости каждого финансового актива. Фонд считает, что максимальная величина ее риска отражается суммой займов выданных (Примечание 5.3), средств в кредитных учреждениях </w:t>
      </w:r>
      <w:r>
        <w:rPr>
          <w:rFonts w:ascii="Times New Roman"/>
          <w:b w:val="false"/>
          <w:i/>
          <w:color w:val="000000"/>
          <w:sz w:val="28"/>
        </w:rPr>
        <w:t>(Примечание 5.3)</w:t>
      </w:r>
      <w:r>
        <w:rPr>
          <w:rFonts w:ascii="Times New Roman"/>
          <w:b w:val="false"/>
          <w:i w:val="false"/>
          <w:color w:val="000000"/>
          <w:sz w:val="28"/>
        </w:rPr>
        <w:t xml:space="preserve">, финансовых активов, имеющихся в наличии для продажи и финансовых активов, удерживаемых до погашения </w:t>
      </w:r>
      <w:r>
        <w:rPr>
          <w:rFonts w:ascii="Times New Roman"/>
          <w:b w:val="false"/>
          <w:i/>
          <w:color w:val="000000"/>
          <w:sz w:val="28"/>
        </w:rPr>
        <w:t>(Примечание 5.2)</w:t>
      </w:r>
      <w:r>
        <w:rPr>
          <w:rFonts w:ascii="Times New Roman"/>
          <w:b w:val="false"/>
          <w:i w:val="false"/>
          <w:color w:val="000000"/>
          <w:sz w:val="28"/>
        </w:rPr>
        <w:t xml:space="preserve">, банковских депозитов (Примечание 5.3), прочих текущих активов </w:t>
      </w:r>
      <w:r>
        <w:rPr>
          <w:rFonts w:ascii="Times New Roman"/>
          <w:b w:val="false"/>
          <w:i/>
          <w:color w:val="000000"/>
          <w:sz w:val="28"/>
        </w:rPr>
        <w:t>(Примечание 5.4)</w:t>
      </w:r>
      <w:r>
        <w:rPr>
          <w:rFonts w:ascii="Times New Roman"/>
          <w:b w:val="false"/>
          <w:i w:val="false"/>
          <w:color w:val="000000"/>
          <w:sz w:val="28"/>
        </w:rPr>
        <w:t xml:space="preserve">, и денежными средствами и их эквивалентами </w:t>
      </w:r>
      <w:r>
        <w:rPr>
          <w:rFonts w:ascii="Times New Roman"/>
          <w:b w:val="false"/>
          <w:i/>
          <w:color w:val="000000"/>
          <w:sz w:val="28"/>
        </w:rPr>
        <w:t>(Примечание 5.1)</w:t>
      </w:r>
      <w:r>
        <w:rPr>
          <w:rFonts w:ascii="Times New Roman"/>
          <w:b w:val="false"/>
          <w:i w:val="false"/>
          <w:color w:val="000000"/>
          <w:sz w:val="28"/>
        </w:rPr>
        <w:t>, за вычетом резервов на обесценение, отраженных на отчетную дату.</w:t>
      </w:r>
    </w:p>
    <w:p>
      <w:pPr>
        <w:spacing w:after="0"/>
        <w:ind w:left="0"/>
        <w:jc w:val="both"/>
      </w:pPr>
      <w:r>
        <w:rPr>
          <w:rFonts w:ascii="Times New Roman"/>
          <w:b w:val="false"/>
          <w:i w:val="false"/>
          <w:color w:val="000000"/>
          <w:sz w:val="28"/>
        </w:rPr>
        <w:t>
      Концентрация кредитного риска может возникать при наличии нескольких сумм задолженности от одного заемщика или от группы заемщиков со сходными условиями деятельности, в отношении которых есть основания ожидать, что изменения экономических условий или иных обстоятельств могут повлиять на их способность выполнять свои обязательства.</w:t>
      </w:r>
    </w:p>
    <w:bookmarkStart w:name="z465" w:id="463"/>
    <w:p>
      <w:pPr>
        <w:spacing w:after="0"/>
        <w:ind w:left="0"/>
        <w:jc w:val="both"/>
      </w:pPr>
      <w:r>
        <w:rPr>
          <w:rFonts w:ascii="Times New Roman"/>
          <w:b w:val="false"/>
          <w:i w:val="false"/>
          <w:color w:val="000000"/>
          <w:sz w:val="28"/>
        </w:rPr>
        <w:t xml:space="preserve">
      </w:t>
      </w:r>
      <w:r>
        <w:rPr>
          <w:rFonts w:ascii="Times New Roman"/>
          <w:b/>
          <w:i w:val="false"/>
          <w:color w:val="000000"/>
          <w:sz w:val="28"/>
        </w:rPr>
        <w:t>Риск ликвидности</w:t>
      </w:r>
    </w:p>
    <w:bookmarkEnd w:id="463"/>
    <w:p>
      <w:pPr>
        <w:spacing w:after="0"/>
        <w:ind w:left="0"/>
        <w:jc w:val="both"/>
      </w:pPr>
      <w:r>
        <w:rPr>
          <w:rFonts w:ascii="Times New Roman"/>
          <w:b w:val="false"/>
          <w:i w:val="false"/>
          <w:color w:val="000000"/>
          <w:sz w:val="28"/>
        </w:rPr>
        <w:t>
      Риск ликвидности связан с возможностью того, что Фонд столкнется с трудностями при привлечении средств для выполнения своих финансовых обязательств. Риск ликвидности может возникнуть в результате невозможности оперативно реализовать финансовый актив по стоимости, приближающейся к его справедливой стоимости.</w:t>
      </w:r>
    </w:p>
    <w:p>
      <w:pPr>
        <w:spacing w:after="0"/>
        <w:ind w:left="0"/>
        <w:jc w:val="both"/>
      </w:pPr>
      <w:r>
        <w:rPr>
          <w:rFonts w:ascii="Times New Roman"/>
          <w:b w:val="false"/>
          <w:i w:val="false"/>
          <w:color w:val="000000"/>
          <w:sz w:val="28"/>
        </w:rPr>
        <w:t>
      Требования к ликвидности регулярно контролируются, и руководство Фонда следит за наличием средств в объеме, достаточном для выполнения обязательств по мере их возникновения.</w:t>
      </w:r>
    </w:p>
    <w:p>
      <w:pPr>
        <w:spacing w:after="0"/>
        <w:ind w:left="0"/>
        <w:jc w:val="both"/>
      </w:pPr>
      <w:r>
        <w:rPr>
          <w:rFonts w:ascii="Times New Roman"/>
          <w:b w:val="false"/>
          <w:i w:val="false"/>
          <w:color w:val="000000"/>
          <w:sz w:val="28"/>
        </w:rPr>
        <w:t>
      В следующей таблице представлена информация по состоянию на 31 декабря 2013 и 2012 годов о договорных недисконтированных платежах по финансовым обязательствам Фонда в разрезе сроков погашения этих обязательств.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637"/>
        <w:gridCol w:w="1637"/>
        <w:gridCol w:w="1638"/>
        <w:gridCol w:w="1804"/>
        <w:gridCol w:w="2056"/>
        <w:gridCol w:w="2057"/>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месяцев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месяцев до 1 года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лет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лет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2013 года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76.266.711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27.151.988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49.497.871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472.533.532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1.705.985.549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2.331.435.651</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Правительства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3.402.767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19.386.320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1.373.641.792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1.396.454.879</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76.266.711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27.175.988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52.900.638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491.919.852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3.079.627.341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3.727.890.530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637"/>
        <w:gridCol w:w="1637"/>
        <w:gridCol w:w="1638"/>
        <w:gridCol w:w="1804"/>
        <w:gridCol w:w="2056"/>
        <w:gridCol w:w="2057"/>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месяцев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месяцев до 1 года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лет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лет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31 декабря 2012 года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53.337.990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22.654.246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53.663.835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465.649.961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1.757.999.630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2.353.305.662</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Правительства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3.245.551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19.866.376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1.120.445.605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1.143.581.532</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2.278.000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53.337.990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24.956.246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56.909.386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485.516.337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2.878.445.235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3.499.165.194</w:t>
            </w:r>
          </w:p>
        </w:tc>
      </w:tr>
    </w:tbl>
    <w:p>
      <w:pPr>
        <w:spacing w:after="0"/>
        <w:ind w:left="0"/>
        <w:jc w:val="left"/>
      </w:pPr>
      <w:r>
        <w:br/>
      </w:r>
      <w:r>
        <w:rPr>
          <w:rFonts w:ascii="Times New Roman"/>
          <w:b w:val="false"/>
          <w:i w:val="false"/>
          <w:color w:val="000000"/>
          <w:sz w:val="28"/>
        </w:rPr>
        <w:t>
</w:t>
      </w:r>
    </w:p>
    <w:bookmarkStart w:name="z466" w:id="464"/>
    <w:p>
      <w:pPr>
        <w:spacing w:after="0"/>
        <w:ind w:left="0"/>
        <w:jc w:val="both"/>
      </w:pPr>
      <w:r>
        <w:rPr>
          <w:rFonts w:ascii="Times New Roman"/>
          <w:b w:val="false"/>
          <w:i w:val="false"/>
          <w:color w:val="000000"/>
          <w:sz w:val="28"/>
        </w:rPr>
        <w:t xml:space="preserve">
      </w:t>
      </w:r>
      <w:r>
        <w:rPr>
          <w:rFonts w:ascii="Times New Roman"/>
          <w:b/>
          <w:i w:val="false"/>
          <w:color w:val="000000"/>
          <w:sz w:val="28"/>
        </w:rPr>
        <w:t>Валютный риск</w:t>
      </w:r>
    </w:p>
    <w:bookmarkEnd w:id="464"/>
    <w:p>
      <w:pPr>
        <w:spacing w:after="0"/>
        <w:ind w:left="0"/>
        <w:jc w:val="both"/>
      </w:pPr>
      <w:r>
        <w:rPr>
          <w:rFonts w:ascii="Times New Roman"/>
          <w:b w:val="false"/>
          <w:i w:val="false"/>
          <w:color w:val="000000"/>
          <w:sz w:val="28"/>
        </w:rPr>
        <w:t xml:space="preserve">
      Помимо текущих счетов в банках в иностранной валюте, Фонд привлекает и выдает значительные суммы долгосрочных кредитов и займов в иностранной валюте и поэтому подвержен валютному риску. </w:t>
      </w:r>
    </w:p>
    <w:p>
      <w:pPr>
        <w:spacing w:after="0"/>
        <w:ind w:left="0"/>
        <w:jc w:val="both"/>
      </w:pPr>
      <w:r>
        <w:rPr>
          <w:rFonts w:ascii="Times New Roman"/>
          <w:b w:val="false"/>
          <w:i w:val="false"/>
          <w:color w:val="000000"/>
          <w:sz w:val="28"/>
        </w:rPr>
        <w:t>
      В следующей таблице представлен анализ чувствительности убытка/прибыли Фонда до учета подоходного налога (вследствие возможных изменений в справедливой стоимости денежных активов и обязательств) к возможным изменениям в обменных курсах иностранных валют при условии неизменности всех прочих параметров. Влияние на капитал Фонда отсутствует.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4300"/>
        <w:gridCol w:w="5253"/>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в обменных курсах</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убыток/прибыль до учета подоходного налога</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11.413.000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172.077</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(172.077)</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1.707.877</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(1.707.877)</w:t>
            </w:r>
          </w:p>
        </w:tc>
      </w:tr>
    </w:tbl>
    <w:p>
      <w:pPr>
        <w:spacing w:after="0"/>
        <w:ind w:left="0"/>
        <w:jc w:val="left"/>
      </w:pPr>
      <w:r>
        <w:br/>
      </w:r>
      <w:r>
        <w:rPr>
          <w:rFonts w:ascii="Times New Roman"/>
          <w:b w:val="false"/>
          <w:i w:val="false"/>
          <w:color w:val="000000"/>
          <w:sz w:val="28"/>
        </w:rPr>
        <w:t>
</w:t>
      </w:r>
    </w:p>
    <w:bookmarkStart w:name="z467" w:id="465"/>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капиталом</w:t>
      </w:r>
    </w:p>
    <w:bookmarkEnd w:id="465"/>
    <w:p>
      <w:pPr>
        <w:spacing w:after="0"/>
        <w:ind w:left="0"/>
        <w:jc w:val="both"/>
      </w:pPr>
      <w:r>
        <w:rPr>
          <w:rFonts w:ascii="Times New Roman"/>
          <w:b w:val="false"/>
          <w:i w:val="false"/>
          <w:color w:val="000000"/>
          <w:sz w:val="28"/>
        </w:rPr>
        <w:t>
      Основной целью управления капиталом является обеспечение стабильной кредитоспособности и нормального уровня достаточности капитала для непрерывной деятельности и максимизации прибыли для заинтересованных сторон. Фонд управляет капиталом и вносит изменения в его структуру и объем с учетом изменений в экономических условиях. Для поддержания оптимальной структуры капитала Фонд может выпускать акции и привлекать заемные средства.</w:t>
      </w:r>
    </w:p>
    <w:p>
      <w:pPr>
        <w:spacing w:after="0"/>
        <w:ind w:left="0"/>
        <w:jc w:val="both"/>
      </w:pPr>
      <w:r>
        <w:rPr>
          <w:rFonts w:ascii="Times New Roman"/>
          <w:b w:val="false"/>
          <w:i w:val="false"/>
          <w:color w:val="000000"/>
          <w:sz w:val="28"/>
        </w:rPr>
        <w:t>
      Управление капиталом в Фонде осуществляется путем привлечения денежных ресурсов на оптимально выгодных условиях для последующего финансирования деятельности, а также их инвестирования для решения стратегических задач, поставленных перед Фондом. Процесс управления капиталом включает в себя также регулярный мониторинг текущих условий на рынке капитала, стоимости заемного капитала и рисков, связанных с каждым классом капитала.</w:t>
      </w:r>
    </w:p>
    <w:p>
      <w:pPr>
        <w:spacing w:after="0"/>
        <w:ind w:left="0"/>
        <w:jc w:val="both"/>
      </w:pPr>
      <w:r>
        <w:rPr>
          <w:rFonts w:ascii="Times New Roman"/>
          <w:b w:val="false"/>
          <w:i w:val="false"/>
          <w:color w:val="000000"/>
          <w:sz w:val="28"/>
        </w:rPr>
        <w:t>
      В отношении капитала Фонда в процессе привлечения заемных средств внешними кредиторами был установлен коэффициент – отношение заемного капитала к собственному капиталу, значение которого не должно превышать пропорцию 4:1. Данный коэффициент в течение отчетного периода и по состоянию на отчетную дату выполнялся.</w:t>
      </w:r>
    </w:p>
    <w:p>
      <w:pPr>
        <w:spacing w:after="0"/>
        <w:ind w:left="0"/>
        <w:jc w:val="both"/>
      </w:pPr>
      <w:r>
        <w:rPr>
          <w:rFonts w:ascii="Times New Roman"/>
          <w:b w:val="false"/>
          <w:i w:val="false"/>
          <w:color w:val="000000"/>
          <w:sz w:val="28"/>
        </w:rPr>
        <w:t>
      В таблице представлены значение отношения заемного капитала к собственному капиталу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5421"/>
        <w:gridCol w:w="5421"/>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4.484.675.434</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4.409.313.655</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(2.159.510)</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(595.087)</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убыток</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(971.944.862)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(557.988.416)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3.510.571.062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3.850.730.152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заемные средства</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1.599.419.847</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1.602.663.089</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5.109.990.909</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5.453.393.241</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заемного капитала к собственному капиталу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bl>
    <w:p>
      <w:pPr>
        <w:spacing w:after="0"/>
        <w:ind w:left="0"/>
        <w:jc w:val="left"/>
      </w:pPr>
      <w:r>
        <w:br/>
      </w:r>
      <w:r>
        <w:rPr>
          <w:rFonts w:ascii="Times New Roman"/>
          <w:b w:val="false"/>
          <w:i w:val="false"/>
          <w:color w:val="000000"/>
          <w:sz w:val="28"/>
        </w:rPr>
        <w:t>
</w:t>
      </w:r>
    </w:p>
    <w:bookmarkStart w:name="z468" w:id="466"/>
    <w:p>
      <w:pPr>
        <w:spacing w:after="0"/>
        <w:ind w:left="0"/>
        <w:jc w:val="both"/>
      </w:pPr>
      <w:r>
        <w:rPr>
          <w:rFonts w:ascii="Times New Roman"/>
          <w:b w:val="false"/>
          <w:i w:val="false"/>
          <w:color w:val="000000"/>
          <w:sz w:val="28"/>
        </w:rPr>
        <w:t xml:space="preserve">
      </w:t>
      </w:r>
      <w:r>
        <w:rPr>
          <w:rFonts w:ascii="Times New Roman"/>
          <w:b/>
          <w:i w:val="false"/>
          <w:color w:val="000000"/>
          <w:sz w:val="28"/>
        </w:rPr>
        <w:t>Иерархия источников оценки справедливой стоимости</w:t>
      </w:r>
    </w:p>
    <w:bookmarkEnd w:id="466"/>
    <w:p>
      <w:pPr>
        <w:spacing w:after="0"/>
        <w:ind w:left="0"/>
        <w:jc w:val="both"/>
      </w:pPr>
      <w:r>
        <w:rPr>
          <w:rFonts w:ascii="Times New Roman"/>
          <w:b w:val="false"/>
          <w:i w:val="false"/>
          <w:color w:val="000000"/>
          <w:sz w:val="28"/>
        </w:rPr>
        <w:t>
      Фонд использует следующую иерархию для определения справедливой стоимости финансовых инструментов и раскрытия информации о ней в разрезе моделей оценки:</w:t>
      </w:r>
    </w:p>
    <w:p>
      <w:pPr>
        <w:spacing w:after="0"/>
        <w:ind w:left="0"/>
        <w:jc w:val="both"/>
      </w:pPr>
      <w:r>
        <w:rPr>
          <w:rFonts w:ascii="Times New Roman"/>
          <w:b w:val="false"/>
          <w:i w:val="false"/>
          <w:color w:val="000000"/>
          <w:sz w:val="28"/>
        </w:rPr>
        <w:t>
      Уровень 1: цены на активных рынках по идентичным активам или обязательствам (без каких-либо корректировок).</w:t>
      </w:r>
    </w:p>
    <w:p>
      <w:pPr>
        <w:spacing w:after="0"/>
        <w:ind w:left="0"/>
        <w:jc w:val="both"/>
      </w:pPr>
      <w:r>
        <w:rPr>
          <w:rFonts w:ascii="Times New Roman"/>
          <w:b w:val="false"/>
          <w:i w:val="false"/>
          <w:color w:val="000000"/>
          <w:sz w:val="28"/>
        </w:rPr>
        <w:t>
      Уровень 2: другие методы, все исходные данные для которых, оказывающие существенное влияние на отражаемую справедливую стоимость, наблюдаются на рынке, либо непосредственно, либо опосредованно.</w:t>
      </w:r>
    </w:p>
    <w:p>
      <w:pPr>
        <w:spacing w:after="0"/>
        <w:ind w:left="0"/>
        <w:jc w:val="both"/>
      </w:pPr>
      <w:r>
        <w:rPr>
          <w:rFonts w:ascii="Times New Roman"/>
          <w:b w:val="false"/>
          <w:i w:val="false"/>
          <w:color w:val="000000"/>
          <w:sz w:val="28"/>
        </w:rPr>
        <w:t>
      Уровень 3: методы, в которых используются исходные данные, оказывающие существенное влияние на отражаемую справедливую стоимость, которые не основываются на наблюдаемой рыночной информации.</w:t>
      </w:r>
    </w:p>
    <w:p>
      <w:pPr>
        <w:spacing w:after="0"/>
        <w:ind w:left="0"/>
        <w:jc w:val="both"/>
      </w:pPr>
      <w:r>
        <w:rPr>
          <w:rFonts w:ascii="Times New Roman"/>
          <w:b w:val="false"/>
          <w:i w:val="false"/>
          <w:color w:val="000000"/>
          <w:sz w:val="28"/>
        </w:rPr>
        <w:t>
      Далее представлено сравнение по категориям балансовой стоимости и справедливой стоимости всех финансовых инструментов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3493"/>
        <w:gridCol w:w="3493"/>
        <w:gridCol w:w="3172"/>
        <w:gridCol w:w="747"/>
      </w:tblGrid>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2013 года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учитываемые по справедливой стоимости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36.729.242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36.729.242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связанные с опционами колл/пут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46.375.870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46.375.870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оцениваемые по справедливой стоимости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опционам колл/пут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декабря 2012 года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учитываемые по справедливой стоимости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имеющиеся в наличии для продажи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150.317.844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150.317.844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связанные с опционами колл/пут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47.428.965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47.428.965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оцениваемые по справедливой стоимости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опционам колл/пут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69" w:id="467"/>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Справедливая стоимость финансовых инструментов</w:t>
      </w:r>
    </w:p>
    <w:bookmarkEnd w:id="467"/>
    <w:p>
      <w:pPr>
        <w:spacing w:after="0"/>
        <w:ind w:left="0"/>
        <w:jc w:val="both"/>
      </w:pPr>
      <w:r>
        <w:rPr>
          <w:rFonts w:ascii="Times New Roman"/>
          <w:b w:val="false"/>
          <w:i w:val="false"/>
          <w:color w:val="000000"/>
          <w:sz w:val="28"/>
        </w:rPr>
        <w:t>
      Текущая стоимость финансовых инструментов Фонда по состоянию на 31 декабря 2013 и 2012 года является обоснованным приближением их справедливой стоимости, за исключением финансовых инструментов представленных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866"/>
        <w:gridCol w:w="2866"/>
        <w:gridCol w:w="1334"/>
        <w:gridCol w:w="2866"/>
        <w:gridCol w:w="1335"/>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справедливой стоимости с использованием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Котировок на активном рынке (Уровень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Существенных наблюдаемых исходных данных (Уровень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Существенных ненаблюдаемых исходных данных (Уровень 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387.312.000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390.143.883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390.143.883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фиксированной ставкой вознаграждения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401.498.262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394.964.052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394.964.052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с фиксированной ставкой вознаграждения/облигации выпущенные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(959.166.337)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(989.542.852)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(989.542.852)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Правительства и Национального Банка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(197.547.347)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(157.358.884)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(157.358.884)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финансовым гарантиям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(37.145.490)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(33.227.110)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(33.227.110)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866"/>
        <w:gridCol w:w="2866"/>
        <w:gridCol w:w="1334"/>
        <w:gridCol w:w="2866"/>
        <w:gridCol w:w="1335"/>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справедливой стоимости с использованием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Котировок на активном рынке (Уровень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Существенных наблюдаемых исходных данных (Уровень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Существенных ненаблюдаемых исходных данных (Уровень 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кредитных учреждениях</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394.540.000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385.649.000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385.649.000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фиксированной ставкой вознаграждения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383.614.000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374.635.000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374.635.000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с фиксированной ставкой вознаграждения/облигации выпущенные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(954.325.000)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(967.531.000)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(967.531.000)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Правительства и Национального Банка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(185.902.557)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(140.382.000)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(140.382.000)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финансовым гарантиям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(37.679.582)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Справедливая стоимость указанных выше финансовых инструментов была рассчитана посредством дисконтирования ожидаемых будущих потоков денежных средств по преобладающим процентным ставкам.</w:t>
      </w:r>
    </w:p>
    <w:bookmarkStart w:name="z470" w:id="468"/>
    <w:p>
      <w:pPr>
        <w:spacing w:after="0"/>
        <w:ind w:left="0"/>
        <w:jc w:val="both"/>
      </w:pPr>
      <w:r>
        <w:rPr>
          <w:rFonts w:ascii="Times New Roman"/>
          <w:b w:val="false"/>
          <w:i w:val="false"/>
          <w:color w:val="000000"/>
          <w:sz w:val="28"/>
        </w:rPr>
        <w:t xml:space="preserve">
      </w:t>
      </w:r>
      <w:r>
        <w:rPr>
          <w:rFonts w:ascii="Times New Roman"/>
          <w:b/>
          <w:i w:val="false"/>
          <w:color w:val="000000"/>
          <w:sz w:val="28"/>
        </w:rPr>
        <w:t>9. ФИНАНСОВЫЕ И УСЛОВНЫЕ ОБЯЗАТЕЛЬСТВА</w:t>
      </w:r>
    </w:p>
    <w:bookmarkEnd w:id="468"/>
    <w:bookmarkStart w:name="z471" w:id="469"/>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Условные обязательства</w:t>
      </w:r>
    </w:p>
    <w:bookmarkEnd w:id="469"/>
    <w:p>
      <w:pPr>
        <w:spacing w:after="0"/>
        <w:ind w:left="0"/>
        <w:jc w:val="both"/>
      </w:pPr>
      <w:r>
        <w:rPr>
          <w:rFonts w:ascii="Times New Roman"/>
          <w:b w:val="false"/>
          <w:i w:val="false"/>
          <w:color w:val="000000"/>
          <w:sz w:val="28"/>
        </w:rPr>
        <w:t>
      Фонд оценивает степень вероятности возникновения существенных обязательств и отражает соответствующий резерв в своей отдельной финансовой отчетности только тогда, когда существует достаточная вероятность того, что события, ведущие к возникновению обязательства, произойдут, а сумма соответствующего обязательства может быть достоверно определена. В данной отдельной финансовой отчетности не было создано резерва по каким-либо условным обязательствам.</w:t>
      </w:r>
    </w:p>
    <w:bookmarkStart w:name="z472" w:id="470"/>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Налогообложение</w:t>
      </w:r>
    </w:p>
    <w:bookmarkEnd w:id="470"/>
    <w:p>
      <w:pPr>
        <w:spacing w:after="0"/>
        <w:ind w:left="0"/>
        <w:jc w:val="both"/>
      </w:pPr>
      <w:r>
        <w:rPr>
          <w:rFonts w:ascii="Times New Roman"/>
          <w:b w:val="false"/>
          <w:i w:val="false"/>
          <w:color w:val="000000"/>
          <w:sz w:val="28"/>
        </w:rPr>
        <w:t>
      Казахстанское налоговое законодательство и нормативно-правовые акты являются предметом постоянных изменений и различных толкований. Нередки случаи расхождения во мнениях между местными, региональными и республиканскими налоговыми органами. Штрафы и пени за выявленные правонарушения на основании действующих в Казахстане законов могут быть существенными. Штрафные санкции включают в себя штрафы, как правило, в размере 50% от суммы дополнительно начисленных налогов, и пеню начисленную по ставке рефинансирования, установленной Национальным Банком Республики Казахстан, умноженной на 2,5. В результате, сумма штрафных санкций и пени может в несколько раз превышать суммы подлежащих доначислению налогов. Финансовые периоды остаются открытыми для проверки налоговыми органами в течение 5 (пяти) календарных лет, предшествующих году, в котором проводится проверка. При определенных обстоятельствах проверки могут охватывать более длительные периоды. Ввиду неопределенностей, связанных с Казахстанской налоговой системой, окончательная сумма налогов, штрафных санкций и пени, если таковые имеются, может превысить сумму, отнесенную на расходы по настоящее время и начисленную на 31 декабря 2013 года. Руководство считает, что на 31 декабря 2013 года его толкование применимого законодательства является соответствующим и существует вероятность того, что позиция Фонда по налогам будет подтверждена.</w:t>
      </w:r>
    </w:p>
    <w:bookmarkStart w:name="z473" w:id="471"/>
    <w:p>
      <w:pPr>
        <w:spacing w:after="0"/>
        <w:ind w:left="0"/>
        <w:jc w:val="both"/>
      </w:pPr>
      <w:r>
        <w:rPr>
          <w:rFonts w:ascii="Times New Roman"/>
          <w:b w:val="false"/>
          <w:i w:val="false"/>
          <w:color w:val="000000"/>
          <w:sz w:val="28"/>
        </w:rPr>
        <w:t xml:space="preserve">
      </w:t>
      </w:r>
      <w:r>
        <w:rPr>
          <w:rFonts w:ascii="Times New Roman"/>
          <w:b/>
          <w:i w:val="false"/>
          <w:color w:val="000000"/>
          <w:sz w:val="28"/>
        </w:rPr>
        <w:t>Провизии в отношении активов, размещенных в АО "БТА Банк"</w:t>
      </w:r>
    </w:p>
    <w:bookmarkEnd w:id="471"/>
    <w:p>
      <w:pPr>
        <w:spacing w:after="0"/>
        <w:ind w:left="0"/>
        <w:jc w:val="both"/>
      </w:pPr>
      <w:r>
        <w:rPr>
          <w:rFonts w:ascii="Times New Roman"/>
          <w:b w:val="false"/>
          <w:i w:val="false"/>
          <w:color w:val="000000"/>
          <w:sz w:val="28"/>
        </w:rPr>
        <w:t>
      В сентябре 2010 года Налоговый комитет Министерства финансов Республики Казахстан инициировал комплексную налоговую проверку деятельности Фонда за 2009 год. По результатам налоговой проверки налоговые органы считают неправомерным вычеты провизий для целей расчета корпоративного подоходного налога за 2009 год. Фонд с результатами налоговой проверки не согласен, на дату выпуска отдельной финансовой отчетности документы для обжалования направлены в Налоговый комитет.</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2275 от 30 декабря 2009 года были утверждены "Правила отнесения активов и условных обязательств к категории сомнительных и безнадежных национальным управляющим холдингом, а также юридическими лицами,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имеющих право на вычет суммы расходов по созданию провизий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лиц либо третьим лицам по обязательствам взаимосвязанных лиц (кроме активов и условных обязательств кредитных товариществ) (далее "Правила"). </w:t>
      </w:r>
    </w:p>
    <w:p>
      <w:pPr>
        <w:spacing w:after="0"/>
        <w:ind w:left="0"/>
        <w:jc w:val="both"/>
      </w:pPr>
      <w:r>
        <w:rPr>
          <w:rFonts w:ascii="Times New Roman"/>
          <w:b w:val="false"/>
          <w:i w:val="false"/>
          <w:color w:val="000000"/>
          <w:sz w:val="28"/>
        </w:rPr>
        <w:t>
      В соответствии с Правилами, Фонд создал и отнес на вычеты для целей расчета корпоративного подоходного налога провизии в отношении активов, размещенных в БТА, на сумму 177.352 миллиона тенге (далее "провизии").</w:t>
      </w:r>
    </w:p>
    <w:p>
      <w:pPr>
        <w:spacing w:after="0"/>
        <w:ind w:left="0"/>
        <w:jc w:val="both"/>
      </w:pPr>
      <w:r>
        <w:rPr>
          <w:rFonts w:ascii="Times New Roman"/>
          <w:b w:val="false"/>
          <w:i w:val="false"/>
          <w:color w:val="000000"/>
          <w:sz w:val="28"/>
        </w:rPr>
        <w:t>
      Руководство Фонда считает, что на 31 декабря 2013 года его толкование применимого законодательства (включая Правила) является соответствующим и позиция Фонда в отношении отнесения на вычеты данных провизий будет подтверждена. Соответственно, в данной отдельной финансовой отчетности Фонд не признал какие-либо резервы, связанными с возможными доначислениями по результатам налоговой проверки.</w:t>
      </w:r>
    </w:p>
    <w:bookmarkStart w:name="z474" w:id="472"/>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повторному использованию антикризисных средств</w:t>
      </w:r>
    </w:p>
    <w:bookmarkEnd w:id="472"/>
    <w:p>
      <w:pPr>
        <w:spacing w:after="0"/>
        <w:ind w:left="0"/>
        <w:jc w:val="both"/>
      </w:pPr>
      <w:r>
        <w:rPr>
          <w:rFonts w:ascii="Times New Roman"/>
          <w:b w:val="false"/>
          <w:i w:val="false"/>
          <w:color w:val="000000"/>
          <w:sz w:val="28"/>
        </w:rPr>
        <w:t>
      В соответствии с протоколами заседаний Государственной комиссии по вопросам модернизации экономики Республики Казахстан № 17-5/И-380 от 5 апреля 2012 года, № 17-5/11-10 от 30 января 2013 года и № 17-5/И-788 от 7 октября 2013 года Фонду надлежит осуществить финансирование ряда инвестиционных проектов на общую сумму 540.752 миллиона тенге в течение 2012-2014 годов. С учетом освоенных средств в 2012 – 2013 годах, обязательства Фонда по состоянию на 31 декабря 2013 года к освоению в 2014 году составляют 193.714 миллионов тенге (31 декабря 2012 года: 415.324 миллиона тенге), в том числе по следующим проектам: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Финансирование программы жилищного строительства - реализация программы "Доступное жилье"</w:t>
      </w:r>
    </w:p>
    <w:p>
      <w:pPr>
        <w:spacing w:after="0"/>
        <w:ind w:left="0"/>
        <w:jc w:val="both"/>
      </w:pPr>
      <w:r>
        <w:rPr>
          <w:rFonts w:ascii="Times New Roman"/>
          <w:b w:val="false"/>
          <w:i w:val="false"/>
          <w:color w:val="000000"/>
          <w:sz w:val="28"/>
        </w:rPr>
        <w:t xml:space="preserve">
      В соответствии с постановлением Правительства № 821 от 21 июня 2012 года на строительство жилья через АО "Фонд недвижимости "Самрук-Казына" предусматривается использовать средства Фонда и средства Национального Фонда. В соответствии с протоколом заседания Государственной комиссии по вопросам модернизации экономики Республики Казахстан № 17-5/11-10 от 30 января 2013 года Фонд перераспределил средства на финансирование инвестиционного проекта "Строительство магистрального газопровода Запад-Север-Центр" (Карталы-Тобол-Кокшетау-Астана) в размере 56.615 миллионов тенге из средств, предусмотренных на финансирование </w:t>
      </w:r>
      <w:r>
        <w:rPr>
          <w:rFonts w:ascii="Times New Roman"/>
          <w:b w:val="false"/>
          <w:i w:val="false"/>
          <w:color w:val="000000"/>
          <w:sz w:val="28"/>
        </w:rPr>
        <w:t>программы</w:t>
      </w:r>
      <w:r>
        <w:rPr>
          <w:rFonts w:ascii="Times New Roman"/>
          <w:b w:val="false"/>
          <w:i w:val="false"/>
          <w:color w:val="000000"/>
          <w:sz w:val="28"/>
        </w:rPr>
        <w:t xml:space="preserve"> "Доступное жилье". По состоянию на 31 декабря 2013 года обязательства Фонда по финансированию программы "Доступное жилье - 2020" с учетом перераспределенных средств составляют 8.100 миллионов тенге (31 декабря 2012 года: 36.200 миллионов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Реализация прочих инвестиционных проектов Фонда</w:t>
      </w:r>
    </w:p>
    <w:p>
      <w:pPr>
        <w:spacing w:after="0"/>
        <w:ind w:left="0"/>
        <w:jc w:val="both"/>
      </w:pPr>
      <w:r>
        <w:rPr>
          <w:rFonts w:ascii="Times New Roman"/>
          <w:b w:val="false"/>
          <w:i w:val="false"/>
          <w:color w:val="000000"/>
          <w:sz w:val="28"/>
        </w:rPr>
        <w:t>
      По состоянию на 31 декабря 2013 года обязательства Фонда по финансированию прочих инвестиционных проектов составляют 185.614 миллионов тенге (31 декабря 2012 года: 379.124 миллиона тенге).</w:t>
      </w:r>
    </w:p>
    <w:p>
      <w:pPr>
        <w:spacing w:after="0"/>
        <w:ind w:left="0"/>
        <w:jc w:val="both"/>
      </w:pPr>
      <w:r>
        <w:rPr>
          <w:rFonts w:ascii="Times New Roman"/>
          <w:b w:val="false"/>
          <w:i w:val="false"/>
          <w:color w:val="000000"/>
          <w:sz w:val="28"/>
        </w:rPr>
        <w:t>
      Кроме того, в соответствии с протоколом заседания Государственной комиссии по вопросам модернизации экономики Республики Казахстан № 17-5/11-10 от 30 января 2013 года в 2013 году Фонду поручено осуществить финансирование инвестиционного проекта "Строительство магистрального газопровода Запад-Север-Центр" (Карталы-Тобол-Кокшетау-Астана) в размере 60.000 миллионов тенге за счет собственных средств Фонда и/или НК КМГ, в том числе 20.000 миллионов тенге планируется выделить за счет средств НК КМГ.</w:t>
      </w:r>
    </w:p>
    <w:p>
      <w:pPr>
        <w:spacing w:after="0"/>
        <w:ind w:left="0"/>
        <w:jc w:val="both"/>
      </w:pPr>
      <w:r>
        <w:rPr>
          <w:rFonts w:ascii="Times New Roman"/>
          <w:b w:val="false"/>
          <w:i w:val="false"/>
          <w:color w:val="000000"/>
          <w:sz w:val="28"/>
        </w:rPr>
        <w:t>
      В соответствии с протоколом заседания Межведомственной комиссии по развитию нефтегазовой и энергетической отраслей № 17-5/07-145 от 19 апреля 2013 года реализация вышеуказанного проекта приостановлена сроком на 1 (один) год.</w:t>
      </w:r>
    </w:p>
    <w:p>
      <w:pPr>
        <w:spacing w:after="0"/>
        <w:ind w:left="0"/>
        <w:jc w:val="both"/>
      </w:pPr>
      <w:r>
        <w:rPr>
          <w:rFonts w:ascii="Times New Roman"/>
          <w:b w:val="false"/>
          <w:i w:val="false"/>
          <w:color w:val="000000"/>
          <w:sz w:val="28"/>
        </w:rPr>
        <w:t xml:space="preserve">
      Вместе с тем, данные средства и средства, перераспределенные из </w:t>
      </w:r>
      <w:r>
        <w:rPr>
          <w:rFonts w:ascii="Times New Roman"/>
          <w:b w:val="false"/>
          <w:i w:val="false"/>
          <w:color w:val="000000"/>
          <w:sz w:val="28"/>
        </w:rPr>
        <w:t>программы</w:t>
      </w:r>
      <w:r>
        <w:rPr>
          <w:rFonts w:ascii="Times New Roman"/>
          <w:b w:val="false"/>
          <w:i w:val="false"/>
          <w:color w:val="000000"/>
          <w:sz w:val="28"/>
        </w:rPr>
        <w:t xml:space="preserve"> "Доступное жилье", планируется возместить путем выделения из Республиканского бюджета в 2014 году средств на увеличение уставного капитала Фонда в размере 122.707 миллионов тенге. </w:t>
      </w:r>
    </w:p>
    <w:bookmarkStart w:name="z475" w:id="473"/>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Обязательства по инвестиционным проектам за счет средств Республиканского бюджета</w:t>
      </w:r>
    </w:p>
    <w:bookmarkEnd w:id="473"/>
    <w:p>
      <w:pPr>
        <w:spacing w:after="0"/>
        <w:ind w:left="0"/>
        <w:jc w:val="both"/>
      </w:pPr>
      <w:r>
        <w:rPr>
          <w:rFonts w:ascii="Times New Roman"/>
          <w:b w:val="false"/>
          <w:i w:val="false"/>
          <w:color w:val="000000"/>
          <w:sz w:val="28"/>
        </w:rPr>
        <w:t>
      На 31 декабря 2013 года обязательства Фонда по реализации инвестиционных проектов за счет средств Республиканского бюджета составили 2.030 миллионов тенге (на 31 декабря 2012 года: 6.030 миллионов тенге).</w:t>
      </w:r>
    </w:p>
    <w:p>
      <w:pPr>
        <w:spacing w:after="0"/>
        <w:ind w:left="0"/>
        <w:jc w:val="both"/>
      </w:pPr>
      <w:r>
        <w:rPr>
          <w:rFonts w:ascii="Times New Roman"/>
          <w:b w:val="false"/>
          <w:i w:val="false"/>
          <w:color w:val="000000"/>
          <w:sz w:val="28"/>
        </w:rPr>
        <w:t>
      Договорное обязательство на покупку акций Шекербанк</w:t>
      </w:r>
    </w:p>
    <w:p>
      <w:pPr>
        <w:spacing w:after="0"/>
        <w:ind w:left="0"/>
        <w:jc w:val="both"/>
      </w:pPr>
      <w:r>
        <w:rPr>
          <w:rFonts w:ascii="Times New Roman"/>
          <w:b w:val="false"/>
          <w:i w:val="false"/>
          <w:color w:val="000000"/>
          <w:sz w:val="28"/>
        </w:rPr>
        <w:t>
      25 января 2012 года Фондом заключен договор приобретения 339.787.080 штук акций (33,98%) турецкого банка "Шекербанк" у АО "БТА Секьюритис" (дочерней организации АО "БТА Банк"). На 31 декабря 2013 года Фонд владеет 219.310.353 акциями (21,93%) (Примечание 5.4). В настоящее время приобретение оставшегося пакета акций невозможно, в связи с арестом, наложенным на акции банка "Шекербанк", принадлежащих АО "БТА Секьюритис", по иску Vakifbank T.A.O., предъявленному к БТА.</w:t>
      </w:r>
    </w:p>
    <w:bookmarkStart w:name="z476" w:id="474"/>
    <w:p>
      <w:pPr>
        <w:spacing w:after="0"/>
        <w:ind w:left="0"/>
        <w:jc w:val="both"/>
      </w:pPr>
      <w:r>
        <w:rPr>
          <w:rFonts w:ascii="Times New Roman"/>
          <w:b w:val="false"/>
          <w:i w:val="false"/>
          <w:color w:val="000000"/>
          <w:sz w:val="28"/>
        </w:rPr>
        <w:t xml:space="preserve">
      </w:t>
      </w:r>
      <w:r>
        <w:rPr>
          <w:rFonts w:ascii="Times New Roman"/>
          <w:b/>
          <w:i w:val="false"/>
          <w:color w:val="000000"/>
          <w:sz w:val="28"/>
        </w:rPr>
        <w:t>10. СОБЫТИЯ ПОСЛЕ ОТЧЕТНОЙ ДАТЫ</w:t>
      </w:r>
    </w:p>
    <w:bookmarkEnd w:id="474"/>
    <w:p>
      <w:pPr>
        <w:spacing w:after="0"/>
        <w:ind w:left="0"/>
        <w:jc w:val="both"/>
      </w:pPr>
      <w:r>
        <w:rPr>
          <w:rFonts w:ascii="Times New Roman"/>
          <w:b w:val="false"/>
          <w:i w:val="false"/>
          <w:color w:val="000000"/>
          <w:sz w:val="28"/>
        </w:rPr>
        <w:t xml:space="preserve">
      </w:t>
      </w:r>
      <w:r>
        <w:rPr>
          <w:rFonts w:ascii="Times New Roman"/>
          <w:b w:val="false"/>
          <w:i/>
          <w:color w:val="000000"/>
          <w:sz w:val="28"/>
        </w:rPr>
        <w:t>Реализация акций БТА</w:t>
      </w:r>
    </w:p>
    <w:p>
      <w:pPr>
        <w:spacing w:after="0"/>
        <w:ind w:left="0"/>
        <w:jc w:val="both"/>
      </w:pPr>
      <w:r>
        <w:rPr>
          <w:rFonts w:ascii="Times New Roman"/>
          <w:b w:val="false"/>
          <w:i w:val="false"/>
          <w:color w:val="000000"/>
          <w:sz w:val="28"/>
        </w:rPr>
        <w:t xml:space="preserve">
      31 января 2014 года подписаны соглашения об отчуждении пакета акций БТА между Фондом и двумя покупателями - ККБ и г. Ракишевым. Сделка не будет считаться завершенной до выполнения сторонами ряда отлагательных условий </w:t>
      </w:r>
      <w:r>
        <w:rPr>
          <w:rFonts w:ascii="Times New Roman"/>
          <w:b w:val="false"/>
          <w:i/>
          <w:color w:val="000000"/>
          <w:sz w:val="28"/>
        </w:rPr>
        <w:t>(Примечание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Реализация акций Темирбанк и Альянс банк</w:t>
      </w:r>
    </w:p>
    <w:p>
      <w:pPr>
        <w:spacing w:after="0"/>
        <w:ind w:left="0"/>
        <w:jc w:val="both"/>
      </w:pPr>
      <w:r>
        <w:rPr>
          <w:rFonts w:ascii="Times New Roman"/>
          <w:b w:val="false"/>
          <w:i w:val="false"/>
          <w:color w:val="000000"/>
          <w:sz w:val="28"/>
        </w:rPr>
        <w:t xml:space="preserve">
      5 марта 2014 года подписано постановление Правительства по отчуждению пакетов акций Темирбанк и Альянс банк, таким образом, выполнено одно из отлагательных условий Фонда для закрытия сделки </w:t>
      </w:r>
      <w:r>
        <w:rPr>
          <w:rFonts w:ascii="Times New Roman"/>
          <w:b w:val="false"/>
          <w:i/>
          <w:color w:val="000000"/>
          <w:sz w:val="28"/>
        </w:rPr>
        <w:t>(Примечание 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Прочие изменения в инвестициях в дочерние организации</w:t>
      </w:r>
    </w:p>
    <w:p>
      <w:pPr>
        <w:spacing w:after="0"/>
        <w:ind w:left="0"/>
        <w:jc w:val="both"/>
      </w:pPr>
      <w:r>
        <w:rPr>
          <w:rFonts w:ascii="Times New Roman"/>
          <w:b w:val="false"/>
          <w:i w:val="false"/>
          <w:color w:val="000000"/>
          <w:sz w:val="28"/>
        </w:rPr>
        <w:t xml:space="preserve">
      В течение первых четырех месяцев 2014 года Фонд осуществил дополнительные денежные взносы в уставные капиталы дочерних организаций в сумме 86.028 миллионов тенге.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Займы выданные</w:t>
      </w:r>
    </w:p>
    <w:p>
      <w:pPr>
        <w:spacing w:after="0"/>
        <w:ind w:left="0"/>
        <w:jc w:val="both"/>
      </w:pPr>
      <w:r>
        <w:rPr>
          <w:rFonts w:ascii="Times New Roman"/>
          <w:b w:val="false"/>
          <w:i w:val="false"/>
          <w:color w:val="000000"/>
          <w:sz w:val="28"/>
        </w:rPr>
        <w:t xml:space="preserve">
      16 января 2014 года Фонд заключил договор займа с АО "Самрук-энерго", в соответствии с которым Фонд предоставил займ в размере 200.000 миллионов тенге для финансирования приобретения 50% доли участия ТОО "Экибастузская ГРЭС-1" и 100% доли участия ТОО "Казгидротехэнерго". Финансирование осуществлено за счет средств Национального фонда в соответствии с протоколом заседания по управлению Национальным фондом Республики Казахстан № 01-7.9 от 11 апреля 2013 года. </w:t>
      </w:r>
    </w:p>
    <w:p>
      <w:pPr>
        <w:spacing w:after="0"/>
        <w:ind w:left="0"/>
        <w:jc w:val="both"/>
      </w:pPr>
      <w:r>
        <w:rPr>
          <w:rFonts w:ascii="Times New Roman"/>
          <w:b w:val="false"/>
          <w:i w:val="false"/>
          <w:color w:val="000000"/>
          <w:sz w:val="28"/>
        </w:rPr>
        <w:t xml:space="preserve">
      9 апреля 2014 года Фонд предоставил дополнительный транши АО "Фонд недвижимости "Самрук-Казына" в размере 5.000 миллионов тенге для финансирования проектов жилищного строительства в рамках </w:t>
      </w:r>
      <w:r>
        <w:rPr>
          <w:rFonts w:ascii="Times New Roman"/>
          <w:b w:val="false"/>
          <w:i w:val="false"/>
          <w:color w:val="000000"/>
          <w:sz w:val="28"/>
        </w:rPr>
        <w:t>Программы</w:t>
      </w:r>
      <w:r>
        <w:rPr>
          <w:rFonts w:ascii="Times New Roman"/>
          <w:b w:val="false"/>
          <w:i w:val="false"/>
          <w:color w:val="000000"/>
          <w:sz w:val="28"/>
        </w:rPr>
        <w:t xml:space="preserve"> "Доступное жилье - 2020", утвержденной постановлением Правительства Республики Казахстан № 821 от 21 июня 2012 года. Финансирование осуществлено за счет средств Национального фонда в соответствии с протоколом заседания Государственной комиссии по вопросам модернизации экономики Республики Казахстан № 175/И 380 от 5 апреля 2012 года. </w:t>
      </w:r>
    </w:p>
    <w:p>
      <w:pPr>
        <w:spacing w:after="0"/>
        <w:ind w:left="0"/>
        <w:jc w:val="both"/>
      </w:pPr>
      <w:r>
        <w:rPr>
          <w:rFonts w:ascii="Times New Roman"/>
          <w:b w:val="false"/>
          <w:i w:val="false"/>
          <w:color w:val="000000"/>
          <w:sz w:val="28"/>
        </w:rPr>
        <w:t>
      В январе 2014 года Kazakhmys Finance Plc осуществил досрочное погашение займов в размере 400 миллионов долларов США (эквивалент 61.808 миллионов тенге по курсу на дату оплаты) по проектам разработки медных месторождений Жомарт и Акбастау/Космурун.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Средства Правительства</w:t>
      </w:r>
    </w:p>
    <w:p>
      <w:pPr>
        <w:spacing w:after="0"/>
        <w:ind w:left="0"/>
        <w:jc w:val="both"/>
      </w:pPr>
      <w:r>
        <w:rPr>
          <w:rFonts w:ascii="Times New Roman"/>
          <w:b w:val="false"/>
          <w:i w:val="false"/>
          <w:color w:val="000000"/>
          <w:sz w:val="28"/>
        </w:rPr>
        <w:t>
      В январе 2014 года Фонд разместил 300.000.000 купонных облигаций, номинальной стоимостью 1.000 тенге за облигацию на общую сумму 300.000 миллионов тенге со сроком обращения облигаций 15 лет и купонным вознаграждением в размере 3% годовых. Облигации выкуплены Национальным Банком Республики Казахстан. Средства, полученные от реализации данных облигаций, в размере 200.000 миллионов тенге были использованы для выдачи займа АО "Самрук-энерго" в целях финансирования приобретения 50% доли участия ТОО "Экибастузская ГРЭС-1" и 100% доли участия ТОО "Казгидротехэнерго".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Займы полученные</w:t>
      </w:r>
    </w:p>
    <w:p>
      <w:pPr>
        <w:spacing w:after="0"/>
        <w:ind w:left="0"/>
        <w:jc w:val="both"/>
      </w:pPr>
      <w:r>
        <w:rPr>
          <w:rFonts w:ascii="Times New Roman"/>
          <w:b w:val="false"/>
          <w:i w:val="false"/>
          <w:color w:val="000000"/>
          <w:sz w:val="28"/>
        </w:rPr>
        <w:t xml:space="preserve">
      В январе 2014 года Фонд осуществил частичное досрочное погашение займов перед Государственным банком развития Китая в размере 400 миллионов долларов США (эквивалент 61.904 миллиона тенге по курсу на дату оплаты) по проектам разработки медных месторождений Жомарт и Акбастау/Космурун.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Девальвация тенге</w:t>
      </w:r>
    </w:p>
    <w:p>
      <w:pPr>
        <w:spacing w:after="0"/>
        <w:ind w:left="0"/>
        <w:jc w:val="both"/>
      </w:pPr>
      <w:r>
        <w:rPr>
          <w:rFonts w:ascii="Times New Roman"/>
          <w:b w:val="false"/>
          <w:i w:val="false"/>
          <w:color w:val="000000"/>
          <w:sz w:val="28"/>
        </w:rPr>
        <w:t>
      11 февраля 2014 года тенге девальвировал по отношению к доллару США и другим основным валютам. Обменный курс до и после девальвации составил 155,56 за 1 доллар США и 184,5 за 1 доллар США, соответственно, что близко к девальвации тенге на 19%. Чувствительность чистой прибыли Фонда до учета подоходного налога к возможным изменениям в обменных курсах тенге по отношению к доллару США раскрыто в Примечании 8. Данный анализ чувствительности показывает только возможный эффект девальвации тенге, как если бы она произошла по состоянию на 31 декабря 2013 года, при том условии, что все остальные параметры приняты как неизменные величины.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Взносы в уставный капитал</w:t>
      </w:r>
    </w:p>
    <w:p>
      <w:pPr>
        <w:spacing w:after="0"/>
        <w:ind w:left="0"/>
        <w:jc w:val="both"/>
      </w:pPr>
      <w:r>
        <w:rPr>
          <w:rFonts w:ascii="Times New Roman"/>
          <w:b w:val="false"/>
          <w:i w:val="false"/>
          <w:color w:val="000000"/>
          <w:sz w:val="28"/>
        </w:rPr>
        <w:t>
      В апреле 2014 года Акционер осуществил денежный взнос в уставный капитал Фонда в размере 54.500 миллионов тенге.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