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6c4" w14:textId="d7e6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по созданию Азиатского банка инфраструктурных инвестиций между правительствами потенциальных членов-учредителей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2014 года № 1123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по созданию Азиатского банка инфраструктурных инвестиций между правительствами потенциальных членов-учредителей.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Меморандум о взаимопонимании по созданию Азиатского банка инфраструктурных инвестиций между правительствами потенциальных членов-учредителей,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1123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по созданию Азиатского банка</w:t>
      </w:r>
      <w:r>
        <w:br/>
      </w:r>
      <w:r>
        <w:rPr>
          <w:rFonts w:ascii="Times New Roman"/>
          <w:b/>
          <w:i w:val="false"/>
          <w:color w:val="000000"/>
        </w:rPr>
        <w:t>
инфраструктурных инвестиций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правительствами потенциальных членов-учредителей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о взаимопонимании по созданию Азиатского банка инфраструктурных инвестиций (далее - Меморандум) заключен 24 октября 2014 года в городе Пекин, между сторонами, подписывающими настоящий Меморандум (в дальнейшем именуемые «Стороны»).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важность регионального сотрудничества в целях поддержания роста и содействия экономическому и социальному развитию стран Азии и укрепления региональной устойчивости к потенциальным финансовым кризисам и другим внешним шокам в условиях глобализации;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развития инфраструктуры в расширении региональных связей и улучшений региональной интеграции, что способствует обеспечению экономического роста и поддержанию социального развития людей в Азии и вносит свой вклад в динамику глобальной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 то, что значительная долгосрочная потребность в финансировании развития инфраструктуры в Азии, будет выполняться более адекватно путем партнерства между существующими многосторонними банками развития (далее - МБР) и создаваемым Азиатским банком инфраструктурных инвестиций (далее - Банк);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создание Банка поможет мобилизации столь необходимых дополнительных ресурсов внутри и за пределами Азии, как многостороннего финансового института, направленного на развитие инфраструктуры, устранение финансовых препятствий, с которыми сталкиваются отдельные экономики в Азии, и дополнит существующие МБР, включая Азиатский Банк Развития, для продвижения устойчивого и стабильного роста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после интенсивных консультаций по созданию Банка достигли консенсуса по ключевым элементам Банка, следующим образом: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Мандат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Мандат Банка будет: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Содействовать экономическому развитию, созданию благосостояния и улучшению взаимодействия инфраструктуры в Азии путем инвестирования в инфраструктуру и другие производственные сектора, если это будет сочтено целесообразным;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Содействовать региональному сотрудничеству и партнерству в решении задач в области развития путем работы в тесном сотрудничестве с другими многосторонними и двусторонними институтами развития.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Операции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</w:t>
      </w:r>
      <w:r>
        <w:rPr>
          <w:rFonts w:ascii="Times New Roman"/>
          <w:b/>
          <w:i w:val="false"/>
          <w:color w:val="000000"/>
          <w:sz w:val="28"/>
        </w:rPr>
        <w:t>Источники финансирования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 перечисленные будут являться источниками финансирования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 Оплаченный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Сбор средств с финансовых рынков;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2.1.3 Другие средства по усмотрению.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</w:t>
      </w:r>
      <w:r>
        <w:rPr>
          <w:rFonts w:ascii="Times New Roman"/>
          <w:b/>
          <w:i w:val="false"/>
          <w:color w:val="000000"/>
          <w:sz w:val="28"/>
        </w:rPr>
        <w:t>Использование средств: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будут использованы для кредитов, инвестиций в акционерный капитал, гарантии и другие условия по усмотрению, дополняющие существующие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</w:t>
      </w:r>
      <w:r>
        <w:rPr>
          <w:rFonts w:ascii="Times New Roman"/>
          <w:b/>
          <w:i w:val="false"/>
          <w:color w:val="000000"/>
          <w:sz w:val="28"/>
        </w:rPr>
        <w:t>Валюты: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Валюты Банка будут в виде конвертируемых или неконвертируемых валют по согласию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</w:t>
      </w:r>
      <w:r>
        <w:rPr>
          <w:rFonts w:ascii="Times New Roman"/>
          <w:b/>
          <w:i w:val="false"/>
          <w:color w:val="000000"/>
          <w:sz w:val="28"/>
        </w:rPr>
        <w:t>Приоритетное направление: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Приоритетными направлениями Банка будут инвестиции в инфраструктурные сектора в развивающихся Азиатских странах-членах, включая энергетику, транспорт и телекоммуникации, развитие сельской инфраструктуры и сельского хозяйства, водоснабжение и канализацию, охрану окружающей среды, градостроительство и логистику, а также другие производственные сектора, по усмотрению.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</w:t>
      </w:r>
      <w:r>
        <w:rPr>
          <w:rFonts w:ascii="Times New Roman"/>
          <w:b/>
          <w:i w:val="false"/>
          <w:color w:val="000000"/>
          <w:sz w:val="28"/>
        </w:rPr>
        <w:t>Оперативная политика: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создании собственной оперативной политики, Банк будет следовать принципам инклюзивности, открытости, прозрачности, отчетности и объективности, наряду с прочим, опираясь на передовую практику существующих МБР в отношении политики безопасности и устойчивости долга. Банк будет стимулировать вовлечение частного сектора в его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</w:t>
      </w:r>
      <w:r>
        <w:rPr>
          <w:rFonts w:ascii="Times New Roman"/>
          <w:b/>
          <w:i w:val="false"/>
          <w:color w:val="000000"/>
          <w:sz w:val="28"/>
        </w:rPr>
        <w:t>Трастовые фонды: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одобрения Совета управляющих Банк может создавать трастовые фонды для мобилизации дополнительных финансовых ресурсов из государственного и частного секторов для более полного удовлетворения потребностей развития инфраструктуры в Азии.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III. Капитал и подписной взнос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Уставный капитал Банка установлен в размере 100 миллиардов долларов США. Первоначальный подписной капитал составит около 50 млрд. долларов США, который будет гибким при условии финансовых возможностей членов-учредителей. Оплаченный капитал будет составлять 20 % от подписного капитала, в рассрочку, в форме конвертируемых и/или неконвертируемых валют по согласию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Доля региональных членов будет составлять не менее 70-75 % основного капитала и нерегиональных членов не более чем 25-30 %. Для региональных членов ВВП будет фундаментальным параметром для определения распределения акций, с учетом различных обязательств по взносам, которые каждая страна определяет на основе своих собственных условий. Для нерегиональных членов распределение доли будет основано на будущих консультациях.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Уставный капитал может быть увеличен при условии одобрения Совета управляющих.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IV. Членство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Банк будет оставаться открытым для членства всеми странами/экономиками, при условии, что они привержены региональному развитию в Азии и глобальному экономическому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Первые подписавшие статьи Соглашения (далее - Соглашение) становятся членами-учредителями Банка. Стороны, подписавшие настоящий Меморандум, будут потенциальными членами-учредителями и будут иметь право участвовать в процессе переговоров по Соглашению. Участие других стран в переговорах по Соглашению возможно после присоединения к настоящему Меморандуму и принятия их существующими потенциальными членами-учредителями. Эти страны в дальнейшем будут считаться потенциальными членами-учредителями и Сторонами настоящего Меморандума. Завершение внутреннего законодательного процесса Соглашения происходит по усмотрению подписавших Сторон, но желательно завершить до конца 2015 года, чтобы Банк начал работать в возможно кратчайшие сроки.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V. Структура управления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Структура управления Банка состоит из трех уровней: Совет управляющих, Совет директоров и Менеджмент. Все полномочия Банка возлагаются на Совет управляющих, которые могут делегировать Совету директоров и Менеджменту свои полномочия, как будет предусмотрено в Соглашении. Банк должен опираться на передовые практики существующих МБР в создании его руководящей структуры, чтобы обеспечить надлежащий контроль и сбалансированность, эффективность и результативность в своем управлении и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Совет директоров вначале будет состоять не из числа членов-учредителей, которые будут встречаться на регулярной основе для принятия ключевых решений. Банк разработает эффективный механизм надзора, чтобы обеспечить подотчетность Менеджмента. Президент и высшее руководство Банка будут выбраны путем открытого, прозрачного и обоснованного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Каждый член-учредитель будет наделен определенным количеством базовых голосов в равной доле плюс пропорциональные голоса, основанные на доле акций, в целях защиты интересов миноритарных акционеров. Члены-учредители должны иметь привилегии в Совете избирательных округов (группа, состоящая из членов-учредителей, в которой проходят выборы), как будет предусмотрено в Соглашении. Независимо от количества их голосов, члены-учредители будут иметь привилегию выступать в качестве директора или заместителя директора постоянно или на основе ротации. Большинство или специально требуемое большинство голосов, необходимое для принятия резолюции Советом управляющих или/и Советом директоров, будет зависеть от характера вопроса, как будет предусмотрено в Соглашении.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VI. Расположение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 будет иметь головной офис в городе Пекин. Банк может создать, по мере необходимости, местные/региональные отделения в других странах.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VII. Разное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Стороны сохраняют строгую конфиденциальность всех данных, информации и других материалов в печатном или электронном виде, сообщаемых или представляемых Сторонами, связанных с созданием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Стороны признают, что настоящий Меморандум не является юридически обязательным и подготовлен в качестве основы для внутреннего рассмотрения соответствующими Сторонами и подготовки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Стороны достигли взаимопонимания, что после подписания настоящего Меморандума, Китай по согласованию с членами-учредителями будет занимать лидирующую роль в формировании Многостороннего Временного Секретариата, состоящего из квалифицированных специалистов для подготовки проекта Соглашения и технического плана, охватывающего с структуру управления, операционной политики, процедур и т.д. Многосторонний Временный Секретариат представит проект Соглашения и технический план Сторонам для консультации и согласования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Настоящий Меморандум может дополняться или изменяться в любое время по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7.5. Настоящий Меморандум будет действовать в течение двух лет после подписания настоящего Меморандума или до момента вступления в силу Соглашения, в зависимости от того, что наступит ранее. Срок действия настоящего Меморандума может быть продлен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вышеизложенного, настоящий Меморандум был надлежащим образом оформлен по состоянию на дату первого письменного подпоили.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20"/>
        <w:gridCol w:w="6680"/>
      </w:tblGrid>
      <w:tr>
        <w:trPr>
          <w:trHeight w:val="1410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Бангладеш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Бруней-Даруссалам</w:t>
            </w:r>
          </w:p>
        </w:tc>
      </w:tr>
      <w:tr>
        <w:trPr>
          <w:trHeight w:val="112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Королевства Камбоджа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  <w:tr>
        <w:trPr>
          <w:trHeight w:val="100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Индия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Индонезия</w:t>
            </w:r>
          </w:p>
        </w:tc>
      </w:tr>
      <w:tr>
        <w:trPr>
          <w:trHeight w:val="100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Кувейт</w:t>
            </w:r>
          </w:p>
        </w:tc>
      </w:tr>
      <w:tr>
        <w:trPr>
          <w:trHeight w:val="1530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Лаосской 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Малайзия</w:t>
            </w:r>
          </w:p>
        </w:tc>
      </w:tr>
      <w:tr>
        <w:trPr>
          <w:trHeight w:val="127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Монголии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Союз Мьянмы</w:t>
            </w:r>
          </w:p>
        </w:tc>
      </w:tr>
      <w:tr>
        <w:trPr>
          <w:trHeight w:val="1530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Федеративной 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Непал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Султаната Оман</w:t>
            </w:r>
          </w:p>
        </w:tc>
      </w:tr>
      <w:tr>
        <w:trPr>
          <w:trHeight w:val="100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Пакистан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Филиппины</w:t>
            </w:r>
          </w:p>
        </w:tc>
      </w:tr>
      <w:tr>
        <w:trPr>
          <w:trHeight w:val="100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Катар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Сингапур</w:t>
            </w:r>
          </w:p>
        </w:tc>
      </w:tr>
      <w:tr>
        <w:trPr>
          <w:trHeight w:val="1530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Демократической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Шри-Ланка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Королевства Таиланд</w:t>
            </w:r>
          </w:p>
        </w:tc>
      </w:tr>
      <w:tr>
        <w:trPr>
          <w:trHeight w:val="1815" w:hRule="atLeast"/>
        </w:trPr>
        <w:tc>
          <w:tcPr>
            <w:tcW w:w="7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Социалистической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Вьетнам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