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66c4" w14:textId="d7e6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о взаимопонимании по созданию Азиатского банка инфраструктурных инвестиций между правительствами потенциальных членов-учредителей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2014 года № 1123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 взаимопонимании по созданию Азиатского банка инфраструктурных инвестиций между правительствами потенциальных членов-учредителей.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национальной экономики Республики Казахстан Досаева Ерболата Аскарбековича подписать от имени Правительства Республики Казахстан Меморандум о взаимопонимании по созданию Азиатского банка инфраструктурных инвестиций между правительствами потенциальных членов-учредителей,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2014 года № 1123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 о взаимопонимании по созданию Азиатского банка</w:t>
      </w:r>
      <w:r>
        <w:br/>
      </w:r>
      <w:r>
        <w:rPr>
          <w:rFonts w:ascii="Times New Roman"/>
          <w:b/>
          <w:i w:val="false"/>
          <w:color w:val="000000"/>
        </w:rPr>
        <w:t>
инфраструктурных инвестиций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правительствами потенциальных членов-учредителей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Меморандум о взаимопонимании по созданию Азиатского банка инфраструктурных инвестиций (далее - Меморандум) заключен 24 октября 2014 года в городе Пекин, между сторонами, подписывающими настоящий Меморандум (в дальнейшем именуемые «Стороны»).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важность регионального сотрудничества в целях поддержания роста и содействия экономическому и социальному развитию стран Азии и укрепления региональной устойчивости к потенциальным финансовым кризисам и другим внешним шокам в условиях глобализации;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значение развития инфраструктуры в расширении региональных связей и улучшений региональной интеграции, что способствует обеспечению экономического роста и поддержанию социального развития людей в Азии и вносит свой вклад в динамику глобальной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понимая то, что значительная долгосрочная потребность в финансировании развития инфраструктуры в Азии, будет выполняться более адекватно путем партнерства между существующими многосторонними банками развития (далее - МБР) и создаваемым Азиатским банком инфраструктурных инвестиций (далее - Банк);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 в том, что создание Банка поможет мобилизации столь необходимых дополнительных ресурсов внутри и за пределами Азии, как многостороннего финансового института, направленного на развитие инфраструктуры, устранение финансовых препятствий, с которыми сталкиваются отдельные экономики в Азии, и дополнит существующие МБР, включая Азиатский Банк Развития, для продвижения устойчивого и стабильного роста в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после интенсивных консультаций по созданию Банка достигли консенсуса по ключевым элементам Банка, следующим образом: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I. Мандат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Мандат Банка будет: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Содействовать экономическому развитию, созданию благосостояния и улучшению взаимодействия инфраструктуры в Азии путем инвестирования в инфраструктуру и другие производственные сектора, если это будет сочтено целесообразным;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 Содействовать региональному сотрудничеству и партнерству в решении задач в области развития путем работы в тесном сотрудничестве с другими многосторонними и двусторонними институтами развития.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II. Операции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</w:t>
      </w:r>
      <w:r>
        <w:rPr>
          <w:rFonts w:ascii="Times New Roman"/>
          <w:b/>
          <w:i w:val="false"/>
          <w:color w:val="000000"/>
          <w:sz w:val="28"/>
        </w:rPr>
        <w:t>Источники финансирования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Ниже перечисленные будут являться источниками финансирования Банка: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 Оплаченный капитал;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2.1.2. Сбор средств с финансовых рынков;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2.1.3 Другие средства по усмотрению.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</w:t>
      </w:r>
      <w:r>
        <w:rPr>
          <w:rFonts w:ascii="Times New Roman"/>
          <w:b/>
          <w:i w:val="false"/>
          <w:color w:val="000000"/>
          <w:sz w:val="28"/>
        </w:rPr>
        <w:t>Использование средств: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Средства будут использованы для кредитов, инвестиций в акционерный капитал, гарантии и другие условия по усмотрению, дополняющие существующие источники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</w:t>
      </w:r>
      <w:r>
        <w:rPr>
          <w:rFonts w:ascii="Times New Roman"/>
          <w:b/>
          <w:i w:val="false"/>
          <w:color w:val="000000"/>
          <w:sz w:val="28"/>
        </w:rPr>
        <w:t>Валюты:</w:t>
      </w:r>
      <w:r>
        <w:rPr>
          <w:rFonts w:ascii="Times New Roman"/>
          <w:b w:val="false"/>
          <w:i w:val="false"/>
          <w:color w:val="000000"/>
          <w:sz w:val="28"/>
        </w:rPr>
        <w:t xml:space="preserve"> Валюты Банка будут в виде конвертируемых или неконвертируемых валют по согласию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</w:t>
      </w:r>
      <w:r>
        <w:rPr>
          <w:rFonts w:ascii="Times New Roman"/>
          <w:b/>
          <w:i w:val="false"/>
          <w:color w:val="000000"/>
          <w:sz w:val="28"/>
        </w:rPr>
        <w:t>Приоритетное направление: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Приоритетными направлениями Банка будут инвестиции в инфраструктурные сектора в развивающихся Азиатских странах-членах, включая энергетику, транспорт и телекоммуникации, развитие сельской инфраструктуры и сельского хозяйства, водоснабжение и канализацию, охрану окружающей среды, градостроительство и логистику, а также другие производственные сектора, по усмотрению.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</w:t>
      </w:r>
      <w:r>
        <w:rPr>
          <w:rFonts w:ascii="Times New Roman"/>
          <w:b/>
          <w:i w:val="false"/>
          <w:color w:val="000000"/>
          <w:sz w:val="28"/>
        </w:rPr>
        <w:t>Оперативная политика: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создании собственной оперативной политики, Банк будет следовать принципам инклюзивности, открытости, прозрачности, отчетности и объективности, наряду с прочим, опираясь на передовую практику существующих МБР в отношении политики безопасности и устойчивости долга. Банк будет стимулировать вовлечение частного сектора в его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</w:t>
      </w:r>
      <w:r>
        <w:rPr>
          <w:rFonts w:ascii="Times New Roman"/>
          <w:b/>
          <w:i w:val="false"/>
          <w:color w:val="000000"/>
          <w:sz w:val="28"/>
        </w:rPr>
        <w:t>Трастовые фонды: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одобрения Совета управляющих Банк может создавать трастовые фонды для мобилизации дополнительных финансовых ресурсов из государственного и частного секторов для более полного удовлетворения потребностей развития инфраструктуры в Азии.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III. Капитал и подписной взнос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Уставный капитал Банка установлен в размере 100 миллиардов долларов США. Первоначальный подписной капитал составит около 50 млрд. долларов США, который будет гибким при условии финансовых возможностей членов-учредителей. Оплаченный капитал будет составлять 20 % от подписного капитала, в рассрочку, в форме конвертируемых и/или неконвертируемых валют по согласию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Доля региональных членов будет составлять не менее 70-75 % основного капитала и нерегиональных членов не более чем 25-30 %. Для региональных членов ВВП будет фундаментальным параметром для определения распределения акций, с учетом различных обязательств по взносам, которые каждая страна определяет на основе своих собственных условий. Для нерегиональных членов распределение доли будет основано на будущих консультациях.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Уставный капитал может быть увеличен при условии одобрения Совета управляющих.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IV. Членство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Банк будет оставаться открытым для членства всеми странами/экономиками, при условии, что они привержены региональному развитию в Азии и глобальному экономическому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Первые подписавшие статьи Соглашения (далее - Соглашение) становятся членами-учредителями Банка. Стороны, подписавшие настоящий Меморандум, будут потенциальными членами-учредителями и будут иметь право участвовать в процессе переговоров по Соглашению. Участие других стран в переговорах по Соглашению возможно после присоединения к настоящему Меморандуму и принятия их существующими потенциальными членами-учредителями. Эти страны в дальнейшем будут считаться потенциальными членами-учредителями и Сторонами настоящего Меморандума. Завершение внутреннего законодательного процесса Соглашения происходит по усмотрению подписавших Сторон, но желательно завершить до конца 2015 года, чтобы Банк начал работать в возможно кратчайшие сроки.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V. Структура управления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Структура управления Банка состоит из трех уровней: Совет управляющих, Совет директоров и Менеджмент. Все полномочия Банка возлагаются на Совет управляющих, которые могут делегировать Совету директоров и Менеджменту свои полномочия, как будет предусмотрено в Соглашении. Банк должен опираться на передовые практики существующих МБР в создании его руководящей структуры, чтобы обеспечить надлежащий контроль и сбалансированность, эффективность и результативность в своем управлении и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Совет директоров вначале будет состоять не из числа членов-учредителей, которые будут встречаться на регулярной основе для принятия ключевых решений. Банк разработает эффективный механизм надзора, чтобы обеспечить подотчетность Менеджмента. Президент и высшее руководство Банка будут выбраны путем открытого, прозрачного и обоснованного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Каждый член-учредитель будет наделен определенным количеством базовых голосов в равной доле плюс пропорциональные голоса, основанные на доле акций, в целях защиты интересов миноритарных акционеров. Члены-учредители должны иметь привилегии в Совете избирательных округов (группа, состоящая из членов-учредителей, в которой проходят выборы), как будет предусмотрено в Соглашении. Независимо от количества их голосов, члены-учредители будут иметь привилегию выступать в качестве директора или заместителя директора постоянно или на основе ротации. Большинство или специально требуемое большинство голосов, необходимое для принятия резолюции Советом управляющих или/и Советом директоров, будет зависеть от характера вопроса, как будет предусмотрено в Соглашении.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VI. Расположение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Банк будет иметь головной офис в городе Пекин. Банк может создать, по мере необходимости, местные/региональные отделения в других странах.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VII. Разное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Стороны сохраняют строгую конфиденциальность всех данных, информации и других материалов в печатном или электронном виде, сообщаемых или представляемых Сторонами, связанных с созданием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7.2. Стороны признают, что настоящий Меморандум не является юридически обязательным и подготовлен в качестве основы для внутреннего рассмотрения соответствующими Сторонами и подготовки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7.3. Стороны достигли взаимопонимания, что после подписания настоящего Меморандума, Китай по согласованию с членами-учредителями будет занимать лидирующую роль в формировании Многостороннего Временного Секретариата, состоящего из квалифицированных специалистов для подготовки проекта Соглашения и технического плана, охватывающего с структуру управления, операционной политики, процедур и т.д. Многосторонний Временный Секретариат представит проект Соглашения и технический план Сторонам для консультации и согласования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7.4. Настоящий Меморандум может дополняться или изменяться в любое время по согласию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7.5. Настоящий Меморандум будет действовать в течение двух лет после подписания настоящего Меморандума или до момента вступления в силу Соглашения, в зависимости от того, что наступит ранее. Срок действия настоящего Меморандума может быть продлен по согласованию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подтверждение вышеизложенного, настоящий Меморандум был надлежащим образом оформлен по состоянию на дату первого письменного подпоили.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20"/>
        <w:gridCol w:w="6680"/>
      </w:tblGrid>
      <w:tr>
        <w:trPr>
          <w:trHeight w:val="1410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Бангладеш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 Бруней-Даруссалам</w:t>
            </w:r>
          </w:p>
        </w:tc>
      </w:tr>
      <w:tr>
        <w:trPr>
          <w:trHeight w:val="1125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Королевства Камбоджа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  <w:tr>
        <w:trPr>
          <w:trHeight w:val="1005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Индия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Индонезия</w:t>
            </w:r>
          </w:p>
        </w:tc>
      </w:tr>
      <w:tr>
        <w:trPr>
          <w:trHeight w:val="1005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 Кувейт</w:t>
            </w:r>
          </w:p>
        </w:tc>
      </w:tr>
      <w:tr>
        <w:trPr>
          <w:trHeight w:val="1530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Лаосской Народно-Демократической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Малайзия</w:t>
            </w:r>
          </w:p>
        </w:tc>
      </w:tr>
      <w:tr>
        <w:trPr>
          <w:trHeight w:val="1275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Монголии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Союз Мьянмы</w:t>
            </w:r>
          </w:p>
        </w:tc>
      </w:tr>
      <w:tr>
        <w:trPr>
          <w:trHeight w:val="1530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Федеративной Демократической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Непал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Султаната Оман</w:t>
            </w:r>
          </w:p>
        </w:tc>
      </w:tr>
      <w:tr>
        <w:trPr>
          <w:trHeight w:val="1005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Исламской Республики Пакистан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Филиппины</w:t>
            </w:r>
          </w:p>
        </w:tc>
      </w:tr>
      <w:tr>
        <w:trPr>
          <w:trHeight w:val="1005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 Катар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Сингапур</w:t>
            </w:r>
          </w:p>
        </w:tc>
      </w:tr>
      <w:tr>
        <w:trPr>
          <w:trHeight w:val="1530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Демократической Социалистической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Шри-Ланка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Королевства Таиланд</w:t>
            </w:r>
          </w:p>
        </w:tc>
      </w:tr>
      <w:tr>
        <w:trPr>
          <w:trHeight w:val="1815" w:hRule="atLeast"/>
        </w:trPr>
        <w:tc>
          <w:tcPr>
            <w:tcW w:w="7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Социалистической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Вьетнам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