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8e6e7" w14:textId="758e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и дополнений в Указ Президента Республики Казахстан от 7 декабря 2010 года № 1118 "Об утверждении Государственной программы развития образования Республики Казахстан на 2011 - 2020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декабря 2014 года № 1297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Указа Президента Республики Казахстан «О внесении изменений и дополнений в Указ Президента Республики Казахстан от 7 декабря 2010 года № 1118 «Об утверждении Государственной программы развития образования Республики Казахстан на 2011г -2020 годы».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и дополнений в Указ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7 декабря 2010 года № 1118 «Об</w:t>
      </w:r>
      <w:r>
        <w:br/>
      </w:r>
      <w:r>
        <w:rPr>
          <w:rFonts w:ascii="Times New Roman"/>
          <w:b/>
          <w:i w:val="false"/>
          <w:color w:val="000000"/>
        </w:rPr>
        <w:t>
утверждении Государственной программы развития образования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на 2011 - 2020 годы»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«Об утверждении Государственной программы развития образования Республики Казахстан на 2011 - 2020 годы» (САПП Республики Казахстан, 2011 г., № 5, ст. 49)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программе развития образования Республики Казахстан на 2011 - 2020 годы,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«1. 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«Задачах»: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«осуществление перехода на 12-летнюю модель обучения с последовательным обновлением содержания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«Целевых индикаторах»: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«осуществлен последовательный переход на 12-летнюю модель обучения с 1-го класса;»;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«4. Цели, задачи, целевые индикаторы и показатели результатов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«Целевые индикаторы:»: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2"/>
        <w:gridCol w:w="2271"/>
        <w:gridCol w:w="1469"/>
        <w:gridCol w:w="2188"/>
      </w:tblGrid>
      <w:tr>
        <w:trPr>
          <w:trHeight w:val="990" w:hRule="atLeast"/>
        </w:trPr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организациях образования созданы попечительские советы 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</w:tr>
      <w:tr>
        <w:trPr>
          <w:trHeight w:val="240" w:hRule="atLeast"/>
        </w:trPr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организаций образования прошли повышение квалификации и переподготовку в области менеджмента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29%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</w:tr>
      <w:tr>
        <w:trPr>
          <w:trHeight w:val="465" w:hRule="atLeast"/>
        </w:trPr>
        <w:tc>
          <w:tcPr>
            <w:tcW w:w="8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 используется система электронного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2"/>
        <w:gridCol w:w="1804"/>
        <w:gridCol w:w="2102"/>
        <w:gridCol w:w="2102"/>
      </w:tblGrid>
      <w:tr>
        <w:trPr>
          <w:trHeight w:val="480" w:hRule="atLeast"/>
        </w:trPr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 созданы попечительские советы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60,7%</w:t>
            </w:r>
          </w:p>
        </w:tc>
      </w:tr>
      <w:tr>
        <w:trPr>
          <w:trHeight w:val="2010" w:hRule="atLeast"/>
        </w:trPr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руководители организаций образования прошли повышение квалификации в области менеджмента и по программе повышения квалификации руководителей общеобразовательных организаций Республики Казахстан, разработанной АОО «НИШ» совместно с Кембриджским университетом (1 раз в 5 лет)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65" w:hRule="atLeast"/>
        </w:trPr>
        <w:tc>
          <w:tcPr>
            <w:tcW w:w="7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образования используется система электронного обучения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14,2%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9"/>
        <w:gridCol w:w="1674"/>
        <w:gridCol w:w="2088"/>
        <w:gridCol w:w="2149"/>
      </w:tblGrid>
      <w:tr>
        <w:trPr>
          <w:trHeight w:val="465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2020 году осуществлен полный переход на 12-летнюю модель обучения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1-10,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</w:tr>
      <w:tr>
        <w:trPr>
          <w:trHeight w:val="705" w:hRule="atLeast"/>
        </w:trPr>
        <w:tc>
          <w:tcPr>
            <w:tcW w:w="8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школ в рамках проекта «Назарбаев Интеллектуальные школы» во всех регионах Казахстана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8"/>
        <w:gridCol w:w="1674"/>
        <w:gridCol w:w="2089"/>
        <w:gridCol w:w="2119"/>
      </w:tblGrid>
      <w:tr>
        <w:trPr>
          <w:trHeight w:val="705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 начат последовательный переход на 12-летнюю модель обучения: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(апробация)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1,2,3,4,5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</w:p>
        </w:tc>
      </w:tr>
      <w:tr>
        <w:trPr>
          <w:trHeight w:val="480" w:hRule="atLeast"/>
        </w:trPr>
        <w:tc>
          <w:tcPr>
            <w:tcW w:w="8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Назарбаев Интеллектуальных школ во всех регионах Казахстана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4"/>
        <w:gridCol w:w="2038"/>
        <w:gridCol w:w="1889"/>
        <w:gridCol w:w="2069"/>
      </w:tblGrid>
      <w:tr>
        <w:trPr>
          <w:trHeight w:val="930" w:hRule="atLeast"/>
        </w:trPr>
        <w:tc>
          <w:tcPr>
            <w:tcW w:w="8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учащихся казахстанской общеобразовательной школы в международных сравнительных исследованиях PISA, TIMSS, PIRLS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PISA: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PISA: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PIRLS: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место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4"/>
        <w:gridCol w:w="1829"/>
        <w:gridCol w:w="2033"/>
        <w:gridCol w:w="2324"/>
      </w:tblGrid>
      <w:tr>
        <w:trPr>
          <w:trHeight w:val="4050" w:hRule="atLeast"/>
        </w:trPr>
        <w:tc>
          <w:tcPr>
            <w:tcW w:w="7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учащихся казахстанской общеобразовательной школы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исследованиях PISA, TIMSS, PIRLS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7-11 место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PISA: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баллов,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TIMSS: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4-х и 8-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 классов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PISA-2018: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баллов,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TIMSS-2019: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баллов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4-х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8-х 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PIRLS-2016: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ICILS-2018: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9"/>
        <w:gridCol w:w="2076"/>
        <w:gridCol w:w="1868"/>
        <w:gridCol w:w="2107"/>
      </w:tblGrid>
      <w:tr>
        <w:trPr>
          <w:trHeight w:val="1395" w:hRule="atLeast"/>
        </w:trPr>
        <w:tc>
          <w:tcPr>
            <w:tcW w:w="7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2"/>
        <w:gridCol w:w="1863"/>
        <w:gridCol w:w="2072"/>
        <w:gridCol w:w="2103"/>
      </w:tblGrid>
      <w:tr>
        <w:trPr>
          <w:trHeight w:val="1185" w:hRule="atLeast"/>
        </w:trPr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95%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3"/>
        <w:gridCol w:w="2025"/>
        <w:gridCol w:w="1876"/>
        <w:gridCol w:w="2116"/>
      </w:tblGrid>
      <w:tr>
        <w:trPr>
          <w:trHeight w:val="915" w:hRule="atLeast"/>
        </w:trPr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обучившихся по госзаказу, трудоустроенных по специальности в первый год после окончания вуза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78%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</w:tr>
      <w:tr>
        <w:trPr>
          <w:trHeight w:val="465" w:hRule="atLeast"/>
        </w:trPr>
        <w:tc>
          <w:tcPr>
            <w:tcW w:w="7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вузов Казахстана, отмеченных в рейтинге лучших мировых университетов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9"/>
        <w:gridCol w:w="1787"/>
        <w:gridCol w:w="2217"/>
        <w:gridCol w:w="2237"/>
      </w:tblGrid>
      <w:tr>
        <w:trPr>
          <w:trHeight w:val="900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высших учебных заведений, обучившихся по госзаказу, трудоустроенных по специальности в первый год после окончания вуза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82%</w:t>
            </w:r>
          </w:p>
        </w:tc>
      </w:tr>
      <w:tr>
        <w:trPr>
          <w:trHeight w:val="915" w:hRule="atLeast"/>
        </w:trPr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вузов Казахстана, отмеченных в рейтинге лучших мировых университетов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QS рейтинг «ТОП-600+»: 2 вуза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QS рейтинг «ТОП-600+»: 4 вуза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«Достижения задач будут измеряться следующими показателями:»: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4"/>
        <w:gridCol w:w="1538"/>
        <w:gridCol w:w="1830"/>
        <w:gridCol w:w="1830"/>
        <w:gridCol w:w="2298"/>
      </w:tblGrid>
      <w:tr>
        <w:trPr>
          <w:trHeight w:val="465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педагогов профильной школы, имеющих степень магистра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1155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молодых специалистов, вновь прибывших для работы в организации образования в текущем году, от общего количества педагогов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4"/>
        <w:gridCol w:w="1538"/>
        <w:gridCol w:w="1830"/>
        <w:gridCol w:w="1830"/>
        <w:gridCol w:w="2298"/>
      </w:tblGrid>
      <w:tr>
        <w:trPr>
          <w:trHeight w:val="1155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педагогов начальных классов, прошедших курсы повышения квалификации по вопросам обновления содержания общего среднего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1170" w:hRule="atLeast"/>
        </w:trPr>
        <w:tc>
          <w:tcPr>
            <w:tcW w:w="6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молодых специалистов, прибывших для работы в организации образования в текущем году, от общего количества педагогов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4,5 %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6%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1515"/>
        <w:gridCol w:w="1837"/>
        <w:gridCol w:w="1838"/>
        <w:gridCol w:w="2308"/>
      </w:tblGrid>
      <w:tr>
        <w:trPr>
          <w:trHeight w:val="915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специалистов системы повышения квалификации с академическими и учеными степенями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3,4%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5%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ППС системы повышения квалификации с академическими и учеными степенями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3,4%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37,5%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6"/>
        <w:gridCol w:w="1459"/>
        <w:gridCol w:w="1783"/>
        <w:gridCol w:w="1989"/>
        <w:gridCol w:w="2313"/>
      </w:tblGrid>
      <w:tr>
        <w:trPr>
          <w:trHeight w:val="345" w:hRule="atLeast"/>
        </w:trPr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корпоративного управления в гражданских вузах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44%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65%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6"/>
        <w:gridCol w:w="1459"/>
        <w:gridCol w:w="1783"/>
        <w:gridCol w:w="1989"/>
        <w:gridCol w:w="2313"/>
      </w:tblGrid>
      <w:tr>
        <w:trPr>
          <w:trHeight w:val="705" w:hRule="atLeast"/>
        </w:trPr>
        <w:tc>
          <w:tcPr>
            <w:tcW w:w="6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принципов корпоративного управления в гражданских вузах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44%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1"/>
        <w:gridCol w:w="1682"/>
        <w:gridCol w:w="1709"/>
        <w:gridCol w:w="1790"/>
        <w:gridCol w:w="2598"/>
      </w:tblGrid>
      <w:tr>
        <w:trPr>
          <w:trHeight w:val="465" w:hRule="atLeast"/>
        </w:trPr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школ, ведущих занятия в три смены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0,2%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1"/>
        <w:gridCol w:w="1682"/>
        <w:gridCol w:w="1709"/>
        <w:gridCol w:w="1790"/>
        <w:gridCol w:w="2598"/>
      </w:tblGrid>
      <w:tr>
        <w:trPr>
          <w:trHeight w:val="465" w:hRule="atLeast"/>
        </w:trPr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школ, ведущих занятия в три смены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0,9%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0,8%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0"/>
        <w:gridCol w:w="1355"/>
        <w:gridCol w:w="1622"/>
        <w:gridCol w:w="1623"/>
        <w:gridCol w:w="3470"/>
      </w:tblGrid>
      <w:tr>
        <w:trPr>
          <w:trHeight w:val="114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обучающихся детско-юношескими спортивными школами от общего количества обучающихся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8%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14,5%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туризма и спорта Республики Казахстан</w:t>
            </w:r>
          </w:p>
        </w:tc>
      </w:tr>
      <w:tr>
        <w:trPr>
          <w:trHeight w:val="240" w:hRule="atLeast"/>
        </w:trPr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 школьного возраста, охваченных художественным, музыкальным, техническим, научным творчеством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21,5%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23%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38%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400"/>
        <w:gridCol w:w="1695"/>
        <w:gridCol w:w="1724"/>
        <w:gridCol w:w="2813"/>
      </w:tblGrid>
      <w:tr>
        <w:trPr>
          <w:trHeight w:val="91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обучающихся детско-юношескими спортивными школами от общего количества обучающихся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12%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14,5 %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МКС</w:t>
            </w:r>
          </w:p>
        </w:tc>
      </w:tr>
      <w:tr>
        <w:trPr>
          <w:trHeight w:val="114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детей, охваченных дополнительным образованием, от общего количества школьников в организациях общего среднего и дополнительного образования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21,5%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60%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3"/>
        <w:gridCol w:w="1456"/>
        <w:gridCol w:w="1779"/>
        <w:gridCol w:w="1779"/>
        <w:gridCol w:w="2543"/>
      </w:tblGrid>
      <w:tr>
        <w:trPr>
          <w:trHeight w:val="1380" w:hRule="atLeast"/>
        </w:trPr>
        <w:tc>
          <w:tcPr>
            <w:tcW w:w="6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9%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9"/>
        <w:gridCol w:w="1482"/>
        <w:gridCol w:w="1805"/>
        <w:gridCol w:w="1746"/>
        <w:gridCol w:w="2538"/>
      </w:tblGrid>
      <w:tr>
        <w:trPr>
          <w:trHeight w:val="1380" w:hRule="atLeast"/>
        </w:trPr>
        <w:tc>
          <w:tcPr>
            <w:tcW w:w="6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детей, охваченных инклюзивным образованием, от общего количества детей с ограниченными возможностями в развитии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9%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4"/>
        <w:gridCol w:w="1397"/>
        <w:gridCol w:w="1720"/>
        <w:gridCol w:w="1721"/>
        <w:gridCol w:w="2778"/>
      </w:tblGrid>
      <w:tr>
        <w:trPr>
          <w:trHeight w:val="1650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специальностей ТиПО, обеспеченных профессиональными стандартами, от общего количества специальностей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1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ассоциации работодателей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400"/>
        <w:gridCol w:w="1695"/>
        <w:gridCol w:w="1724"/>
        <w:gridCol w:w="2813"/>
      </w:tblGrid>
      <w:tr>
        <w:trPr>
          <w:trHeight w:val="24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специальностей ТиПО, обеспеченных профессиональными стандартами, от общего количества специальностей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35%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отраслевые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ассоциации работодателей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8"/>
        <w:gridCol w:w="1371"/>
        <w:gridCol w:w="1665"/>
        <w:gridCol w:w="1695"/>
        <w:gridCol w:w="2901"/>
      </w:tblGrid>
      <w:tr>
        <w:trPr>
          <w:trHeight w:val="1125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интегрированных образовательных учебных программ, разработанных с участием работодателей и международных экспертов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МИО, ассоциации работодателей</w:t>
            </w:r>
          </w:p>
        </w:tc>
      </w:tr>
      <w:tr>
        <w:trPr>
          <w:trHeight w:val="1590" w:hRule="atLeast"/>
        </w:trPr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обучающихся, обеспеченных местами для прохождения практики на базе предприятий, от общего количества обучаемых за счет госзаказа в учебных заведениях ТиПО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85%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МОН, отраслевые министерства, ассоциации работодателей, Союз «Атамекен»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2"/>
        <w:gridCol w:w="1216"/>
        <w:gridCol w:w="1538"/>
        <w:gridCol w:w="1538"/>
        <w:gridCol w:w="3526"/>
      </w:tblGrid>
      <w:tr>
        <w:trPr>
          <w:trHeight w:val="1830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интегрированных образовательных учебных программ технического и профессионального образования, разработанных с участием работодателей и международных экспертов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МЗСР, МИО, ассоциации работодателей, Национальная палата предпринимателей</w:t>
            </w:r>
          </w:p>
        </w:tc>
      </w:tr>
      <w:tr>
        <w:trPr>
          <w:trHeight w:val="1845" w:hRule="atLeast"/>
        </w:trPr>
        <w:tc>
          <w:tcPr>
            <w:tcW w:w="6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обучающихся, обеспеченных местами для прохождения практики на базе предприятий, от общего количества обучаемых за счет госзаказа в учебных заведениях ТиПО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87%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3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МОН, отраслевые министерства, ассоциации работодателей, Национальная палата предпринимателей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8"/>
        <w:gridCol w:w="2015"/>
        <w:gridCol w:w="1954"/>
        <w:gridCol w:w="2238"/>
        <w:gridCol w:w="1895"/>
      </w:tblGrid>
      <w:tr>
        <w:trPr>
          <w:trHeight w:val="3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молодежи типичного возраста техническим и профессиональным образованием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17,6%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20%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23%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8"/>
        <w:gridCol w:w="2015"/>
        <w:gridCol w:w="1954"/>
        <w:gridCol w:w="2238"/>
        <w:gridCol w:w="1895"/>
      </w:tblGrid>
      <w:tr>
        <w:trPr>
          <w:trHeight w:val="30" w:hRule="atLeast"/>
        </w:trPr>
        <w:tc>
          <w:tcPr>
            <w:tcW w:w="5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молодежи типичного возраста техническим и профессиональным образованием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17,6%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16,8%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17,8%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2"/>
        <w:gridCol w:w="1505"/>
        <w:gridCol w:w="1183"/>
        <w:gridCol w:w="1546"/>
        <w:gridCol w:w="1264"/>
      </w:tblGrid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вновь введенных мест в общежитиях для обучающихся ТиПО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 мест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мест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учебных заведений ТиПО, оснащенных современным обучающим оборудованием, от их общего количества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2"/>
        <w:gridCol w:w="1505"/>
        <w:gridCol w:w="1183"/>
        <w:gridCol w:w="1546"/>
        <w:gridCol w:w="1264"/>
      </w:tblGrid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вновь введенных мест в общежитиях для обучающихся ТиПО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 мест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 мест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</w:tr>
      <w:tr>
        <w:trPr>
          <w:trHeight w:val="30" w:hRule="atLeast"/>
        </w:trPr>
        <w:tc>
          <w:tcPr>
            <w:tcW w:w="8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учебных заведений ТиПО, оснащенных современным обучающим оборудованием, от их общего количества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36%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42%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55,7%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5"/>
        <w:gridCol w:w="1450"/>
        <w:gridCol w:w="1801"/>
        <w:gridCol w:w="1772"/>
        <w:gridCol w:w="2532"/>
      </w:tblGrid>
      <w:tr>
        <w:trPr>
          <w:trHeight w:val="825" w:hRule="atLeast"/>
        </w:trPr>
        <w:tc>
          <w:tcPr>
            <w:tcW w:w="6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учебных заведений ТиПО, внедривших основные принципы дуального обучения, от их общего числа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48%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70%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МОН, МЗСР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1518"/>
        <w:gridCol w:w="1841"/>
        <w:gridCol w:w="1842"/>
        <w:gridCol w:w="2313"/>
      </w:tblGrid>
      <w:tr>
        <w:trPr>
          <w:trHeight w:val="135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 стипендиаты программы «Болашак» обучаются в магистратуре, докторантуре, в бакалавриате - от одного семестра до одного академического года, проходят научные стажировки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69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имеющих доступ к Республиканской межвузовской электронной библиотеке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55%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6"/>
        <w:gridCol w:w="1547"/>
        <w:gridCol w:w="1841"/>
        <w:gridCol w:w="1813"/>
        <w:gridCol w:w="2313"/>
      </w:tblGrid>
      <w:tr>
        <w:trPr>
          <w:trHeight w:val="135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2015 года стипендиаты программы «Болашак» обучаются в магистратуре, докторантуре, резидентуре, проходят стажировки (присуждение не более 900 стипендий в год)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690" w:hRule="atLeast"/>
        </w:trPr>
        <w:tc>
          <w:tcPr>
            <w:tcW w:w="6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имеющих доступ к Республиканской межвузовской электронной библиотеке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26%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80%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100%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4"/>
        <w:gridCol w:w="1485"/>
        <w:gridCol w:w="1808"/>
        <w:gridCol w:w="1750"/>
        <w:gridCol w:w="2543"/>
      </w:tblGrid>
      <w:tr>
        <w:trPr>
          <w:trHeight w:val="1365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создавших структурные подразделения научных и проектно-конструкторских организаций, от их общего количества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  <w:tr>
        <w:trPr>
          <w:trHeight w:val="1155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закончивших магистратуру и докторантуру, трудоустроенных в вузы и научные организации в первый год после окончания вуза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4"/>
        <w:gridCol w:w="1485"/>
        <w:gridCol w:w="1808"/>
        <w:gridCol w:w="1750"/>
        <w:gridCol w:w="2543"/>
      </w:tblGrid>
      <w:tr>
        <w:trPr>
          <w:trHeight w:val="270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вузов, создавших структурные подразделения научных и проектно-конструкторских организаций, от общего количества гражданских вузов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МЗСР</w:t>
            </w:r>
          </w:p>
        </w:tc>
      </w:tr>
      <w:tr>
        <w:trPr>
          <w:trHeight w:val="270" w:hRule="atLeast"/>
        </w:trPr>
        <w:tc>
          <w:tcPr>
            <w:tcW w:w="6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выпускников вузов, закончивших магистратуру и докторантуру, трудоустроенных в вузы и научные организации в первый год после окончания вуза, в том числе по специальности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15%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8"/>
        <w:gridCol w:w="1400"/>
        <w:gridCol w:w="1694"/>
        <w:gridCol w:w="1754"/>
        <w:gridCol w:w="2754"/>
      </w:tblGrid>
      <w:tr>
        <w:trPr>
          <w:trHeight w:val="1665" w:hRule="atLeast"/>
        </w:trPr>
        <w:tc>
          <w:tcPr>
            <w:tcW w:w="6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</w:t>
            </w:r>
          </w:p>
        </w:tc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ед.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ед.</w:t>
            </w:r>
          </w:p>
        </w:tc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4"/>
        <w:gridCol w:w="1515"/>
        <w:gridCol w:w="1603"/>
        <w:gridCol w:w="1750"/>
        <w:gridCol w:w="2748"/>
      </w:tblGrid>
      <w:tr>
        <w:trPr>
          <w:trHeight w:val="1515" w:hRule="atLeast"/>
        </w:trPr>
        <w:tc>
          <w:tcPr>
            <w:tcW w:w="6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модульных учебных программ для краткосрочных курсов переподготовки и повышения квалификации работников технического и обслуживающего труда совместно с работодателями</w:t>
            </w:r>
          </w:p>
        </w:tc>
        <w:tc>
          <w:tcPr>
            <w:tcW w:w="1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ед.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ед.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МЗСР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«5. Основные направления, пути достижения поставленных целей программы и соответствующие меры»: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«Статус педагога»: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«Обеспечение системы образования высококвалифицированными кадрами»: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рамках международной стипендии Президента Республики Казахстан «Болашак» будет обеспечена подготовка англоязычных педагогических кадров для среднего, технического и профессионального, высшего и послевузовского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«Педагогические кадры системы дошкольного, общего среднего, технического и профессионального образования будут проходить краткосрочные курсы повышения квалификации, в том числе по обновлению содержания, а также по уровневым программам.»;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одиннадцатый, двенадцатый, тринадцатый, четырнадцатый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«Ежегодно будет выделяться государственный заказ на повышение квалификации педагогических кадров системы дошкольного и среднего образования, в том числе специалистов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интегрированного обучения детей дошкольного и школьного возраста (инклюзивное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с детьми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реализации общеобразовательных программ.»;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«Усиление государственной поддержки и стимулирование труда педагогических работников»: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«Менеджмент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«Целевые индикаторы: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созданы попечительские советы (2015 г. — 47,3%, 2020 г. - 60,7%).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Руководители организаций образования прошли повышение квалификации в области менеджмента и по программе повышения квалификации руководителей общеобразовательных организаций Республики Казахстан, разработанной АОО «НИШ» совместно с Кембриджским университетом (1 раз в 5 лет). (2015 г. - 100%, 2020 г. - 80%).»;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«Система управления образованием»: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внедрения современных технологий менеджмента руководители организаций образования 1 раз в 5 лет будут проходить повышение квалификации в области менеджмента и По программе повышения квалификации руководителей общеобразовательных организаций Республики Казахстан, разработанной АОО «НИШ» совместно с Кембриджским университетом.»;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обеспечения прозрачности деятельности организаций образования и уменьшения процента коррупции в вузах будут проводиться социологические исследования и акции.»;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«Электронное обучение «e-learning»: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у учеников навыков, необходимых в XXI веке, включающих информационную и медиаграмотность, критическое мышление, исследовательские навыки, способность к решению творческих задач, умение работать в команде, самостоятельность, гражданскую ответственность, путем формирования информационно-коммуникационной образовательной среды.»;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Совершенствовать нормативно-правовое обеспечение в части 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Разработать цифровые образовательные ресурсы на трех языках с приоритетом на государственном языке для сопровождения учебно-воспитательного процесса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Организовать сетевое взаимодействие и сотрудничество между всеми участниками образовательного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Повышать эффективность управления образованием через развитие структуры информационно-образовательной среды.»;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«Целевой индикатор»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образования используется система электронного обучения (2015г. - 14,2%, 2020г. - 90%).»;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«Внедрение электронного обучения»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результате внедрения ЭО будет приведена в соответствие нормативно-правовая база для обеспечения функционирования СЭО. Также будет осуществлена интеграция ЭО в новое содержание образования и создан Национальный каталог ЦОР, включающий в себя широкий спектр качественных ресурсов, с приоритетом на государственном языке, необходимых для реализации учебно-воспитательного процесса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 участникам образовательного процесса будет обеспечен равный доступ к открытым образовательным ресурсам и технологиям и созданы условия для сетевого взаимодействия участников и автоматизированы процессы управления системой среднего образования в стране и создана техническая инфраструктура средних школ в соответствии с базовым стандартом оснащения.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Каждый участник образовательного процесса получит доступ к ресурсам и инструментарию качественного образования, овладеет соответствующими компетенциями.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обеспечения доступности и открытости образования каждый ученик будет иметь возможность доступа к широкому спектру ЦОР из любого места, где есть выход в Интернет, что способствует расширению изучаемой информации и повышению интенсивности обучения. Будут созданы равные возможности получения образования независимо от места проживания, состояния здоровья, элитарности и материальной обеспеченности ученика. Каждый ученик сможет сам определять темп обучения, не привязываться ко времени занятия и учителю за счет обеспечения персонализации процессов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внедрения электронного обучения учебный процесс становится средой «погружения» поисковой деятельности для ученика, где учитель выступает в роли фасилитатора, реализуется педагогическое взаимодействие по схеме «субъект - субъект». Учитель будет освобожден от функций передатчика информации, консультанта и координатора, что освободит время для индивидуальной дополнительной работы с учениками.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учителя появится возможность использовать и тиражировать передовой опыт в области обучения за счет применения распределенных обучающих систем и единых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расширения доступа к качественному образованию повышается степень удовлетворенности образовательными услугами, а также информированность и участие в образовательном процессе и родителей учеников.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Образовательные услуги будут предоставлены более широкому кругу людей. Будут обеспечены автоматизация процессов управления системой образования и централизованное повышение квалификации кадров без отрыва от производственной деятельности, независимо от удаленности учебного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созданы возможности для консолидации усилий всех сторон, заинтересованных в качественном образовании, повышена социальная ответственность различных сообществ, обеспечена открытость образовательных систем и транспарентность результатов деятельности учеников и педагогов.»;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«Дошкольное воспитание и обучение»: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Удовлетворение потребности населения в качественных услугах организаций дошкольного воспитания и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Обеспечение до 2015 года полного охвата детей 5-6 летнего возраста предшкольной подготовкой.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Обеспечение равного доступа детей к различным программам дошкольного воспитания и обучения для их подготовки к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Увеличение вариативной сети дошкольных организаций с учетом демографической ситуации в республике и образовательных потребностей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Создание необходимых финансово-экономических условий для решения проблем дефицита дошкольных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Осуществление полного обеспечения дошкольных организаций квалифицированными кадрами и постоянное повышение их квалификации.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Развитие инклюзивного образования (оснащение дошкольных организаций пандусами, подъездами, подъемниками, лифтами и другими приспособлениями).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Обновление содержания воспитания и обучения за счет внедрения новых методик и технологий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«Целевой индикатор»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«Целевой индикатор: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Охват дошкольным воспитанием и обучением детей в возрасте от 3 до 6 лет (2015 г. - 77,7%, 2020 г. - 100%).»;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«Увеличение сети дошкольных организаций»: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расширяться сеть кабинетов психолого-педагогической коррекции (КППК) для оказания коррекционно-педагогической поддержки детям с раннего возраста. До 2015 года сеть кабинетов психолого-педагогической коррекции (КППК) возрастет с 8% до 30% от общего количества детских садов.»;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«Обновление содержания, обеспечение кадрами»: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«увеличится до 100% охват детей с 3-х до 6 лет дошкольным воспитанием и обучением;»;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«Среднее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«Целевые индикаторы:»: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2015 году начат последовательный переход на 12-летнюю модель обучения (2015 г. - 1 классы (апробация), 2020 г. - 1, 2, 3, 4, 5 классы).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Назарбаев Интеллектуальных школ во всех регионах Казахстана (2015 г. - 20 ед., 2020 г. - 20 ед.).»;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«Результаты учащихся казахстанской общеобразовательной школы в международных сравнительных исследованиях PISA, TIMSS, PIRLS (2015 г.: PISA: не менее 450 баллов, TIMSS: не менее 500 баллов для 4-х и 8-х классов, 2020 г.: PISA-2018: не менее 480 баллов, TIMSS- 2019: не менее 520 баллов для 4-х и 8-х классов, PIRLS-2016: не менее 450 баллов, ICILS-2018: не менее 450 баллов).»;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«Переход на 12-летнюю модель образования»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«Переход на 12-летнюю модель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перехода на 12-летнюю модель среднего образования планируется разработать и внедрить государственные общеобязательные стандарты, на основе которых будет осуществлено обновление структуры и содержания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Базовый принцип нового ГОСО - определение ценностей как основ для обновления содержания среднего образования и организации образовательного процесса в школе.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Ценности среднего образования должны стать жизненными ориентирами личности учащегося, мотивирующими поведение и созидательную деятельность, ведущим фактором в формировании личности человека, умеющего реализовывать себя, улучшать качество своей жизни и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Среднее образование, основанное на ценностях, ориентировано на создание условий для развития интеллектуально, физически и духовно развитого гражданина Республики Казахстан, удовлетворения его потребности в получении образования, обеспечивающего успех в быстро меняющемся мире, и тем самым формирования конкурентоспособного человеческого капитала для экономического благополучия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данной миссии среднего образования будет создавать предпосылки для укрепления нравственных ценностей, национально-культурных традиций и обеспечения преемственности поколений, а также становления личности, способной нести ответственность за свою Родину.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ценностного образования школа должна вносить вклад в реализацию общенациональных идей, консолидирующих народ Казахстана, прививать патриотические чувства и способствовать воспитанию их открытыми, доброжелательными гражданами своей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Выпускники системы среднего образования должны быть не только функционально грамотными, но и способными: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ответственность, активную гражданскую позицию и вносить вклад в развитие своей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уважать разнообразие культур и мнений;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творчески и критически мыслить;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быть коммуникативными и дружелюбными;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быть социально-ответственными и заботливыми;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эффективно использовать информационно-коммуникационные средства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быть готовыми к обучению на протяжении всей жизни.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Начиная с 2016 по 2017 годы, будут последовательно внедрены ГОСО и учебные программы начального образования, основного среднего образования и общего среднего образования на основе трансляции опыта Назарбаев интеллектуальных школ с учетом результатов научных исследований, лучшей педагогической практики и эксперимента по переходу на 12-летнее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обеспечена преемственность всех уровней образования на основе интеграции их содержания и его модульного построения, ориентации результатов обучения на достижение навыков широкого спектра и их измерения через критериальную систему оценивания.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Наряду с переходом на 12-летнюю модель среднего образования предполагается частичное обновление содержания 11-летней модели среднего образования. Учащиеся, обучающиеся по действующей 11-летней модели образования, должны обладать навыками, необходимыми для успешной жизнедеятельности в XXI веке.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разработаны учебные программы и планы по предметам: «Казахский язык» (T1, Т2), «Русский язык» (Я1, Я2), «Английский язык», «Информатика», «Проектная деятельность» (6-9 класс), «Глобальные перспективы и проектная деятельность» (10-11 класс). В 2015 году планируется их апробация, а в 2016 году - внедрение в действующую модель 11-летней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ГОСО общего среднего образования будут интегрированы с ГОСО высшего образования (бакалавриат) - отдельные дисциплины цикла общеобразовательных дисциплин высшего образования будут перенесены в программы профильного обучения в 11-12 классах без увеличения учебной нагрузки.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и апробирована программа профильного обучения по направлениям: общественно-гуманитарное и естественно-математическое.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осуществляться разработка учебников и УМК, электронных учебников, перевод и адаптация учебников и УМК для коррекционных организаций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будут разработаны учебники и УМК по программе 12-летней модели обучения, а с 2016 года - их экспертиза.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2016 года все учащиеся общеобразовательных организаций образования будут обеспечены бесплатными учебниками за счет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году начнется последовательный переход на 12-летнюю модель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контингент учащихся на 1 сентября 2015 года по предварительным данным составит около 2,7 млн.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них в 1 класс пойдут более 426 тыс. детей, в том числе по 12-летней программе 5337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2016 году - свыше 341 тыс.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учетом наработанного опыта и международной практики структура системы образования Казахстана с 2015 будет приведена в соответствие со ступенями МСКО. Будет пересмотрен классификатор специальностей технического и профессионального, послесреднего образования. Отдельные образовательные программы среднего технического и профессионального образования будут отнесены к третичному образованию (прикладной бакалавриат), повысится статус колледжей. Для поступления на программы прикладного бакалавриата необходимо завершение полного среднего образования.»;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«Развитие системы инклюзивного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первый, второй, третий и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2015 году для решения данной задачи будут разработаны: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гибкая система оценивания учебных достижений обучающихся на уровне начального и основного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правила организации дистанционного образования детей-инвалидов.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проработан вопрос регламентации порядка приема детей с ограниченными возможностями в общеобразовательные школьные, дошкольные организации и организации учебно-воспитательного процесса в организациях образования, оказывающих образовательные услуги детям с ограниченными возможностями.»;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двенадцатый, тринадцатый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 2015 году сеть организаций дополнительного образования будет увеличена и достигнет 700.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активизирована работа кружков и секций в общеобразовательных школах республики, что позволит увеличить охват детей дополнительным образованием до 60%.»;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«Техническое и профессиональное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«Целевых индикаторах»: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выпускников ТиПО, прошедших оценку уровня профессиональной подготовленности и присвоения квалификации с первого раза, от общего числа принявших участие (2015 г. - 85%, 2020 г. - 95%).»;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«Обновление структуры и содержания технического и профессионального образования с учетом запросов индустриально-инновационного развития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основе Национальной и отраслевых рамок квалификации будет упорядочена структура подготовки кадров.»;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развития практических навыков обучающихся в учебных планах доля профессиональной практики будет увеличена до 60 %. Для этого будет расширена база практики за счет партнерства с работодателями путем внедрения основных принципов дуального обучения.»;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десятым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создана новая инфраструктура технического и профессионального образования на базе учебных заведений НАО «Холдинг «Кәсіпқор» (колледжи мирового уровня, межрегиональные профессиональные центры). Новая инфраструктура будет выстроена на основе передовых мировых практик в области ТиПО с учетом текущих и перспективных потребностей рынка труда и экономики страны.»;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«Развитие инфраструктуры подготовки кадров для отраслей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обеспечено регулирование качества подготовки высококвалифицированных рабочих кадров, в том числе на местах в рамках дуального обучения, с внедрением в отраслях экономики независимой системы сертификации квалификаций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«Высшее послевузовское образование»: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второй,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выпускников высших учебных заведений, обучившихся по госзаказу, трудоустроенных по специальности в первый год после окончания вуза (2015 г. - 80%, 2020 г. - 82%).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вузов Казахстана, отмеченных в рейтинге лучших мировых университетов (2015 г. - QS рейтинг «ТОП-600+»: 2 вуза; 2020 г. - QS рейтинг «ТОП-600+»: 4 вуза);»;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«Обеспечение кадрами с высшим и послевузовским образованием, соответствующими потребностям индустриально-инновационного развития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программе «Болашак» 100% стипендиатов будут обучаться в магистратуре, докторантуре, резидентуре, проходить стажировки. Ежегодно будет присуждаться не более 900 стипендий.»;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предприятиях, в том числе реализующих проекты ГПИИР, будут созданы базы производственной практики.»;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введена производственная практика на предприятиях для студентов, начиная со второго курса.»;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двенадцатым, тринадцатым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«Подготовка кадров будет приведена в соответствие с индустриально-инновационным развитием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Будут осуществляться перепрофилизация и региональная специализация вузов.»;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«Обеспечение интеграции в европейскую зону высшего образования путем приведения содержания и структуры высшего образования в соответствие с параметрами Болонского процесса»: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развития академической мобильности, как одного из принципов Болонской декларации, студенты будут обучаться за рубежом не менее одного академического периода за весь период обучения;»;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«уполномоченными государственными органами соответствующих сфер деятельности совместно с Национальной палатой предпринимателей Республики Казахстан, отраслевыми объединениями работодателей и отраслевыми объединениями работников будут разработаны профессиональные стандарты;»;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«Обеспечение высокой эффективности системы оценки качества высшего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2015 года государственная аттестация постепенно будет заменена национальной институциональной аккредитацией для вузов и колледжей. Государственный контроль будет осуществляться государственными органами в форме проверок на соответствие законодательства об образовании и квалификационных требований, предъявляемых к лицензированию образовательной деятельности.»;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«Обеспечение интеграции образования, науки и производства, создание условий для коммерциализации продуктов интеллектуальной собственности и технологий. Подготовка высококвалифицированных научно-педагогических кадров.»: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реализации направлений индустриально-инновационного развития страны будут созданы при вузах инновационные структуры:»;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«Отдельные вузы будут переданы в доверительное управление консорциумов иностранных инвесторов и отечественных компаний.»;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«Обучение в течение всей жизни»: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«Целевом индикаторе»: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организациях образования с 2016 года будут созданы условия для профессиональной подготовки людей с ограниченными возможностями, созданы специальные образовательные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«Воспитательная работа и молодежная политика»: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«Реализация молодежной политики»: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целью оказания адресной помощи молодежи по месту жительства, учебы и работы в регионах получат развитие молодежные ресурсные центры по оказанию психологических, профилактических, консультационных, методологических, правовых услуг;»;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совершенствоваться нормативно-правовое обеспечение государственной молодежной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организациях ТиПО, ВУЗах и предприятиях будут создаваться Комитеты по делам молодежи и иные структуры по работе с молодежью.»;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«Реализация механизмов раскрытия потенциала молодежи»: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продолжена работа по включению представителей ведущих республиканских молодежных организаций в составы консультативно-совещательных органов по взаимодействию с институтами гражданского общества при центральных и местных исполнительных органах.».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