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5dcf" w14:textId="8c65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драгоценных металлов и драгоценных камней"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2014 года № 1390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драгоценных металлов и драгоценных камней».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</w:t>
      </w:r>
      <w:r>
        <w:br/>
      </w:r>
      <w:r>
        <w:rPr>
          <w:rFonts w:ascii="Times New Roman"/>
          <w:b/>
          <w:i w:val="false"/>
          <w:color w:val="000000"/>
        </w:rPr>
        <w:t>
в некоторые законодательные акты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вопросам драгоценных металлов и драгоценных камней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 № 14, ст. 72; № 15, ст. 76, 81, 82; № 16, ст. 83; № 21-22, ст. 114, 115; № 23-24, ст. 116; 2014 г., № 1, ст. 9; № 4-5, ст. 24; № 7, ст. 36; № 8, ст. 44, 49; № 10, ст. 52; № 11, ст. 63, 64, 65, 69; № 12, ст. 82; № 14, ст. 84; № 16, ст. 90; № 19-II, ст. 96;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управления», опубликованный в газетах «Казахстанская правда» и «Егемен Қазақстан» 8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второй части четвертой подпункта 19-1) пункта 1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остального аффинированного золота:»;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16-1) статьи 248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«16-1) если иное не установлено подпунктом 16) настоящей статьи и статьей 244-4 настоящего Кодекса, инвестиционного золота при одновременном соответствии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инвестиционное золото в форме: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пластин;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фактическая стоимость (цена) за единицу тройских унций реализованного инвестиционного золота, в том числе по рыночному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курсу обмена валюты, установленному на дату реализации, не превышает утренний фиксинг (котировка цены) золота, который установлен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(которая установлена) Лондонской ассоциацией рынка драгоценных металлов на дату реализации;».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(Ведомости Верховного Совета Республики Казахстан, 1995 г., № 3-4, ст. 23; № 12, ст. 88; № 15-16, ст. 100; № 23, ст. 141; Ведомости Парламента Республики Казахстан, 1996 г., № 2, ст. 184; № 11-12, ст. 262; № 19, ст. 370; 1997 г., № 13-14, ст. 205; № 22, ст. 333; 1998 г., № 11-12, ст. 176; 1999 г., № 20, ст. 727; 2000 г, № 3-4, ст. 66; № 22, ст. 408; 2001 г., № 8, ст. 52; № 10, ст. 123; 2003 г., № 15, ст. 138, 139; 2004 г., № 11-12, ст. 66; № 16, ст. 91; № 23, ст. 142; 2005 г., № 14, ст. 55; № 23, ст. 104; 2006 г., № 4, ст. 24; № 13, ст. 86; 2007 г., № 2, ст. 18; № 3, ст. 20; № 4, ст. 33; 2009 г., № 8, ст. 44; № 13-14, ст. 63; № 17, ст. 81; № 19, ст. 88; 2010 г., № 5, ст. 23; 2011 г., № 1, ст. 2; № 5, ст. 43; № 11, ст. 102; № 13, ст. 116; № 24, ст. 196; 2012 г., № 1, ст. 6; № 2, ст. 14; № 13, ст. 91; № 20, ст. 121; 2013 г., № 10-11, ст. 56; 2014 г., № 10, ст. 52; № 11, ст. 61; № 14, ст. 84; № 16, ст. 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59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 (Ведомости Парламента Республики Казахстан, 2011 г., № 1, ст. 1; № 2, ст. 26; № 11, ст. 102; № 15, ст. 120; 2012 г., № 1, ст. 5; № 2, ст. 9, 14; № 3, ст. 21, 25, 27; № 8, ст. 64; № 10, ст. 77; № 11, ст. 80; № 13, ст. 91; № 14, ст. 92, 95; № 15, ст. 97; № 20, ст. 121; № 23-24, ст. 125; 2013 г., № 2, ст. 11; № 10-11, ст. 56; № 14, ст. 72; № 16, ст. 83; № 21-22, ст. 115; № 23-24, ст. 116; 2014 г., № 4-5, ст. 24; № 7, ст. 37; № 8, ст. 49; № 10, ст. 52; № 11, ст. 63, 64, 67; № 14, ст. 84; № 16, ст. 90; № 19-II, ст. 96;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управления», опубликованный в газетах «Казахстанская правда» и «Егемен Қазақстан» 8 ноября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приложения к указанному Закону дополнить подпунктом 108)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«108) в области оборота драгоценных металлов и драгоценных камней.».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разрешениях и уведомлениях» (Ведомости Парламента Республики Казахстан, 2014 г. № 9, ст. 51.):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2 к указанному Закону: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разрешений второй категории дополнить строкой, порядковый номер 395,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6"/>
        <w:gridCol w:w="5036"/>
        <w:gridCol w:w="4692"/>
        <w:gridCol w:w="2056"/>
      </w:tblGrid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аккредитация в области экспертизы (идентификации), опробования и клеймения; 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аккредитации в области экспертизы (идентификации), опробования и клеймения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двадцати одного календарного дня после дня его первого официального опубликования, за исключением пункта 1 статьи 1 настоящего Закона, который вводится в действие 1 января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