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5acd" w14:textId="e9a5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13 декабря 2011 года № 1525 "О некоторых вопросах Карачаганакского проекта"</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2015 года № 194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13 декабря 2011 года № 1525 «О некоторых вопросах Карачаганакского проекта» (САПП Республики Казахстан, 2012 г., № 8, № 39, ст. 154)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о Налоговом режиме Окончательного Соглашения о Разделе Продукции подрядного участка Карачаганакского нефтегазоконденсатного месторождения от 18 ноября 1997 года между компаниями Аджип Карачаганак Б.В. («Аджип»), БГ Эксплорейшн энд Продакшн Лимитед («Бритиш Газ»), Тексако Интернэшнл Петролеум Компани («Тексако»), Открытым Акционерным Обществом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Инструкции</w:t>
      </w:r>
      <w:r>
        <w:rPr>
          <w:rFonts w:ascii="Times New Roman"/>
          <w:b w:val="false"/>
          <w:i w:val="false"/>
          <w:color w:val="000000"/>
          <w:sz w:val="28"/>
        </w:rPr>
        <w:t xml:space="preserve"> о Налоговом режиме «Окончательного Соглашения о Разделе Продукции подрядного участка нефтегазоконденсатного Карачаганакского месторождения» от 18 ноября 1997 года, заключенного между компаниями Аджип Карачаганак Б.В. («Аджип»), БГ Эксплорейшн энд Продакшн Лимитед («Бритиш Газ»), Тексако Интернэшнл Петролеум Компани («Тексако»), Акционерным Обществом Открытого Типа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 утвержденной указанным постановлением:</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«Инструкция о Налоговом режиме Окончательного Соглашения о Разделе Продукции подрядного участка Карачаганакского нефтегазоконденсатного месторождения от 18 ноября 1997 года между компаниями Аджип Карачаганак Б.В. («Аджип»), БГ Эксплорейшн энд Продакшн Лимитед («Бритиш Газ»), Тексако Интернэшнл Петролеум Компани («Тексако»), Открытым Акционерным Обществом «Нефтяная Компания «ЛУКойл» («Лукойл»), Акционерным Обществом Закрытого Типа «Национальная Нефтегазовая Компания «Казахойл» («Казахойл») и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пунктом 13-1 следующего содержания:</w:t>
      </w:r>
      <w:r>
        <w:br/>
      </w:r>
      <w:r>
        <w:rPr>
          <w:rFonts w:ascii="Times New Roman"/>
          <w:b w:val="false"/>
          <w:i w:val="false"/>
          <w:color w:val="000000"/>
          <w:sz w:val="28"/>
        </w:rPr>
        <w:t>
      «13-1. Передача имущества в соответствии с Разделами 12.1 и 12.2 ОСРП не предполагает получения какой-либо прибыли или убытка, в этой связи при такой передаче не возникает дохода и/или оборота по реализации в целях налогообложения. При этом положения данного пункта применяются только в отношении фактически переданного имущества в соответствии с Разделами 12.1 и 12.2 ОСРП.».</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его подписания.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