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f02" w14:textId="258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288.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"34-2. По проектам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31 января 2006 года "О частном предпринимательстве", предусматривающих введение регуляторного инструмента или осуществление ужесточения регулирования в отношении субъектов частного предпринимательства, предварительно проводится процедура анализа регуляторного воздействия в порядке, определяемом уполномоченным органом по предпринимательству.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интернет-ресурсах регулирующих государственных органов.";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в случае, если по проекту постановления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предпринимательстве", к проекту постановления прилагаются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53-1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законов, предусматривающих введение регуляторного инструмента и связанные с ним требования или осуществление ужесточения регулирования в отношении субъектов частного предпринимательства, подлежат анализу регуляторного воздействия в порядке, определяемом уполномоченным органом по предпринимательству.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интернет-ресурсах регулирующих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к законопроекту, предусматривающему введение регуляторного инструмента и связанные с ним требования или осуществление ужесточения регулирования в отношении субъектов частного предпринимательства, прилагается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"157. На основе стратегического плана государственного органа каждый государственный орган разрабатывает меморандум на соответствующий финансовый год, который подписывается первым руководителем государственного органа и утверждается Премьер-Министром.";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строкой, порядковый номер 13,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анализа регуляторного воздействия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строкой, порядковый номер 7-1,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анализа регуляторного воздействия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23.12.2016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