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997a" w14:textId="aca9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проекте "Содействие развитию Стратегии "зеленого роста" и низких выбросов углерода в Восточной Европе, на Кавказе и в Центральной Азии (ВЕКЦА): анализ и поддержка политического диалога по ключевым элементам управления Концепции перехода к "зеленой экономике" (КЗЭ)"</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324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Организацией экономического сотрудничества и развития о проекте «Содействие развитию Стратегии «зеленого роста» и низких выбросов углерода в Восточной Европе, на Кавказе и в Центральной Азии (ВЕКЦА): анализ и поддержка политического диалога по ключевым элементам управления Концепции перехода к «зеленой экономике» (КЗЭ)».</w:t>
      </w:r>
      <w:r>
        <w:br/>
      </w:r>
      <w:r>
        <w:rPr>
          <w:rFonts w:ascii="Times New Roman"/>
          <w:b w:val="false"/>
          <w:i w:val="false"/>
          <w:color w:val="000000"/>
          <w:sz w:val="28"/>
        </w:rPr>
        <w:t>
</w:t>
      </w:r>
      <w:r>
        <w:rPr>
          <w:rFonts w:ascii="Times New Roman"/>
          <w:b w:val="false"/>
          <w:i w:val="false"/>
          <w:color w:val="000000"/>
          <w:sz w:val="28"/>
        </w:rPr>
        <w:t>
      2. Уполномочить Министра энергетики Республики Казахстан Школьника Владимира Сергеевича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проекте «Содействие развитию Стратегии «зеленого роста» и низких выбросов углерода в Восточной Европе, на Кавказе и в Центральной Азии (ВЕКЦА): анализ и поддержка политического диалога по ключевым элементам управления Концепции перехода к «зеленой экономике» (КЗЭ)», разрешив вносить в него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апреля 2015 года № 324</w:t>
      </w:r>
    </w:p>
    <w:p>
      <w:pPr>
        <w:spacing w:after="0"/>
        <w:ind w:left="0"/>
        <w:jc w:val="both"/>
      </w:pPr>
      <w:r>
        <w:rPr>
          <w:rFonts w:ascii="Times New Roman"/>
          <w:b w:val="false"/>
          <w:i w:val="false"/>
          <w:color w:val="000000"/>
          <w:sz w:val="28"/>
        </w:rPr>
        <w:t xml:space="preserve">Проект </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Организацией</w:t>
      </w:r>
      <w:r>
        <w:br/>
      </w:r>
      <w:r>
        <w:rPr>
          <w:rFonts w:ascii="Times New Roman"/>
          <w:b/>
          <w:i w:val="false"/>
          <w:color w:val="000000"/>
        </w:rPr>
        <w:t>
экономического сотрудничества и развития о проекте «Содействие</w:t>
      </w:r>
      <w:r>
        <w:br/>
      </w:r>
      <w:r>
        <w:rPr>
          <w:rFonts w:ascii="Times New Roman"/>
          <w:b/>
          <w:i w:val="false"/>
          <w:color w:val="000000"/>
        </w:rPr>
        <w:t>
развитию Стратегии «зеленого роста» и низких выбросов углерода</w:t>
      </w:r>
      <w:r>
        <w:br/>
      </w:r>
      <w:r>
        <w:rPr>
          <w:rFonts w:ascii="Times New Roman"/>
          <w:b/>
          <w:i w:val="false"/>
          <w:color w:val="000000"/>
        </w:rPr>
        <w:t>
в Восточной Европе, на Кавказе и в Центральной Азии (ВЕКЦА):</w:t>
      </w:r>
      <w:r>
        <w:br/>
      </w:r>
      <w:r>
        <w:rPr>
          <w:rFonts w:ascii="Times New Roman"/>
          <w:b/>
          <w:i w:val="false"/>
          <w:color w:val="000000"/>
        </w:rPr>
        <w:t>
анализ и поддержка политического диалога по ключевым элементам</w:t>
      </w:r>
      <w:r>
        <w:br/>
      </w:r>
      <w:r>
        <w:rPr>
          <w:rFonts w:ascii="Times New Roman"/>
          <w:b/>
          <w:i w:val="false"/>
          <w:color w:val="000000"/>
        </w:rPr>
        <w:t>
управления Концепции перехода к «зеленой экономике» (КЗЭ)»</w:t>
      </w:r>
    </w:p>
    <w:bookmarkEnd w:id="1"/>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именуемые далее по отдельности «Сторона» или вместе именуемые «Стороны»,</w:t>
      </w:r>
      <w:r>
        <w:br/>
      </w:r>
      <w:r>
        <w:rPr>
          <w:rFonts w:ascii="Times New Roman"/>
          <w:b w:val="false"/>
          <w:i w:val="false"/>
          <w:color w:val="000000"/>
          <w:sz w:val="28"/>
        </w:rPr>
        <w:t xml:space="preserve">
      согласились о нижеследующем: </w:t>
      </w:r>
    </w:p>
    <w:bookmarkStart w:name="z5" w:id="2"/>
    <w:p>
      <w:pPr>
        <w:spacing w:after="0"/>
        <w:ind w:left="0"/>
        <w:jc w:val="left"/>
      </w:pPr>
      <w:r>
        <w:rPr>
          <w:rFonts w:ascii="Times New Roman"/>
          <w:b/>
          <w:i w:val="false"/>
          <w:color w:val="000000"/>
        </w:rPr>
        <w:t xml:space="preserve"> 
Статья 1. Предмет Соглашения</w:t>
      </w:r>
    </w:p>
    <w:bookmarkEnd w:id="2"/>
    <w:p>
      <w:pPr>
        <w:spacing w:after="0"/>
        <w:ind w:left="0"/>
        <w:jc w:val="both"/>
      </w:pPr>
      <w:r>
        <w:rPr>
          <w:rFonts w:ascii="Times New Roman"/>
          <w:b w:val="false"/>
          <w:i w:val="false"/>
          <w:color w:val="000000"/>
          <w:sz w:val="28"/>
        </w:rPr>
        <w:t>      1. Организация экономического сотрудничества и развития (далее – ОЭСР) будет осуществлять проект «Содействие развитию Стратегии «зеленого роста» и низких выбросов углерода в Восточной Европе, на Кавказе и в Центральной Азии (ВЕКЦА): анализ и поддержка политического диалога по ключевым элементам управления Концепции перехода к «зеленой экономике» (КЗЭ) (далее – проект), предусмотренный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являющемся его неотъемлемой частью.</w:t>
      </w:r>
      <w:r>
        <w:br/>
      </w:r>
      <w:r>
        <w:rPr>
          <w:rFonts w:ascii="Times New Roman"/>
          <w:b w:val="false"/>
          <w:i w:val="false"/>
          <w:color w:val="000000"/>
          <w:sz w:val="28"/>
        </w:rPr>
        <w:t>
      2. Правительство Республики Казахстан соглашается финансировать работу, которую ОЭСР выполняет в отношении проекта.</w:t>
      </w:r>
    </w:p>
    <w:bookmarkStart w:name="z6" w:id="3"/>
    <w:p>
      <w:pPr>
        <w:spacing w:after="0"/>
        <w:ind w:left="0"/>
        <w:jc w:val="left"/>
      </w:pPr>
      <w:r>
        <w:rPr>
          <w:rFonts w:ascii="Times New Roman"/>
          <w:b/>
          <w:i w:val="false"/>
          <w:color w:val="000000"/>
        </w:rPr>
        <w:t xml:space="preserve"> 
Статья 2. Бюджетные и финансовые механизмы</w:t>
      </w:r>
    </w:p>
    <w:bookmarkEnd w:id="3"/>
    <w:p>
      <w:pPr>
        <w:spacing w:after="0"/>
        <w:ind w:left="0"/>
        <w:jc w:val="both"/>
      </w:pPr>
      <w:r>
        <w:rPr>
          <w:rFonts w:ascii="Times New Roman"/>
          <w:b w:val="false"/>
          <w:i w:val="false"/>
          <w:color w:val="000000"/>
          <w:sz w:val="28"/>
        </w:rPr>
        <w:t>      1. Правительство Республики Казахстан обязуется предоставить ОЭСР взнос в сумме 150000 (сто пятьдесят тысяч) евро на покрытие расходов, связанных с реализацией проекта, как указано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являющемся его неотъемлемой частью. </w:t>
      </w:r>
      <w:r>
        <w:br/>
      </w:r>
      <w:r>
        <w:rPr>
          <w:rFonts w:ascii="Times New Roman"/>
          <w:b w:val="false"/>
          <w:i w:val="false"/>
          <w:color w:val="000000"/>
          <w:sz w:val="28"/>
        </w:rPr>
        <w:t xml:space="preserve">
      2. Взнос будет выплачен двумя частями (траншами) следующим образом: </w:t>
      </w:r>
      <w:r>
        <w:br/>
      </w:r>
      <w:r>
        <w:rPr>
          <w:rFonts w:ascii="Times New Roman"/>
          <w:b w:val="false"/>
          <w:i w:val="false"/>
          <w:color w:val="000000"/>
          <w:sz w:val="28"/>
        </w:rPr>
        <w:t>
      а. первый взнос в сумме 100 000 (сто тысяч) евро сразу после подписания настоящего Соглашения и получения от ОЭСР соответствующего счета.</w:t>
      </w:r>
      <w:r>
        <w:br/>
      </w:r>
      <w:r>
        <w:rPr>
          <w:rFonts w:ascii="Times New Roman"/>
          <w:b w:val="false"/>
          <w:i w:val="false"/>
          <w:color w:val="000000"/>
          <w:sz w:val="28"/>
        </w:rPr>
        <w:t>
      б. второй взнос в сумме 50 000 (пятдесять тысяч) евро в срок до 31 марта 2016 года по получении от ОЭСР соответствующего счета.</w:t>
      </w:r>
      <w:r>
        <w:br/>
      </w:r>
      <w:r>
        <w:rPr>
          <w:rFonts w:ascii="Times New Roman"/>
          <w:b w:val="false"/>
          <w:i w:val="false"/>
          <w:color w:val="000000"/>
          <w:sz w:val="28"/>
        </w:rPr>
        <w:t>
      3. ОЭСР будет администрировать этот взнос в соответствии с финансовыми положениями и другими соответсвующими правилами, политиками и процедурами ОЭСР, которые в настоящий момент предусматривают оплату возмещения административных затрат 6,3 % от общей суммы взноса. Расход будет отражен на счетах ОЭСР согласно общепринятым принципам бухгалтерского учета, и он может проверяться во время аудита в соответствии со стандартными правилами аудита ОЭСР.</w:t>
      </w:r>
    </w:p>
    <w:bookmarkStart w:name="z7" w:id="4"/>
    <w:p>
      <w:pPr>
        <w:spacing w:after="0"/>
        <w:ind w:left="0"/>
        <w:jc w:val="left"/>
      </w:pPr>
      <w:r>
        <w:rPr>
          <w:rFonts w:ascii="Times New Roman"/>
          <w:b/>
          <w:i w:val="false"/>
          <w:color w:val="000000"/>
        </w:rPr>
        <w:t xml:space="preserve"> 
Статья 3. Описание работ и отчетности</w:t>
      </w:r>
    </w:p>
    <w:bookmarkEnd w:id="4"/>
    <w:p>
      <w:pPr>
        <w:spacing w:after="0"/>
        <w:ind w:left="0"/>
        <w:jc w:val="both"/>
      </w:pPr>
      <w:r>
        <w:rPr>
          <w:rFonts w:ascii="Times New Roman"/>
          <w:b w:val="false"/>
          <w:i w:val="false"/>
          <w:color w:val="000000"/>
          <w:sz w:val="28"/>
        </w:rPr>
        <w:t xml:space="preserve">      1. ОЭСР осуществляет проект, как описано в прилагаемом приложении, являющемся неотъемлемой частью настоящего Соглашения. </w:t>
      </w:r>
      <w:r>
        <w:br/>
      </w:r>
      <w:r>
        <w:rPr>
          <w:rFonts w:ascii="Times New Roman"/>
          <w:b w:val="false"/>
          <w:i w:val="false"/>
          <w:color w:val="000000"/>
          <w:sz w:val="28"/>
        </w:rPr>
        <w:t xml:space="preserve">
      2. В течение трех месяцев после завершения первых двенадцати месяцев проекта ОЭСР предоставит Правительству Республики Казахстан отчет о ходе выполнения проекта в повествовательной форме. </w:t>
      </w:r>
      <w:r>
        <w:br/>
      </w:r>
      <w:r>
        <w:rPr>
          <w:rFonts w:ascii="Times New Roman"/>
          <w:b w:val="false"/>
          <w:i w:val="false"/>
          <w:color w:val="000000"/>
          <w:sz w:val="28"/>
        </w:rPr>
        <w:t xml:space="preserve">
      3. В течение шести месяцев после завершения проекта ОЭСР представит Правительству Республики Казахстан заключительный отчет по проекту в повествовательной форме. </w:t>
      </w:r>
      <w:r>
        <w:br/>
      </w:r>
      <w:r>
        <w:rPr>
          <w:rFonts w:ascii="Times New Roman"/>
          <w:b w:val="false"/>
          <w:i w:val="false"/>
          <w:color w:val="000000"/>
          <w:sz w:val="28"/>
        </w:rPr>
        <w:t xml:space="preserve">
      4. В течение трех месяцев после завершения первых двенадцати месяцев проекта ОЭСР представит Правительству Республики Казахстан годовой отчет о расходах. </w:t>
      </w:r>
      <w:r>
        <w:br/>
      </w:r>
      <w:r>
        <w:rPr>
          <w:rFonts w:ascii="Times New Roman"/>
          <w:b w:val="false"/>
          <w:i w:val="false"/>
          <w:color w:val="000000"/>
          <w:sz w:val="28"/>
        </w:rPr>
        <w:t>
      5. В течение шести месяцев после завершения проекта ОЭСР представит Правительству Республики Казахстан заключительный отчет о расходах.</w:t>
      </w:r>
      <w:r>
        <w:br/>
      </w:r>
      <w:r>
        <w:rPr>
          <w:rFonts w:ascii="Times New Roman"/>
          <w:b w:val="false"/>
          <w:i w:val="false"/>
          <w:color w:val="000000"/>
          <w:sz w:val="28"/>
        </w:rPr>
        <w:t>
      6. Правительство Республики Казахстан соглашается, что требования к финансовой отчетности соблюдены в отчете о затратах в соответствии со стандартным форматом отчетности ОЭСР.</w:t>
      </w:r>
    </w:p>
    <w:bookmarkStart w:name="z8" w:id="5"/>
    <w:p>
      <w:pPr>
        <w:spacing w:after="0"/>
        <w:ind w:left="0"/>
        <w:jc w:val="left"/>
      </w:pPr>
      <w:r>
        <w:rPr>
          <w:rFonts w:ascii="Times New Roman"/>
          <w:b/>
          <w:i w:val="false"/>
          <w:color w:val="000000"/>
        </w:rPr>
        <w:t xml:space="preserve"> 
Статья 4. Обмен информацией</w:t>
      </w:r>
    </w:p>
    <w:bookmarkEnd w:id="5"/>
    <w:p>
      <w:pPr>
        <w:spacing w:after="0"/>
        <w:ind w:left="0"/>
        <w:jc w:val="both"/>
      </w:pPr>
      <w:r>
        <w:rPr>
          <w:rFonts w:ascii="Times New Roman"/>
          <w:b w:val="false"/>
          <w:i w:val="false"/>
          <w:color w:val="000000"/>
          <w:sz w:val="28"/>
        </w:rPr>
        <w:t>      Стороны предоставляют друг другу помощь и информацию, необходимую для осуществления проекта.</w:t>
      </w:r>
      <w:r>
        <w:br/>
      </w:r>
      <w:r>
        <w:rPr>
          <w:rFonts w:ascii="Times New Roman"/>
          <w:b w:val="false"/>
          <w:i w:val="false"/>
          <w:color w:val="000000"/>
          <w:sz w:val="28"/>
        </w:rPr>
        <w:t>
      Любой обмен информацией между Сторонами адресуется:</w:t>
      </w:r>
      <w:r>
        <w:br/>
      </w:r>
      <w:r>
        <w:rPr>
          <w:rFonts w:ascii="Times New Roman"/>
          <w:b w:val="false"/>
          <w:i w:val="false"/>
          <w:color w:val="000000"/>
          <w:sz w:val="28"/>
        </w:rPr>
        <w:t>
      для Правительства Республики Казахстан: Министерство энергетики Республики Казахстан – 010000, г. Астана, район «Есиль», ул. Кабанбай батыра, дом № 19, тел.: +7 (7172) 97-68-01, факс: + 7 (7172) 97-69-43, email: kense@mgm.gov.kz;</w:t>
      </w:r>
      <w:r>
        <w:br/>
      </w:r>
      <w:r>
        <w:rPr>
          <w:rFonts w:ascii="Times New Roman"/>
          <w:b w:val="false"/>
          <w:i w:val="false"/>
          <w:color w:val="000000"/>
          <w:sz w:val="28"/>
        </w:rPr>
        <w:t>
      для ОЭСР: Отдел «Зеленого Роста» и Глобальных Связей Директората по охране окружающей среды, 75775, Франция, Париж Cedex 16, 2, rue Andrе-Pascal, эл. адрес: Dianne.Fowler@oecd.org.</w:t>
      </w:r>
    </w:p>
    <w:bookmarkStart w:name="z9" w:id="6"/>
    <w:p>
      <w:pPr>
        <w:spacing w:after="0"/>
        <w:ind w:left="0"/>
        <w:jc w:val="left"/>
      </w:pPr>
      <w:r>
        <w:rPr>
          <w:rFonts w:ascii="Times New Roman"/>
          <w:b/>
          <w:i w:val="false"/>
          <w:color w:val="000000"/>
        </w:rPr>
        <w:t xml:space="preserve"> 
Статья 5. Использование результатов проекта</w:t>
      </w:r>
    </w:p>
    <w:bookmarkEnd w:id="6"/>
    <w:p>
      <w:pPr>
        <w:spacing w:after="0"/>
        <w:ind w:left="0"/>
        <w:jc w:val="both"/>
      </w:pPr>
      <w:r>
        <w:rPr>
          <w:rFonts w:ascii="Times New Roman"/>
          <w:b w:val="false"/>
          <w:i w:val="false"/>
          <w:color w:val="000000"/>
          <w:sz w:val="28"/>
        </w:rPr>
        <w:t>      1. Результаты проекта в любой форме остаются исключительной собственностью ОЭСР.</w:t>
      </w:r>
      <w:r>
        <w:br/>
      </w:r>
      <w:r>
        <w:rPr>
          <w:rFonts w:ascii="Times New Roman"/>
          <w:b w:val="false"/>
          <w:i w:val="false"/>
          <w:color w:val="000000"/>
          <w:sz w:val="28"/>
        </w:rPr>
        <w:t>
      2. При соблюдении прав третьих сторон, а также правил и политик ОЭСР относительно классификации и исключения из классификации документов, если применимо, ОЭСР передает Правительству Республики Казахстан неисключительное, безотзывное право на использование, копирование и распространение бумажных копий заключительного отчета по проекту для любых государственных некоммерческих целей. Правительство Республики Казахстан также может размещать на своем веб-сайте и распространять как заключительный отчет.</w:t>
      </w:r>
      <w:r>
        <w:br/>
      </w:r>
      <w:r>
        <w:rPr>
          <w:rFonts w:ascii="Times New Roman"/>
          <w:b w:val="false"/>
          <w:i w:val="false"/>
          <w:color w:val="000000"/>
          <w:sz w:val="28"/>
        </w:rPr>
        <w:t>
      3. Правительство Республики Казахстан всегда должным образом признает авторское право ОЭСР, где это необходимо.</w:t>
      </w:r>
      <w:r>
        <w:br/>
      </w:r>
      <w:r>
        <w:rPr>
          <w:rFonts w:ascii="Times New Roman"/>
          <w:b w:val="false"/>
          <w:i w:val="false"/>
          <w:color w:val="000000"/>
          <w:sz w:val="28"/>
        </w:rPr>
        <w:t>
      4. ОЭСР оставляет за собой право первой публикации заключительного отчета, независимо от языка и формы такой публикации.</w:t>
      </w:r>
      <w:r>
        <w:br/>
      </w:r>
      <w:r>
        <w:rPr>
          <w:rFonts w:ascii="Times New Roman"/>
          <w:b w:val="false"/>
          <w:i w:val="false"/>
          <w:color w:val="000000"/>
          <w:sz w:val="28"/>
        </w:rPr>
        <w:t>
      5. Заключительный отчет будет включать в себя признание вклада Правительства Республики Казахстан в проект, символ Правительства Республики Казахстан будет размещен на оборотной стороне обложки публикации или внутри публикации рядом с указанным выше признанием.</w:t>
      </w:r>
      <w:r>
        <w:br/>
      </w:r>
      <w:r>
        <w:rPr>
          <w:rFonts w:ascii="Times New Roman"/>
          <w:b w:val="false"/>
          <w:i w:val="false"/>
          <w:color w:val="000000"/>
          <w:sz w:val="28"/>
        </w:rPr>
        <w:t>
      6. Любые данные или информация, являющиеся собственностью Правительства Республики Казахстан, предоставленные ОЭСР в ходе проекта, остаются собственностью Правительства Республики Казахстан. ОЭСР имеет право использовать и/или включать указанные данные и информацию с целью подготовки своего отчета и для осуществления проекта.</w:t>
      </w:r>
    </w:p>
    <w:bookmarkStart w:name="z10" w:id="7"/>
    <w:p>
      <w:pPr>
        <w:spacing w:after="0"/>
        <w:ind w:left="0"/>
        <w:jc w:val="left"/>
      </w:pPr>
      <w:r>
        <w:rPr>
          <w:rFonts w:ascii="Times New Roman"/>
          <w:b/>
          <w:i w:val="false"/>
          <w:color w:val="000000"/>
        </w:rPr>
        <w:t xml:space="preserve"> 
Статья 6. Разрешение споров</w:t>
      </w:r>
    </w:p>
    <w:bookmarkEnd w:id="7"/>
    <w:p>
      <w:pPr>
        <w:spacing w:after="0"/>
        <w:ind w:left="0"/>
        <w:jc w:val="both"/>
      </w:pPr>
      <w:r>
        <w:rPr>
          <w:rFonts w:ascii="Times New Roman"/>
          <w:b w:val="false"/>
          <w:i w:val="false"/>
          <w:color w:val="000000"/>
          <w:sz w:val="28"/>
        </w:rPr>
        <w:t>      Любой спор, разногласие или претензия, возникающие из или в отношении толкования, применения или выполнения настоящего Соглашения, включая существование, действительность или расторжение, которые не могут быть разрешены путем переговоров, разрешаются окончательным арбитражным разбирательством, имеющим обязательную силу, в соответствии с факультативными правилами арбитражного суда для международных организаций и государств постоянной палаты третейского суда, действительных на дату заключения настоящего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все производство и подаваемые объяснения должны быть на английском языке.</w:t>
      </w:r>
    </w:p>
    <w:bookmarkStart w:name="z11" w:id="8"/>
    <w:p>
      <w:pPr>
        <w:spacing w:after="0"/>
        <w:ind w:left="0"/>
        <w:jc w:val="left"/>
      </w:pPr>
      <w:r>
        <w:rPr>
          <w:rFonts w:ascii="Times New Roman"/>
          <w:b/>
          <w:i w:val="false"/>
          <w:color w:val="000000"/>
        </w:rPr>
        <w:t xml:space="preserve"> 
Статья 7. Привилегии и иммунитеты</w:t>
      </w:r>
    </w:p>
    <w:bookmarkEnd w:id="8"/>
    <w:p>
      <w:pPr>
        <w:spacing w:after="0"/>
        <w:ind w:left="0"/>
        <w:jc w:val="both"/>
      </w:pPr>
      <w:r>
        <w:rPr>
          <w:rFonts w:ascii="Times New Roman"/>
          <w:b w:val="false"/>
          <w:i w:val="false"/>
          <w:color w:val="000000"/>
          <w:sz w:val="28"/>
        </w:rPr>
        <w:t>      Ничто в настоящем Соглашении не должно толковаться как отказ от иммунитетов и привилегий ОЭСР как международной организации.</w:t>
      </w:r>
    </w:p>
    <w:bookmarkStart w:name="z12" w:id="9"/>
    <w:p>
      <w:pPr>
        <w:spacing w:after="0"/>
        <w:ind w:left="0"/>
        <w:jc w:val="left"/>
      </w:pPr>
      <w:r>
        <w:rPr>
          <w:rFonts w:ascii="Times New Roman"/>
          <w:b/>
          <w:i w:val="false"/>
          <w:color w:val="000000"/>
        </w:rPr>
        <w:t xml:space="preserve"> 
Статья 8. Изменения и дополнения</w:t>
      </w:r>
    </w:p>
    <w:bookmarkEnd w:id="9"/>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которые оформляются отдельными протоколами и являются его неотъемлемыми частями. </w:t>
      </w:r>
    </w:p>
    <w:bookmarkStart w:name="z13" w:id="10"/>
    <w:p>
      <w:pPr>
        <w:spacing w:after="0"/>
        <w:ind w:left="0"/>
        <w:jc w:val="left"/>
      </w:pPr>
      <w:r>
        <w:rPr>
          <w:rFonts w:ascii="Times New Roman"/>
          <w:b/>
          <w:i w:val="false"/>
          <w:color w:val="000000"/>
        </w:rPr>
        <w:t xml:space="preserve"> 
Статья 9. Вступление в силу</w:t>
      </w:r>
    </w:p>
    <w:bookmarkEnd w:id="10"/>
    <w:p>
      <w:pPr>
        <w:spacing w:after="0"/>
        <w:ind w:left="0"/>
        <w:jc w:val="both"/>
      </w:pPr>
      <w:r>
        <w:rPr>
          <w:rFonts w:ascii="Times New Roman"/>
          <w:b w:val="false"/>
          <w:i w:val="false"/>
          <w:color w:val="000000"/>
          <w:sz w:val="28"/>
        </w:rPr>
        <w:t>      Настоящее Соглашение вступает в силу с даты подписания и прекращает свое действие 31 декабря 2016 года. Оно остается действительным до тех пор, пока обе Стороны не выполнят все обязательства, вытекающие из него.</w:t>
      </w:r>
    </w:p>
    <w:p>
      <w:pPr>
        <w:spacing w:after="0"/>
        <w:ind w:left="0"/>
        <w:jc w:val="both"/>
      </w:pPr>
      <w:r>
        <w:rPr>
          <w:rFonts w:ascii="Times New Roman"/>
          <w:b w:val="false"/>
          <w:i w:val="false"/>
          <w:color w:val="000000"/>
          <w:sz w:val="28"/>
        </w:rPr>
        <w:t>      Подписано в двух оригинальных экземплярах, по два экземпляра на казахском, русском и английском языках. В случае расхождений между казахским, русским и английском текстами, вариант на английском языке является единственной подлинной версией.</w:t>
      </w:r>
    </w:p>
    <w:tbl>
      <w:tblPr>
        <w:tblW w:w="0" w:type="auto"/>
        <w:tblCellSpacing w:w="0" w:type="auto"/>
        <w:tblBorders>
          <w:top w:val="none"/>
          <w:left w:val="none"/>
          <w:bottom w:val="none"/>
          <w:right w:val="none"/>
          <w:insideH w:val="none"/>
          <w:insideV w:val="none"/>
        </w:tblBorders>
      </w:tblPr>
      <w:tblGrid>
        <w:gridCol w:w="6220"/>
        <w:gridCol w:w="6220"/>
      </w:tblGrid>
      <w:tr>
        <w:trPr>
          <w:trHeight w:val="1095" w:hRule="atLeast"/>
        </w:trPr>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Правительства Республики Казахстан</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Организации экономического сотрудничества и развития</w:t>
            </w:r>
          </w:p>
        </w:tc>
      </w:tr>
      <w:tr>
        <w:trPr>
          <w:trHeight w:val="3180" w:hRule="atLeast"/>
        </w:trPr>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 Владимир Школьник</w:t>
            </w:r>
          </w:p>
          <w:p>
            <w:pPr>
              <w:spacing w:after="20"/>
              <w:ind w:left="20"/>
              <w:jc w:val="both"/>
            </w:pPr>
            <w:r>
              <w:rPr>
                <w:rFonts w:ascii="Times New Roman"/>
                <w:b w:val="false"/>
                <w:i w:val="false"/>
                <w:color w:val="000000"/>
                <w:sz w:val="20"/>
              </w:rPr>
              <w:t>Министр энергетики Республики Казахстан</w:t>
            </w:r>
          </w:p>
          <w:p>
            <w:pPr>
              <w:spacing w:after="20"/>
              <w:ind w:left="20"/>
              <w:jc w:val="both"/>
            </w:pPr>
            <w:r>
              <w:rPr>
                <w:rFonts w:ascii="Times New Roman"/>
                <w:b w:val="false"/>
                <w:i w:val="false"/>
                <w:color w:val="000000"/>
                <w:sz w:val="20"/>
              </w:rPr>
              <w:t>____________________ дата</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 Саймон Аптон</w:t>
            </w:r>
          </w:p>
          <w:p>
            <w:pPr>
              <w:spacing w:after="20"/>
              <w:ind w:left="20"/>
              <w:jc w:val="both"/>
            </w:pPr>
            <w:r>
              <w:rPr>
                <w:rFonts w:ascii="Times New Roman"/>
                <w:b w:val="false"/>
                <w:i w:val="false"/>
                <w:color w:val="000000"/>
                <w:sz w:val="20"/>
              </w:rPr>
              <w:t>Директор Директората ОЭСР по охране окружающей среды</w:t>
            </w:r>
          </w:p>
          <w:p>
            <w:pPr>
              <w:spacing w:after="20"/>
              <w:ind w:left="20"/>
              <w:jc w:val="both"/>
            </w:pPr>
            <w:r>
              <w:rPr>
                <w:rFonts w:ascii="Times New Roman"/>
                <w:b w:val="false"/>
                <w:i w:val="false"/>
                <w:color w:val="000000"/>
                <w:sz w:val="20"/>
              </w:rPr>
              <w:t>___________________ дата</w:t>
            </w:r>
          </w:p>
        </w:tc>
      </w:tr>
      <w:tr>
        <w:trPr>
          <w:trHeight w:val="735" w:hRule="atLeast"/>
        </w:trPr>
        <w:tc>
          <w:tcPr>
            <w:tcW w:w="6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 Энтони Дж. Роттье</w:t>
            </w:r>
            <w:r>
              <w:br/>
            </w:r>
            <w:r>
              <w:rPr>
                <w:rFonts w:ascii="Times New Roman"/>
                <w:b w:val="false"/>
                <w:i w:val="false"/>
                <w:color w:val="000000"/>
                <w:sz w:val="20"/>
              </w:rPr>
              <w:t>
Исполнительный директор</w:t>
            </w:r>
          </w:p>
          <w:p>
            <w:pPr>
              <w:spacing w:after="20"/>
              <w:ind w:left="20"/>
              <w:jc w:val="both"/>
            </w:pPr>
            <w:r>
              <w:rPr>
                <w:rFonts w:ascii="Times New Roman"/>
                <w:b w:val="false"/>
                <w:i w:val="false"/>
                <w:color w:val="000000"/>
                <w:sz w:val="20"/>
              </w:rPr>
              <w:t>____________________ дата</w:t>
            </w:r>
          </w:p>
        </w:tc>
      </w:tr>
    </w:tbl>
    <w:bookmarkStart w:name="z14" w:id="11"/>
    <w:p>
      <w:pPr>
        <w:spacing w:after="0"/>
        <w:ind w:left="0"/>
        <w:jc w:val="both"/>
      </w:pPr>
      <w:r>
        <w:rPr>
          <w:rFonts w:ascii="Times New Roman"/>
          <w:b w:val="false"/>
          <w:i w:val="false"/>
          <w:color w:val="000000"/>
          <w:sz w:val="28"/>
        </w:rPr>
        <w:t>
Приложение</w:t>
      </w:r>
    </w:p>
    <w:bookmarkEnd w:id="11"/>
    <w:bookmarkStart w:name="z15" w:id="12"/>
    <w:p>
      <w:pPr>
        <w:spacing w:after="0"/>
        <w:ind w:left="0"/>
        <w:jc w:val="left"/>
      </w:pPr>
      <w:r>
        <w:rPr>
          <w:rFonts w:ascii="Times New Roman"/>
          <w:b/>
          <w:i w:val="false"/>
          <w:color w:val="000000"/>
        </w:rPr>
        <w:t xml:space="preserve"> 
Техническое предложение</w:t>
      </w:r>
    </w:p>
    <w:bookmarkEnd w:id="12"/>
    <w:bookmarkStart w:name="z16" w:id="13"/>
    <w:p>
      <w:pPr>
        <w:spacing w:after="0"/>
        <w:ind w:left="0"/>
        <w:jc w:val="left"/>
      </w:pPr>
      <w:r>
        <w:rPr>
          <w:rFonts w:ascii="Times New Roman"/>
          <w:b/>
          <w:i w:val="false"/>
          <w:color w:val="000000"/>
        </w:rPr>
        <w:t xml:space="preserve"> 
Общая информация</w:t>
      </w:r>
    </w:p>
    <w:bookmarkEnd w:id="13"/>
    <w:p>
      <w:pPr>
        <w:spacing w:after="0"/>
        <w:ind w:left="0"/>
        <w:jc w:val="both"/>
      </w:pPr>
      <w:r>
        <w:rPr>
          <w:rFonts w:ascii="Times New Roman"/>
          <w:b w:val="false"/>
          <w:i w:val="false"/>
          <w:color w:val="000000"/>
          <w:sz w:val="28"/>
        </w:rPr>
        <w:t>      1. Реализация Концепции по переходу Республики Казахстан к «зеленой экономике» будет способствовать экономическому росту страны, обеспечивая при этом более рациональное использование природных ресурсов и сокращение негативного воздействия на окружающую среду. Несмотря на то, что большая часть ресурсов, необходимая для поддержки «зеленой экономики», как ожидается, будет поступать из частного сектора, государственный сектор все равно играет важную роль, особенно в создании стимулов и поддержке новых технологий. Наибольшая доля инвестиций будет осуществляться в меры по повышению энергоэффективности и развитие возобновляемой энергии, а также в создание инфраструктуры газовой отрасли. Один из способов сделать ограниченные государственные ресурсы более доступными - повышение результативности и эффективности управления государственными финансами.</w:t>
      </w:r>
      <w:r>
        <w:br/>
      </w:r>
      <w:r>
        <w:rPr>
          <w:rFonts w:ascii="Times New Roman"/>
          <w:b w:val="false"/>
          <w:i w:val="false"/>
          <w:color w:val="000000"/>
          <w:sz w:val="28"/>
        </w:rPr>
        <w:t>
      2. В </w:t>
      </w:r>
      <w:r>
        <w:rPr>
          <w:rFonts w:ascii="Times New Roman"/>
          <w:b w:val="false"/>
          <w:i w:val="false"/>
          <w:color w:val="000000"/>
          <w:sz w:val="28"/>
        </w:rPr>
        <w:t>Концепции</w:t>
      </w:r>
      <w:r>
        <w:rPr>
          <w:rFonts w:ascii="Times New Roman"/>
          <w:b w:val="false"/>
          <w:i w:val="false"/>
          <w:color w:val="000000"/>
          <w:sz w:val="28"/>
        </w:rPr>
        <w:t xml:space="preserve"> по переходу Казахстана к «зеленой экономике», утвержденной Указом Президента Республики Казахстан от 30 мая 2013 года № 577,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Концепции по переходу Республики Казахстан к «зеленой экономике» на 2013 — 2020 годы, утвержденном постановлением Правительства Республики Казахстан от 31 июля 2013 года № 750, определены направления, которые требуют государственной поддержки. К ним относятся в частности: тепловые сети, мероприятия по повышению энергоэффективности жилых, государственных и коммерческих зданий, поддержка коммерческого производства современных энергоэффективных оборудования и материалов.</w:t>
      </w:r>
      <w:r>
        <w:br/>
      </w:r>
      <w:r>
        <w:rPr>
          <w:rFonts w:ascii="Times New Roman"/>
          <w:b w:val="false"/>
          <w:i w:val="false"/>
          <w:color w:val="000000"/>
          <w:sz w:val="28"/>
        </w:rPr>
        <w:t>
      3. ОЭСР завершена работа с уполномоченным органом в области охраны окружающей среды Казахстана по подготовке программы государственных инвестиций в меры по повышению энергоэффективности в жилищном хозяйстве. В рамках этого проекта ОЭСР была разработана методика и модель на базе Excel, позволяющая рассчитать оптимальный уровень субсидирования, необходимый для того, чтобы у потенциальных выгодополучателей был стимул принимать меры по повышению энергоэффективности. В модели также рассчитывается уровень сокращения выбросов СО</w:t>
      </w:r>
      <w:r>
        <w:rPr>
          <w:rFonts w:ascii="Times New Roman"/>
          <w:b w:val="false"/>
          <w:i w:val="false"/>
          <w:color w:val="000000"/>
          <w:vertAlign w:val="subscript"/>
        </w:rPr>
        <w:t>2</w:t>
      </w:r>
      <w:r>
        <w:rPr>
          <w:rFonts w:ascii="Times New Roman"/>
          <w:b w:val="false"/>
          <w:i w:val="false"/>
          <w:color w:val="000000"/>
          <w:sz w:val="28"/>
        </w:rPr>
        <w:t>, достигаемый в результате реализации программы.</w:t>
      </w:r>
      <w:r>
        <w:br/>
      </w:r>
      <w:r>
        <w:rPr>
          <w:rFonts w:ascii="Times New Roman"/>
          <w:b w:val="false"/>
          <w:i w:val="false"/>
          <w:color w:val="000000"/>
          <w:sz w:val="28"/>
        </w:rPr>
        <w:t>
      4. Этот опыт и прочие инструменты ОЭСР можно использовать для разработки других программ «зеленых» государственных инвестиций либо национального, либо местного уровней в Казахстане. Разработка подобных программ и определение первоочередных инвестиций также помогает привлекать дополнительные ресурсы из международных источников, таких как Зеленый фонд климата (GreenClimateFund), созданный по </w:t>
      </w:r>
      <w:r>
        <w:rPr>
          <w:rFonts w:ascii="Times New Roman"/>
          <w:b w:val="false"/>
          <w:i w:val="false"/>
          <w:color w:val="000000"/>
          <w:sz w:val="28"/>
        </w:rPr>
        <w:t>Рамочной конвенции</w:t>
      </w:r>
      <w:r>
        <w:rPr>
          <w:rFonts w:ascii="Times New Roman"/>
          <w:b w:val="false"/>
          <w:i w:val="false"/>
          <w:color w:val="000000"/>
          <w:sz w:val="28"/>
        </w:rPr>
        <w:t xml:space="preserve"> Организация Объединенных Наций об изменении климата (далее - РКИК ООН). Одним из основополагающих принципов деятельности этого Фонда (чье стратегическое назначение - смягчение последствий изменения климата и адаптация к изменению климата) является полная заинтересованность страны в предлагаемых инвестициях, которые должны определяться исходя из национальных стратегических приоритетов. Наличие программ государственных инвестиций, разработанных в соответствии с образцами лучшей международной практики и финансируемых на совместной основе, повышает вероятность получения страной ресурсов Зеленого фонда климата (после того, как в Казахстане будут созданы институциональные механизмы доступа к нему) и из других международных источников.</w:t>
      </w:r>
    </w:p>
    <w:bookmarkStart w:name="z17" w:id="14"/>
    <w:p>
      <w:pPr>
        <w:spacing w:after="0"/>
        <w:ind w:left="0"/>
        <w:jc w:val="left"/>
      </w:pPr>
      <w:r>
        <w:rPr>
          <w:rFonts w:ascii="Times New Roman"/>
          <w:b/>
          <w:i w:val="false"/>
          <w:color w:val="000000"/>
        </w:rPr>
        <w:t xml:space="preserve"> 
2. Цели проекта</w:t>
      </w:r>
    </w:p>
    <w:bookmarkEnd w:id="14"/>
    <w:p>
      <w:pPr>
        <w:spacing w:after="0"/>
        <w:ind w:left="0"/>
        <w:jc w:val="both"/>
      </w:pPr>
      <w:r>
        <w:rPr>
          <w:rFonts w:ascii="Times New Roman"/>
          <w:b w:val="false"/>
          <w:i w:val="false"/>
          <w:color w:val="000000"/>
          <w:sz w:val="28"/>
        </w:rPr>
        <w:t>      5. Этот проект имеет своей целью повышение потенциала государственных органов Казахстана, ответственных за охрану окружающей среды и управление государственными финансами, в части разработки программы «зеленых» государственных инвестиций в соответствии с образцами лучшей международной практики с целью получения необходимых бюджетных средств и международного финансирования для ее реализации. Инвестиционная программа будет сосредоточена на сокращении загрязнения атмосферного воздуха в транспортном секторе.</w:t>
      </w:r>
      <w:r>
        <w:br/>
      </w:r>
      <w:r>
        <w:rPr>
          <w:rFonts w:ascii="Times New Roman"/>
          <w:b w:val="false"/>
          <w:i w:val="false"/>
          <w:color w:val="000000"/>
          <w:sz w:val="28"/>
        </w:rPr>
        <w:t>
      6. Повышение потенциала будет достигнуто путем обеспечения казахстанских экспертов практическими знаниями и набором инструментов для разработки и расчета стоимости инвестиционных программ, а также проведения на общенациональном и/или субнациональном уровнях в Казахстане специализированной подготовки кадров в области управления программами «зеленых» государственных инвестиций.</w:t>
      </w:r>
    </w:p>
    <w:bookmarkStart w:name="z18" w:id="15"/>
    <w:p>
      <w:pPr>
        <w:spacing w:after="0"/>
        <w:ind w:left="0"/>
        <w:jc w:val="left"/>
      </w:pPr>
      <w:r>
        <w:rPr>
          <w:rFonts w:ascii="Times New Roman"/>
          <w:b/>
          <w:i w:val="false"/>
          <w:color w:val="000000"/>
        </w:rPr>
        <w:t xml:space="preserve"> 
3. Охват проекта</w:t>
      </w:r>
    </w:p>
    <w:bookmarkEnd w:id="15"/>
    <w:p>
      <w:pPr>
        <w:spacing w:after="0"/>
        <w:ind w:left="0"/>
        <w:jc w:val="both"/>
      </w:pPr>
      <w:r>
        <w:rPr>
          <w:rFonts w:ascii="Times New Roman"/>
          <w:b w:val="false"/>
          <w:i w:val="false"/>
          <w:color w:val="000000"/>
          <w:sz w:val="28"/>
        </w:rPr>
        <w:t>      7. Проект будет организован по пяти основным видам деятельности. К таковым относятся:</w:t>
      </w:r>
      <w:r>
        <w:br/>
      </w:r>
      <w:r>
        <w:rPr>
          <w:rFonts w:ascii="Times New Roman"/>
          <w:b w:val="false"/>
          <w:i w:val="false"/>
          <w:color w:val="000000"/>
          <w:sz w:val="28"/>
        </w:rPr>
        <w:t>
      1) фаза предварительного обзора и анализа;</w:t>
      </w:r>
      <w:r>
        <w:br/>
      </w:r>
      <w:r>
        <w:rPr>
          <w:rFonts w:ascii="Times New Roman"/>
          <w:b w:val="false"/>
          <w:i w:val="false"/>
          <w:color w:val="000000"/>
          <w:sz w:val="28"/>
        </w:rPr>
        <w:t>
      2) корректировка методики расчета стоимости программ;</w:t>
      </w:r>
      <w:r>
        <w:br/>
      </w:r>
      <w:r>
        <w:rPr>
          <w:rFonts w:ascii="Times New Roman"/>
          <w:b w:val="false"/>
          <w:i w:val="false"/>
          <w:color w:val="000000"/>
          <w:sz w:val="28"/>
        </w:rPr>
        <w:t>
      3) разработка программы в соответствии с образцами лучшей международной практики;</w:t>
      </w:r>
      <w:r>
        <w:br/>
      </w:r>
      <w:r>
        <w:rPr>
          <w:rFonts w:ascii="Times New Roman"/>
          <w:b w:val="false"/>
          <w:i w:val="false"/>
          <w:color w:val="000000"/>
          <w:sz w:val="28"/>
        </w:rPr>
        <w:t>
      4) подготовка аналитического отчета;</w:t>
      </w:r>
      <w:r>
        <w:br/>
      </w:r>
      <w:r>
        <w:rPr>
          <w:rFonts w:ascii="Times New Roman"/>
          <w:b w:val="false"/>
          <w:i w:val="false"/>
          <w:color w:val="000000"/>
          <w:sz w:val="28"/>
        </w:rPr>
        <w:t>
      5) подготовка кадров. Каждый из этих видов деятельности подробно излагается ниже.</w:t>
      </w:r>
      <w:r>
        <w:br/>
      </w:r>
      <w:r>
        <w:rPr>
          <w:rFonts w:ascii="Times New Roman"/>
          <w:b w:val="false"/>
          <w:i w:val="false"/>
          <w:color w:val="000000"/>
          <w:sz w:val="28"/>
        </w:rPr>
        <w:t>
      Фаза предварительного обзора и анализа включает следующее:</w:t>
      </w:r>
      <w:r>
        <w:br/>
      </w:r>
      <w:r>
        <w:rPr>
          <w:rFonts w:ascii="Times New Roman"/>
          <w:b w:val="false"/>
          <w:i w:val="false"/>
          <w:color w:val="000000"/>
          <w:sz w:val="28"/>
        </w:rPr>
        <w:t>
      консультации с Министерством энергетики для более детального определения охвата и элементов программы;</w:t>
      </w:r>
      <w:r>
        <w:br/>
      </w:r>
      <w:r>
        <w:rPr>
          <w:rFonts w:ascii="Times New Roman"/>
          <w:b w:val="false"/>
          <w:i w:val="false"/>
          <w:color w:val="000000"/>
          <w:sz w:val="28"/>
        </w:rPr>
        <w:t>
      проведение первой встречи с участием основных заинтересованных сторон в Казахстане, на которой будет представлен проект и будет обсуждаться охват инвестиционной программы. В ходе дискуссии будут определены основные элементы программы (насколько это возможно на этом этапе, но при этом будут, как минимум, четко определены охват, цели и задачи программы, ее потенциальные выгодополучатели и потенциальные виды проектов);</w:t>
      </w:r>
      <w:r>
        <w:br/>
      </w:r>
      <w:r>
        <w:rPr>
          <w:rFonts w:ascii="Times New Roman"/>
          <w:b w:val="false"/>
          <w:i w:val="false"/>
          <w:color w:val="000000"/>
          <w:sz w:val="28"/>
        </w:rPr>
        <w:t>
      обзор текущей ситуации в секторе, на основе анализа доступных материалов, в частности государственных стратегических документов и документов по вопросам политики, планов инвестиций, нормативов по разработке среднесрочных программ бюджетных расходов, опубликованных и неопубликованных отчетов и прочих материалов, как национальных, так и международных;</w:t>
      </w:r>
      <w:r>
        <w:br/>
      </w:r>
      <w:r>
        <w:rPr>
          <w:rFonts w:ascii="Times New Roman"/>
          <w:b w:val="false"/>
          <w:i w:val="false"/>
          <w:color w:val="000000"/>
          <w:sz w:val="28"/>
        </w:rPr>
        <w:t>
      проведение ряда двухсторонних встреч и консультаций с соответствующими государственными, негосударственными и международными партнерами для дальнейшего уточнения элементов программы, сбора данных и информации и определения возможностей финансирования помимо обычных бюджетных ассигнований.</w:t>
      </w:r>
      <w:r>
        <w:br/>
      </w:r>
      <w:r>
        <w:rPr>
          <w:rFonts w:ascii="Times New Roman"/>
          <w:b w:val="false"/>
          <w:i w:val="false"/>
          <w:color w:val="000000"/>
          <w:sz w:val="28"/>
        </w:rPr>
        <w:t>
      Корректировка методики расчета стоимости программ включает следующее:</w:t>
      </w:r>
      <w:r>
        <w:br/>
      </w:r>
      <w:r>
        <w:rPr>
          <w:rFonts w:ascii="Times New Roman"/>
          <w:b w:val="false"/>
          <w:i w:val="false"/>
          <w:color w:val="000000"/>
          <w:sz w:val="28"/>
        </w:rPr>
        <w:t>
      краткий обзор ситуации на рынке для определения спроса на государственную поддержку по данной программе, а также на поддержку ресурсами из других источников, в том числе за счет частных средств, и обоснование выбора программы. Этот обзор также будет включать анализ применяемых в стране наилучших доступных технологий, а также их стоимости в расчете на единицу сокращения загрязнения;</w:t>
      </w:r>
      <w:r>
        <w:br/>
      </w:r>
      <w:r>
        <w:rPr>
          <w:rFonts w:ascii="Times New Roman"/>
          <w:b w:val="false"/>
          <w:i w:val="false"/>
          <w:color w:val="000000"/>
          <w:sz w:val="28"/>
        </w:rPr>
        <w:t>
      корректировка методики расчета стоимости программ (ранее разработанной ОЭСР), которая будет применена для расчета стоимости и разработки данной программы. Это включает, в том числе, уточнение и выверку модели расчета стоимости программ, созданной на базе Excel, с тем, чтобы она отражала расходы по программе; оценку объема финансирования программы; расчет оптимального размера субсидирования потенциальных выгодополучателей программы; расчет минимального/максимального размера поддержки по типам проектов; определение показателей реализации программы;</w:t>
      </w:r>
      <w:r>
        <w:br/>
      </w:r>
      <w:r>
        <w:rPr>
          <w:rFonts w:ascii="Times New Roman"/>
          <w:b w:val="false"/>
          <w:i w:val="false"/>
          <w:color w:val="000000"/>
          <w:sz w:val="28"/>
        </w:rPr>
        <w:t>
      подготовка сопроводительной пояснительной записки о порядке применения модели расчета стоимости программ.</w:t>
      </w:r>
      <w:r>
        <w:br/>
      </w:r>
      <w:r>
        <w:rPr>
          <w:rFonts w:ascii="Times New Roman"/>
          <w:b w:val="false"/>
          <w:i w:val="false"/>
          <w:color w:val="000000"/>
          <w:sz w:val="28"/>
        </w:rPr>
        <w:t>
      Разработка программы в соответствии с образцами лучшей международной практики включает следующее:</w:t>
      </w:r>
      <w:r>
        <w:br/>
      </w:r>
      <w:r>
        <w:rPr>
          <w:rFonts w:ascii="Times New Roman"/>
          <w:b w:val="false"/>
          <w:i w:val="false"/>
          <w:color w:val="000000"/>
          <w:sz w:val="28"/>
        </w:rPr>
        <w:t>
      окончательное определение основных элементов программы с учетом национальных приоритетов по «зеленому росту» и изменению климата и нормативов бюджета. В частности, в рамках этой деятельности будут определены 1-2 потенциальных портфеля (типа) проектов для финансирования по программе, которые будут оценены с точки зрения следующего:</w:t>
      </w:r>
      <w:r>
        <w:br/>
      </w:r>
      <w:r>
        <w:rPr>
          <w:rFonts w:ascii="Times New Roman"/>
          <w:b w:val="false"/>
          <w:i w:val="false"/>
          <w:color w:val="000000"/>
          <w:sz w:val="28"/>
        </w:rPr>
        <w:t>
      краткая характеристика отрасли, институциональной и нормативной среды, текущего состояния активов;</w:t>
      </w:r>
      <w:r>
        <w:br/>
      </w:r>
      <w:r>
        <w:rPr>
          <w:rFonts w:ascii="Times New Roman"/>
          <w:b w:val="false"/>
          <w:i w:val="false"/>
          <w:color w:val="000000"/>
          <w:sz w:val="28"/>
        </w:rPr>
        <w:t>
      обоснование государственного финансирования, необходимого для рекомендуемых портфелей проектов, например, с точки зрения национальных приоритетов, положительного экологического, социального, экономического эффекта на местном и трансграничном уровнях, привлекательности для доноров;</w:t>
      </w:r>
      <w:r>
        <w:br/>
      </w:r>
      <w:r>
        <w:rPr>
          <w:rFonts w:ascii="Times New Roman"/>
          <w:b w:val="false"/>
          <w:i w:val="false"/>
          <w:color w:val="000000"/>
          <w:sz w:val="28"/>
        </w:rPr>
        <w:t>
      географическое местоположение отвечающих критериям проектов;</w:t>
      </w:r>
      <w:r>
        <w:br/>
      </w:r>
      <w:r>
        <w:rPr>
          <w:rFonts w:ascii="Times New Roman"/>
          <w:b w:val="false"/>
          <w:i w:val="false"/>
          <w:color w:val="000000"/>
          <w:sz w:val="28"/>
        </w:rPr>
        <w:t>
      основные типы проектов, в том числе их размер, типичная структура финансирования и потребности в финансировании;</w:t>
      </w:r>
      <w:r>
        <w:br/>
      </w:r>
      <w:r>
        <w:rPr>
          <w:rFonts w:ascii="Times New Roman"/>
          <w:b w:val="false"/>
          <w:i w:val="false"/>
          <w:color w:val="000000"/>
          <w:sz w:val="28"/>
        </w:rPr>
        <w:t>
      типичные собственники проекта (например, промышленные предприятия (частные, государственные), муниципальные предприятия, муниципалитеты, домашние хозяйства);</w:t>
      </w:r>
      <w:r>
        <w:br/>
      </w:r>
      <w:r>
        <w:rPr>
          <w:rFonts w:ascii="Times New Roman"/>
          <w:b w:val="false"/>
          <w:i w:val="false"/>
          <w:color w:val="000000"/>
          <w:sz w:val="28"/>
        </w:rPr>
        <w:t>
      оцениваемые потребности в финансировании портфелей проектов, уровни и источники финансирования;</w:t>
      </w:r>
      <w:r>
        <w:br/>
      </w:r>
      <w:r>
        <w:rPr>
          <w:rFonts w:ascii="Times New Roman"/>
          <w:b w:val="false"/>
          <w:i w:val="false"/>
          <w:color w:val="000000"/>
          <w:sz w:val="28"/>
        </w:rPr>
        <w:t>
      структура программы также будет включать, в частности, следующее:</w:t>
      </w:r>
      <w:r>
        <w:br/>
      </w:r>
      <w:r>
        <w:rPr>
          <w:rFonts w:ascii="Times New Roman"/>
          <w:b w:val="false"/>
          <w:i w:val="false"/>
          <w:color w:val="000000"/>
          <w:sz w:val="28"/>
        </w:rPr>
        <w:t>
      предлагаемые правила и порядок для определения типов проектов, отвечающих критериям, и выгодополучателей;</w:t>
      </w:r>
      <w:r>
        <w:br/>
      </w:r>
      <w:r>
        <w:rPr>
          <w:rFonts w:ascii="Times New Roman"/>
          <w:b w:val="false"/>
          <w:i w:val="false"/>
          <w:color w:val="000000"/>
          <w:sz w:val="28"/>
        </w:rPr>
        <w:t>
      критерии оценки и отбора проектов для финансирования по программе;</w:t>
      </w:r>
      <w:r>
        <w:br/>
      </w:r>
      <w:r>
        <w:rPr>
          <w:rFonts w:ascii="Times New Roman"/>
          <w:b w:val="false"/>
          <w:i w:val="false"/>
          <w:color w:val="000000"/>
          <w:sz w:val="28"/>
        </w:rPr>
        <w:t>
      условия финансирования;</w:t>
      </w:r>
      <w:r>
        <w:br/>
      </w:r>
      <w:r>
        <w:rPr>
          <w:rFonts w:ascii="Times New Roman"/>
          <w:b w:val="false"/>
          <w:i w:val="false"/>
          <w:color w:val="000000"/>
          <w:sz w:val="28"/>
        </w:rPr>
        <w:t>
      институциональный механизм управления программой;</w:t>
      </w:r>
      <w:r>
        <w:br/>
      </w:r>
      <w:r>
        <w:rPr>
          <w:rFonts w:ascii="Times New Roman"/>
          <w:b w:val="false"/>
          <w:i w:val="false"/>
          <w:color w:val="000000"/>
          <w:sz w:val="28"/>
        </w:rPr>
        <w:t>
      сбор дополнительных данных и информации для усовершенствования модели и более эффективного применения методики расчета стоимости программы (при необходимости).</w:t>
      </w:r>
      <w:r>
        <w:br/>
      </w:r>
      <w:r>
        <w:rPr>
          <w:rFonts w:ascii="Times New Roman"/>
          <w:b w:val="false"/>
          <w:i w:val="false"/>
          <w:color w:val="000000"/>
          <w:sz w:val="28"/>
        </w:rPr>
        <w:t>
      Подготовка аналитического отчета включает следующее:</w:t>
      </w:r>
      <w:r>
        <w:br/>
      </w:r>
      <w:r>
        <w:rPr>
          <w:rFonts w:ascii="Times New Roman"/>
          <w:b w:val="false"/>
          <w:i w:val="false"/>
          <w:color w:val="000000"/>
          <w:sz w:val="28"/>
        </w:rPr>
        <w:t>
      подготовка проекта отчета, в который войдут, в частности, следующие основные элементы:</w:t>
      </w:r>
      <w:r>
        <w:br/>
      </w:r>
      <w:r>
        <w:rPr>
          <w:rFonts w:ascii="Times New Roman"/>
          <w:b w:val="false"/>
          <w:i w:val="false"/>
          <w:color w:val="000000"/>
          <w:sz w:val="28"/>
        </w:rPr>
        <w:t>
      краткий обзор ситуации на рынке;</w:t>
      </w:r>
      <w:r>
        <w:br/>
      </w:r>
      <w:r>
        <w:rPr>
          <w:rFonts w:ascii="Times New Roman"/>
          <w:b w:val="false"/>
          <w:i w:val="false"/>
          <w:color w:val="000000"/>
          <w:sz w:val="28"/>
        </w:rPr>
        <w:t>
      описание определенной программы, в том числе целей программы; основных портфелей (типов) проектов; объема финансирования программы и оптимального размера субсидирования; правил, порядка и критериев оценки и отбора индивидуальных проектов для финансирования по программе; институционального механизма управления программой;</w:t>
      </w:r>
      <w:r>
        <w:br/>
      </w:r>
      <w:r>
        <w:rPr>
          <w:rFonts w:ascii="Times New Roman"/>
          <w:b w:val="false"/>
          <w:i w:val="false"/>
          <w:color w:val="000000"/>
          <w:sz w:val="28"/>
        </w:rPr>
        <w:t>
      сопроводительная пояснительная записка о порядке применения модели расчета стоимости программы;</w:t>
      </w:r>
      <w:r>
        <w:br/>
      </w:r>
      <w:r>
        <w:rPr>
          <w:rFonts w:ascii="Times New Roman"/>
          <w:b w:val="false"/>
          <w:i w:val="false"/>
          <w:color w:val="000000"/>
          <w:sz w:val="28"/>
        </w:rPr>
        <w:t>
      основные выводы и рекомендации по разработке и расчету стоимости инвестиционной программы с учетом опыта Казахстана;</w:t>
      </w:r>
      <w:r>
        <w:br/>
      </w:r>
      <w:r>
        <w:rPr>
          <w:rFonts w:ascii="Times New Roman"/>
          <w:b w:val="false"/>
          <w:i w:val="false"/>
          <w:color w:val="000000"/>
          <w:sz w:val="28"/>
        </w:rPr>
        <w:t>
      проведение заключительной встречи с заинтересованными сторонами, на которой будет представлен проект программы и согласованы ее окончательная структура и порядок ее включения в бюджетный процесс и представления потенциальным международным источникам финансирования;</w:t>
      </w:r>
      <w:r>
        <w:br/>
      </w:r>
      <w:r>
        <w:rPr>
          <w:rFonts w:ascii="Times New Roman"/>
          <w:b w:val="false"/>
          <w:i w:val="false"/>
          <w:color w:val="000000"/>
          <w:sz w:val="28"/>
        </w:rPr>
        <w:t>
      пересмотр отчета с учетом комментариев партнеров в Казахстане.</w:t>
      </w:r>
    </w:p>
    <w:bookmarkStart w:name="z19" w:id="16"/>
    <w:p>
      <w:pPr>
        <w:spacing w:after="0"/>
        <w:ind w:left="0"/>
        <w:jc w:val="left"/>
      </w:pPr>
      <w:r>
        <w:rPr>
          <w:rFonts w:ascii="Times New Roman"/>
          <w:b/>
          <w:i w:val="false"/>
          <w:color w:val="000000"/>
        </w:rPr>
        <w:t xml:space="preserve"> 
4. Подготовка кадров в области разработки</w:t>
      </w:r>
      <w:r>
        <w:br/>
      </w:r>
      <w:r>
        <w:rPr>
          <w:rFonts w:ascii="Times New Roman"/>
          <w:b/>
          <w:i w:val="false"/>
          <w:color w:val="000000"/>
        </w:rPr>
        <w:t>
и реализации программы инвестиций</w:t>
      </w:r>
    </w:p>
    <w:bookmarkEnd w:id="16"/>
    <w:p>
      <w:pPr>
        <w:spacing w:after="0"/>
        <w:ind w:left="0"/>
        <w:jc w:val="both"/>
      </w:pPr>
      <w:r>
        <w:rPr>
          <w:rFonts w:ascii="Times New Roman"/>
          <w:b w:val="false"/>
          <w:i w:val="false"/>
          <w:color w:val="000000"/>
          <w:sz w:val="28"/>
        </w:rPr>
        <w:t>      8. Главной целью подготовки кадров является передача практических знаний и навыков экспертам Правительства Казахстана, в функции которых входит управление «зелеными» государственными инвестициями. Подготовка кадров будет проводиться на основе опыта разработки конкретной программы в рамках этого проекта. Эта деятельность состоит из двух главных элементов:</w:t>
      </w:r>
      <w:r>
        <w:br/>
      </w:r>
      <w:r>
        <w:rPr>
          <w:rFonts w:ascii="Times New Roman"/>
          <w:b w:val="false"/>
          <w:i w:val="false"/>
          <w:color w:val="000000"/>
          <w:sz w:val="28"/>
        </w:rPr>
        <w:t xml:space="preserve">
      1) разработка учебных материалов. </w:t>
      </w:r>
      <w:r>
        <w:br/>
      </w:r>
      <w:r>
        <w:rPr>
          <w:rFonts w:ascii="Times New Roman"/>
          <w:b w:val="false"/>
          <w:i w:val="false"/>
          <w:color w:val="000000"/>
          <w:sz w:val="28"/>
        </w:rPr>
        <w:t>
      В рамках учебного курса будут рассмотрены, в том числе, следующие основные темы:</w:t>
      </w:r>
      <w:r>
        <w:br/>
      </w:r>
      <w:r>
        <w:rPr>
          <w:rFonts w:ascii="Times New Roman"/>
          <w:b w:val="false"/>
          <w:i w:val="false"/>
          <w:color w:val="000000"/>
          <w:sz w:val="28"/>
        </w:rPr>
        <w:t>
      методы определения целевых задач и показателей реализации программы инвестиций;</w:t>
      </w:r>
      <w:r>
        <w:br/>
      </w:r>
      <w:r>
        <w:rPr>
          <w:rFonts w:ascii="Times New Roman"/>
          <w:b w:val="false"/>
          <w:i w:val="false"/>
          <w:color w:val="000000"/>
          <w:sz w:val="28"/>
        </w:rPr>
        <w:t>
      методы расчета расходов долгосрочных инвестиционных экологических программ, финансируемых за счет бюджета;</w:t>
      </w:r>
      <w:r>
        <w:br/>
      </w:r>
      <w:r>
        <w:rPr>
          <w:rFonts w:ascii="Times New Roman"/>
          <w:b w:val="false"/>
          <w:i w:val="false"/>
          <w:color w:val="000000"/>
          <w:sz w:val="28"/>
        </w:rPr>
        <w:t>
      применяемые способы определения, оценки и отбора индивидуальных проектов для финансирования по программе государственных инвестиций;</w:t>
      </w:r>
      <w:r>
        <w:br/>
      </w:r>
      <w:r>
        <w:rPr>
          <w:rFonts w:ascii="Times New Roman"/>
          <w:b w:val="false"/>
          <w:i w:val="false"/>
          <w:color w:val="000000"/>
          <w:sz w:val="28"/>
        </w:rPr>
        <w:t>
      применяемые способы управления циклом проекта;</w:t>
      </w:r>
      <w:r>
        <w:br/>
      </w:r>
      <w:r>
        <w:rPr>
          <w:rFonts w:ascii="Times New Roman"/>
          <w:b w:val="false"/>
          <w:i w:val="false"/>
          <w:color w:val="000000"/>
          <w:sz w:val="28"/>
        </w:rPr>
        <w:t>
      оценка на годовой основе результатов, полученных по программе государственных инвестиций, и перераспределение ресурсов; оценка программы в целом;</w:t>
      </w:r>
      <w:r>
        <w:br/>
      </w:r>
      <w:r>
        <w:rPr>
          <w:rFonts w:ascii="Times New Roman"/>
          <w:b w:val="false"/>
          <w:i w:val="false"/>
          <w:color w:val="000000"/>
          <w:sz w:val="28"/>
        </w:rPr>
        <w:t>
      крупное международное финансирование, связанное с изменением климата, и требования к получению доступа к этому финансированию;</w:t>
      </w:r>
      <w:r>
        <w:br/>
      </w:r>
      <w:r>
        <w:rPr>
          <w:rFonts w:ascii="Times New Roman"/>
          <w:b w:val="false"/>
          <w:i w:val="false"/>
          <w:color w:val="000000"/>
          <w:sz w:val="28"/>
        </w:rPr>
        <w:t>
      практические задания с использованием компьютеров на примере конкретной программы.</w:t>
      </w:r>
      <w:r>
        <w:br/>
      </w:r>
      <w:r>
        <w:rPr>
          <w:rFonts w:ascii="Times New Roman"/>
          <w:b w:val="false"/>
          <w:i w:val="false"/>
          <w:color w:val="000000"/>
          <w:sz w:val="28"/>
        </w:rPr>
        <w:t xml:space="preserve">
      2) проведение тренинга. </w:t>
      </w:r>
      <w:r>
        <w:br/>
      </w:r>
      <w:r>
        <w:rPr>
          <w:rFonts w:ascii="Times New Roman"/>
          <w:b w:val="false"/>
          <w:i w:val="false"/>
          <w:color w:val="000000"/>
          <w:sz w:val="28"/>
        </w:rPr>
        <w:t>
      Тренинг будет осуществляться в форме интерактивной дискуссии на основе презентаций и практических занятий (на компьютере). В частности, будут представлены и обсуждены разработанные ОЭСР методика и модель расчета стоимости программ государственных инвестиций.</w:t>
      </w:r>
      <w:r>
        <w:br/>
      </w:r>
      <w:r>
        <w:rPr>
          <w:rFonts w:ascii="Times New Roman"/>
          <w:b w:val="false"/>
          <w:i w:val="false"/>
          <w:color w:val="000000"/>
          <w:sz w:val="28"/>
        </w:rPr>
        <w:t xml:space="preserve">
      9. Будет организован 3-4-х дневный учебный семинар. В семинаре примут участие 15-20 государственных должностных лиц (например, представители министерств энергетики и финансов, а также других государственных ведомств, ответственных за управление охраной окружающей среды, как центрального, так и субнационального уровней). Это первое учебное мероприятие также имеет своей целью заложить основу для более устойчивой подготовки кадров в будущем. Все учебные материалы будут готовиться на английском и русском языках. </w:t>
      </w:r>
    </w:p>
    <w:bookmarkStart w:name="z20" w:id="17"/>
    <w:p>
      <w:pPr>
        <w:spacing w:after="0"/>
        <w:ind w:left="0"/>
        <w:jc w:val="left"/>
      </w:pPr>
      <w:r>
        <w:rPr>
          <w:rFonts w:ascii="Times New Roman"/>
          <w:b/>
          <w:i w:val="false"/>
          <w:color w:val="000000"/>
        </w:rPr>
        <w:t xml:space="preserve"> 
5. Описание реализации проекта </w:t>
      </w:r>
    </w:p>
    <w:bookmarkEnd w:id="17"/>
    <w:p>
      <w:pPr>
        <w:spacing w:after="0"/>
        <w:ind w:left="0"/>
        <w:jc w:val="both"/>
      </w:pPr>
      <w:r>
        <w:rPr>
          <w:rFonts w:ascii="Times New Roman"/>
          <w:b w:val="false"/>
          <w:i w:val="false"/>
          <w:color w:val="000000"/>
          <w:sz w:val="28"/>
        </w:rPr>
        <w:t xml:space="preserve">      10. Проект будет реализовываться в тесном сотрудничестве с Министерством энергетики Республики Казахстана (далее — местный координатор). До начала реализации проекта Министерству энергетики необходимо более детально определить охват программы и уровень, на котором (национальный или региональный) она будет выполняться. После того, как это будет решено, ОЭСР организует встречу с заинтересованными сторонами при участии различных организаций для дальнейшего обсуждения охвата программы, работа над которой будет осуществляться в рамках этого проекта, и ее отдельных элементов. </w:t>
      </w:r>
      <w:r>
        <w:br/>
      </w:r>
      <w:r>
        <w:rPr>
          <w:rFonts w:ascii="Times New Roman"/>
          <w:b w:val="false"/>
          <w:i w:val="false"/>
          <w:color w:val="000000"/>
          <w:sz w:val="28"/>
        </w:rPr>
        <w:t xml:space="preserve">
      11. Проект будет реализовываться группой международных консультантов под руководством менеджера проекта от ОЭСР и при его непосредственном участии. Министерство энергетики, как ведущий партнер ОЭСР, будет играть ключевую роль в реализации проекта наряду с ОЭСР. Министерством будет назначен Координатор проекта для его координации в стране. Активное участие Министерств финансов и национальной экономики в этом проекте имеет решающее значение. </w:t>
      </w:r>
      <w:r>
        <w:br/>
      </w:r>
      <w:r>
        <w:rPr>
          <w:rFonts w:ascii="Times New Roman"/>
          <w:b w:val="false"/>
          <w:i w:val="false"/>
          <w:color w:val="000000"/>
          <w:sz w:val="28"/>
        </w:rPr>
        <w:t xml:space="preserve">
      12. Местный координатор проекта будет активно участвовать в реализации проекта. Он будет опираться в своей работе на налаженные рабочие отношения с ключевыми государственными ведомствами и на поддержку Министерства энергетики. Местный координатор проекта будет тесно сотрудничать с менеджером проекта от ОЭСР. Местный координатор отвечает, в частности, за следующее: </w:t>
      </w:r>
      <w:r>
        <w:br/>
      </w:r>
      <w:r>
        <w:rPr>
          <w:rFonts w:ascii="Times New Roman"/>
          <w:b w:val="false"/>
          <w:i w:val="false"/>
          <w:color w:val="000000"/>
          <w:sz w:val="28"/>
        </w:rPr>
        <w:t>
      определение источников информации, сбор документов по запросу менеджера проекта от ОЭСР;</w:t>
      </w:r>
      <w:r>
        <w:br/>
      </w:r>
      <w:r>
        <w:rPr>
          <w:rFonts w:ascii="Times New Roman"/>
          <w:b w:val="false"/>
          <w:i w:val="false"/>
          <w:color w:val="000000"/>
          <w:sz w:val="28"/>
        </w:rPr>
        <w:t>
      взаимодействие с национальными органами по вопросам, касающимся проекта, в частности по вопросам определения ключевых заинтересованных сторон, с которыми должны встретиться сотрудники проекта в рамках визитов ОЭСР;</w:t>
      </w:r>
      <w:r>
        <w:br/>
      </w:r>
      <w:r>
        <w:rPr>
          <w:rFonts w:ascii="Times New Roman"/>
          <w:b w:val="false"/>
          <w:i w:val="false"/>
          <w:color w:val="000000"/>
          <w:sz w:val="28"/>
        </w:rPr>
        <w:t>
      организация встреч заинтересованных сторон в стране;</w:t>
      </w:r>
      <w:r>
        <w:br/>
      </w:r>
      <w:r>
        <w:rPr>
          <w:rFonts w:ascii="Times New Roman"/>
          <w:b w:val="false"/>
          <w:i w:val="false"/>
          <w:color w:val="000000"/>
          <w:sz w:val="28"/>
        </w:rPr>
        <w:t>
      участие в подготовке проекта отчета и окончательной версии отчета по итогам анализа, в том числе самой программы инвестиций;</w:t>
      </w:r>
      <w:r>
        <w:br/>
      </w:r>
      <w:r>
        <w:rPr>
          <w:rFonts w:ascii="Times New Roman"/>
          <w:b w:val="false"/>
          <w:i w:val="false"/>
          <w:color w:val="000000"/>
          <w:sz w:val="28"/>
        </w:rPr>
        <w:t>
      оказание содействия в решении организационных вопросов сотрудникам проекта: подготовка письменных приглашений, организация выдачи виз, определение мест проведения встреч, обеспечение успешного проведения встреч, организация перевода документов с государственного языка на английский язык (при необходимости).</w:t>
      </w:r>
      <w:r>
        <w:br/>
      </w:r>
      <w:r>
        <w:rPr>
          <w:rFonts w:ascii="Times New Roman"/>
          <w:b w:val="false"/>
          <w:i w:val="false"/>
          <w:color w:val="000000"/>
          <w:sz w:val="28"/>
        </w:rPr>
        <w:t xml:space="preserve">
      13. Подготовка и реализация проекта в целом будут координироваться менеджером проекта от ОЭСР. В частности, менеджер проекта от ОЭСР будет отвечать за следующее: </w:t>
      </w:r>
      <w:r>
        <w:br/>
      </w:r>
      <w:r>
        <w:rPr>
          <w:rFonts w:ascii="Times New Roman"/>
          <w:b w:val="false"/>
          <w:i w:val="false"/>
          <w:color w:val="000000"/>
          <w:sz w:val="28"/>
        </w:rPr>
        <w:t>
      определение международных консультантов для работы по проекту;</w:t>
      </w:r>
      <w:r>
        <w:br/>
      </w:r>
      <w:r>
        <w:rPr>
          <w:rFonts w:ascii="Times New Roman"/>
          <w:b w:val="false"/>
          <w:i w:val="false"/>
          <w:color w:val="000000"/>
          <w:sz w:val="28"/>
        </w:rPr>
        <w:t>
      взаимодействие с государственными должностными лицами в стране для содействия реализации проекта;</w:t>
      </w:r>
      <w:r>
        <w:br/>
      </w:r>
      <w:r>
        <w:rPr>
          <w:rFonts w:ascii="Times New Roman"/>
          <w:b w:val="false"/>
          <w:i w:val="false"/>
          <w:color w:val="000000"/>
          <w:sz w:val="28"/>
        </w:rPr>
        <w:t>
      сотрудничество с донорами и международными финансовыми организациям;</w:t>
      </w:r>
      <w:r>
        <w:br/>
      </w:r>
      <w:r>
        <w:rPr>
          <w:rFonts w:ascii="Times New Roman"/>
          <w:b w:val="false"/>
          <w:i w:val="false"/>
          <w:color w:val="000000"/>
          <w:sz w:val="28"/>
        </w:rPr>
        <w:t>
      осуществление контроля за сроками реализации проекта;</w:t>
      </w:r>
      <w:r>
        <w:br/>
      </w:r>
      <w:r>
        <w:rPr>
          <w:rFonts w:ascii="Times New Roman"/>
          <w:b w:val="false"/>
          <w:i w:val="false"/>
          <w:color w:val="000000"/>
          <w:sz w:val="28"/>
        </w:rPr>
        <w:t>
      предоставление комментариев и редактирование проектов отчетов для обеспечения высокого качества аналитической работы;</w:t>
      </w:r>
      <w:r>
        <w:br/>
      </w:r>
      <w:r>
        <w:rPr>
          <w:rFonts w:ascii="Times New Roman"/>
          <w:b w:val="false"/>
          <w:i w:val="false"/>
          <w:color w:val="000000"/>
          <w:sz w:val="28"/>
        </w:rPr>
        <w:t>
      участие во встречах заинтересованных сторон в стране.</w:t>
      </w:r>
      <w:r>
        <w:br/>
      </w:r>
      <w:r>
        <w:rPr>
          <w:rFonts w:ascii="Times New Roman"/>
          <w:b w:val="false"/>
          <w:i w:val="false"/>
          <w:color w:val="000000"/>
          <w:sz w:val="28"/>
        </w:rPr>
        <w:t>
      14. Проект будет реализовываться ОЭСР при поддержке международных консультантов, имеющих практический опыт в разработке, управлении и внедрении долгосрочных программ «зеленых» государственных инвестиций. Консультантов будет нанимать непосредственно ОЭСР. Главными функциями международных консультантов будет проведение трех выездных миссий в Казахстан с целью сбора необходимых данных и разработки программы инвестиций. Международным консультантам будет оказывать содействие национальный консультант; международные консультанты подотчетны менеджеру проекта от ОЭСР.</w:t>
      </w:r>
    </w:p>
    <w:bookmarkStart w:name="z21" w:id="18"/>
    <w:p>
      <w:pPr>
        <w:spacing w:after="0"/>
        <w:ind w:left="0"/>
        <w:jc w:val="left"/>
      </w:pPr>
      <w:r>
        <w:rPr>
          <w:rFonts w:ascii="Times New Roman"/>
          <w:b/>
          <w:i w:val="false"/>
          <w:color w:val="000000"/>
        </w:rPr>
        <w:t xml:space="preserve"> 
6. Результаты и сроки деятельности </w:t>
      </w:r>
    </w:p>
    <w:bookmarkEnd w:id="18"/>
    <w:p>
      <w:pPr>
        <w:spacing w:after="0"/>
        <w:ind w:left="0"/>
        <w:jc w:val="both"/>
      </w:pPr>
      <w:r>
        <w:rPr>
          <w:rFonts w:ascii="Times New Roman"/>
          <w:b w:val="false"/>
          <w:i w:val="false"/>
          <w:color w:val="000000"/>
          <w:sz w:val="28"/>
        </w:rPr>
        <w:t xml:space="preserve">      15. Реализация проекта будет завершена к концу 2016 года. К концу проекта ожидается получение следующих основных результатов: </w:t>
      </w:r>
      <w:r>
        <w:br/>
      </w:r>
      <w:r>
        <w:rPr>
          <w:rFonts w:ascii="Times New Roman"/>
          <w:b w:val="false"/>
          <w:i w:val="false"/>
          <w:color w:val="000000"/>
          <w:sz w:val="28"/>
        </w:rPr>
        <w:t>
      определение и привлечение консультантов для работы по проекту - сентябрь-ноябрь 2015 года;</w:t>
      </w:r>
      <w:r>
        <w:br/>
      </w:r>
      <w:r>
        <w:rPr>
          <w:rFonts w:ascii="Times New Roman"/>
          <w:b w:val="false"/>
          <w:i w:val="false"/>
          <w:color w:val="000000"/>
          <w:sz w:val="28"/>
        </w:rPr>
        <w:t>
      встреча с заинтересованными сторонами, посвященная началу реализации проекта - февраль 2016 года;</w:t>
      </w:r>
      <w:r>
        <w:br/>
      </w:r>
      <w:r>
        <w:rPr>
          <w:rFonts w:ascii="Times New Roman"/>
          <w:b w:val="false"/>
          <w:i w:val="false"/>
          <w:color w:val="000000"/>
          <w:sz w:val="28"/>
        </w:rPr>
        <w:t>
      краткий обзор ситуации на рынке соответствующих технологий и потенциальных выгодополучателей, которые будут поддерживаться по программе — апрель 2016 года;</w:t>
      </w:r>
      <w:r>
        <w:br/>
      </w:r>
      <w:r>
        <w:rPr>
          <w:rFonts w:ascii="Times New Roman"/>
          <w:b w:val="false"/>
          <w:i w:val="false"/>
          <w:color w:val="000000"/>
          <w:sz w:val="28"/>
        </w:rPr>
        <w:t>
      выверенная модель на базе Excel и сопроводительная пояснительная записка о порядке применения методики расчета стоимости программы — май 2016 года;</w:t>
      </w:r>
      <w:r>
        <w:br/>
      </w:r>
      <w:r>
        <w:rPr>
          <w:rFonts w:ascii="Times New Roman"/>
          <w:b w:val="false"/>
          <w:i w:val="false"/>
          <w:color w:val="000000"/>
          <w:sz w:val="28"/>
        </w:rPr>
        <w:t>
      проект описания программы и ее основных элементов - июль 2016 года;</w:t>
      </w:r>
      <w:r>
        <w:br/>
      </w:r>
      <w:r>
        <w:rPr>
          <w:rFonts w:ascii="Times New Roman"/>
          <w:b w:val="false"/>
          <w:i w:val="false"/>
          <w:color w:val="000000"/>
          <w:sz w:val="28"/>
        </w:rPr>
        <w:t>
      проект аналитического отчета - сентябрь 2016 года;</w:t>
      </w:r>
      <w:r>
        <w:br/>
      </w:r>
      <w:r>
        <w:rPr>
          <w:rFonts w:ascii="Times New Roman"/>
          <w:b w:val="false"/>
          <w:i w:val="false"/>
          <w:color w:val="000000"/>
          <w:sz w:val="28"/>
        </w:rPr>
        <w:t>
      встреча с заинтересованными сторонами, посвященная представлению, обсуждению и согласованию с партнерами в Казахстане окончательной структуры программы и аналитического отчета — октябрь 2016 года;</w:t>
      </w:r>
      <w:r>
        <w:br/>
      </w:r>
      <w:r>
        <w:rPr>
          <w:rFonts w:ascii="Times New Roman"/>
          <w:b w:val="false"/>
          <w:i w:val="false"/>
          <w:color w:val="000000"/>
          <w:sz w:val="28"/>
        </w:rPr>
        <w:t>
      подготовка учебных материалов и проведение тренинга - декабрь 2016 года.</w:t>
      </w:r>
    </w:p>
    <w:bookmarkStart w:name="z22" w:id="19"/>
    <w:p>
      <w:pPr>
        <w:spacing w:after="0"/>
        <w:ind w:left="0"/>
        <w:jc w:val="left"/>
      </w:pPr>
      <w:r>
        <w:rPr>
          <w:rFonts w:ascii="Times New Roman"/>
          <w:b/>
          <w:i w:val="false"/>
          <w:color w:val="000000"/>
        </w:rPr>
        <w:t xml:space="preserve"> 
7. Бюджет проекта </w:t>
      </w:r>
    </w:p>
    <w:bookmarkEnd w:id="19"/>
    <w:p>
      <w:pPr>
        <w:spacing w:after="0"/>
        <w:ind w:left="0"/>
        <w:jc w:val="both"/>
      </w:pPr>
      <w:r>
        <w:rPr>
          <w:rFonts w:ascii="Times New Roman"/>
          <w:b w:val="false"/>
          <w:i w:val="false"/>
          <w:color w:val="000000"/>
          <w:sz w:val="28"/>
        </w:rPr>
        <w:t xml:space="preserve">      16. Общий бюджет проекта оценивается в 150 000 евро. Более детальный проект бюджета в разбивке по статьям представлен в таблице в приложении. </w:t>
      </w:r>
      <w:r>
        <w:br/>
      </w:r>
      <w:r>
        <w:rPr>
          <w:rFonts w:ascii="Times New Roman"/>
          <w:b w:val="false"/>
          <w:i w:val="false"/>
          <w:color w:val="000000"/>
          <w:sz w:val="28"/>
        </w:rPr>
        <w:t xml:space="preserve">
      17. Общий бюджет проведения второго обзора инвестиционной политики Казахстана составляет 150 000 евро, который разделен на два платежа, за 2015 год - 100 000 евро, за 2016 год — 50 000 евро. </w:t>
      </w:r>
    </w:p>
    <w:p>
      <w:pPr>
        <w:spacing w:after="0"/>
        <w:ind w:left="0"/>
        <w:jc w:val="both"/>
      </w:pPr>
      <w:r>
        <w:rPr>
          <w:rFonts w:ascii="Times New Roman"/>
          <w:b w:val="false"/>
          <w:i w:val="false"/>
          <w:color w:val="000000"/>
          <w:sz w:val="28"/>
        </w:rPr>
        <w:t>      Расчет по использованию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2"/>
        <w:gridCol w:w="4128"/>
      </w:tblGrid>
      <w:tr>
        <w:trPr>
          <w:trHeight w:val="240" w:hRule="atLeast"/>
        </w:trPr>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расчетная стоимость (евро)</w:t>
            </w:r>
          </w:p>
        </w:tc>
      </w:tr>
      <w:tr>
        <w:trPr>
          <w:trHeight w:val="240" w:hRule="atLeast"/>
        </w:trPr>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сотрудников</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53 116</w:t>
            </w:r>
          </w:p>
        </w:tc>
      </w:tr>
      <w:tr>
        <w:trPr>
          <w:trHeight w:val="240" w:hRule="atLeast"/>
        </w:trPr>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помещение, ИТ и прочие расходы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6 919</w:t>
            </w:r>
          </w:p>
        </w:tc>
      </w:tr>
      <w:tr>
        <w:trPr>
          <w:trHeight w:val="225" w:hRule="atLeast"/>
        </w:trPr>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690" w:hRule="atLeast"/>
        </w:trPr>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встречи и на командировочные расходы, на публикацию и перевод</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r>
      <w:tr>
        <w:trPr>
          <w:trHeight w:val="225" w:hRule="atLeast"/>
        </w:trPr>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сотрудников ОЭСР</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25" w:hRule="atLeast"/>
        </w:trPr>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сбор ОЭСР (6,3 %)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255" w:hRule="atLeast"/>
        </w:trPr>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расходы: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150 000
</w:t>
            </w:r>
          </w:p>
        </w:tc>
      </w:tr>
    </w:tbl>
    <w:bookmarkStart w:name="z23" w:id="20"/>
    <w:p>
      <w:pPr>
        <w:spacing w:after="0"/>
        <w:ind w:left="0"/>
        <w:jc w:val="both"/>
      </w:pPr>
      <w:r>
        <w:rPr>
          <w:rFonts w:ascii="Times New Roman"/>
          <w:b w:val="false"/>
          <w:i w:val="false"/>
          <w:color w:val="000000"/>
          <w:sz w:val="28"/>
        </w:rPr>
        <w:t>
      * Примечание: любой перерасход на одной строке бюджета может быть компенсирован недостачей на другой строке бюджета, оставаясь в рамках полного бюджета.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