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bdaee" w14:textId="b6bda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Организацией экономического сотрудничества и развития о проекте "Экономические аспекты управления водными ресурсами в странах ВЕКЦА: поддержка внедрения программы по управлению водными ресурсами"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апреля 2015 года № 365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Организацией экономического сотрудничества и развития о проекте «Экономические аспекты управления водными ресурсами в странах ВЕКЦА: поддержка внедрения программы по управлению водными ресурсами».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сельского хозяйства Республики Казахстан Мамытбекова Асылжана Сарыбаевича подписать от имени Правительства Республики Казахстан Соглашение между Правительством Республики Казахстан и Организацией экономического сотрудничества и развития о проекте «Экономические аспекты управления водными ресурсами в странах ВЕКЦА: поддержка внедрения программы по управлению водными ресурсами», разрешив вносить в него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2015 года № 365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Организацией экономического сотрудничества и развития о проекте</w:t>
      </w:r>
      <w:r>
        <w:br/>
      </w:r>
      <w:r>
        <w:rPr>
          <w:rFonts w:ascii="Times New Roman"/>
          <w:b/>
          <w:i w:val="false"/>
          <w:color w:val="000000"/>
        </w:rPr>
        <w:t>
«Экономические аспекты управления водными ресурсами в странах</w:t>
      </w:r>
      <w:r>
        <w:br/>
      </w:r>
      <w:r>
        <w:rPr>
          <w:rFonts w:ascii="Times New Roman"/>
          <w:b/>
          <w:i w:val="false"/>
          <w:color w:val="000000"/>
        </w:rPr>
        <w:t>
ВЕКЦА: поддержка внедрения программы</w:t>
      </w:r>
      <w:r>
        <w:br/>
      </w:r>
      <w:r>
        <w:rPr>
          <w:rFonts w:ascii="Times New Roman"/>
          <w:b/>
          <w:i w:val="false"/>
          <w:color w:val="000000"/>
        </w:rPr>
        <w:t>
по управлению водными ресурсами»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Организация экономического сотрудничества и развития, здесь и далее по отдельности именуемые «Сторона» или вместе именуемые «Стороны»,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1. Предмет Соглашения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Организация экономического сотрудничества и развития (далее — ОЭСР) осуществляет проект «Экономические аспекты управления водными ресурсами в странах ВЕКЦА: поддержка внедрения программы по управлению водными ресурсами» (далее — проект).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Правительство Республики Казахстан соглашается финансировать работу, которую ОЭСР выполняет в рамках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Длительность проекта - 18 месяцев со дня подписания настоящего Соглашения. 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2. Бюджет и механизмы финансирования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Правительство Республики Казахстан обязуется предоставить ОЭСР взнос в сумме 100 000 (сто тысяч) евро в счет покрытия расходов на реализацию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Взнос будет выплачен в два этапа: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a. Первый взнос в размере 70 000 (семьдесят тысяч) евро будет осуществлен после подписания данного Соглашения и получения соответствующего счета от ОЭСР.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b. Второй взнос в размере 30 000 (тридцать тысяч) евро будет осуществлен в срок до 31 марта 2016 года после получения соответствующего счета от ОЭСР.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ОЭСР будет администрировать этот взнос в соответствии с финансовыми положениями и другими соответствующими правилами, политиками и процедурами ОЭСР, которые в настоящий момент предусматривают оплату возмещения административных затрат 6,3 % от общей суммы взноса. Расход будет отражен на счетах ОЭСР согласно общепринятым принципам бухгалтерского учета, и он может проверяться во время аудита в соответствии со стандартными правилами аудита ОЭСР. 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3. Описание работ и отчетности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ОЭСР осуществляет проект, как описано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Соглашению, являющемся его неотъемлемой частью.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течение трех месяцев после завершения первого года проекта ОЭСР представит Правительству Республики Казахстан отчет о ходе выполнения проекта в повествовательной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течение шести месяцев после завершения проекта ОЭСР представит Правительству Республики Казахстан заключительный отчет по проекту в повествовательной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течение трех месяцев после завершения первого года проекта ОЭСР представит Правительству Республики Казахстан годовой отчет о расходах.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течение шести месяцев после завершения проекта ОЭСР представит Правительству Республики Казахстан заключительный отчет о расходах.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Правительство Республики Казахстан соглашается, что требования к финансовой отчетности соблюдены в отчете о затратах в соответствии со стандартным форматом отчетности ОЭСР. 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4. Обмен информацией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предоставляют друг другу помощь и информацию, необходимую для осуществления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Любой обмен информацией между Сторонами адресуется: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Правительства Республики Казахстан: Министерство сельского хозяйства Республики Казахстан, 010000, г. Астана, ул. Кенесары, 36, тел.: +7 (7172) 555995, факс: +7 (7172) 555995, e-mail: office@minagri.gov.kz: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ОЭСР: Отделение зеленого роста и глобальных связей, Директорат по окружающей среде, 75775, Франция, Париж Cedex 16, 2, rue Andre-Pascal, эл.адрес: Dianne.Fowler@oecd.org.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5. Использование результатов проекта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Результаты проекта в любой форме остаются исключительной собственностью ОЭСР.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соблюдении прав третьих сторон, а также правил и политик ОЭСР относительно классификации и исключения из классификации документов, если применимо, ОЭСР передает Правительству Республики Казахстан неисключительное, безотзывное право на использование, копирование и распространение бумажных копий заключительного отчета по проекту для любых государственных некоммерческих целей. Правительство Республики Казахстан также может размещать на своем веб-сайте и распространять полную версию заключительного отчета в формате «только для чтения» (html 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Правительство Республики Казахстан должным образом признает авторское право ОЭСР, где это необходимо.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ОЭСР оставляет за собой право первой публикации заключительного отчета, независимо от языка и формы такой публикации.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Заключительный отчет будет включать в себя признание вклада Правительства Республики Казахстан в проект, и символ Правительства Республики Казахстан будет размещен на задней стороне обложки публикации или внутри публикации рядом с указанным выше признанием.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Любые данные или информация, являющиеся собственностью Правительства Республики Казахстан, предоставленные ОЭСР в ходе проекта, остаются собственностью Правительства Республики Казахстан. ОЭСР имеет право использовать и/или включать указанные данные и информацию с целью подготовки своего отчета и в более общем плане для осуществления проекта. 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6. Разрешение споров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Любой спор, разногласие или претензия, возникающие из или в отношении толкования, применения или выполнения настоящего Соглашения, включая существование, действительность или расторжение, которые не могут быть разрешены путем переговоров, разрешаются окончательным арбитражным разбирательством, имеющим обязательную силу, в соответствии с факультативными правилами арбитражного суда для международных организаций и государств постоянной палаты третейского суда, действительных на дату заключения настоящего Соглашения. Количество судей - один. Судья выбирается путем договоренности между Сторонами. Если такая договоренность не достигнута в течение трех месяцев после требования арбитража, судья назначается в соответствии с указанными выше правилами по требованию одной из Сторон. Арбитражный суд проходит в Париже, Франция, все производство и подаваемые объяснения должны быть на английском языке.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7. Привилегии и иммунитеты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Ничто н настоящем Соглашении не должно трактоваться как отказ от иммунитетов и привилегий ОЭСР как международной организации.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8. Изменения и дополнения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настоящее Соглашение по взаимному согласию Сторон могут вноситься изменения и дополнения, которые оформляются отдельными протоколами и являются его неотъемлемыми частями.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9. Вступление в силу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 даты подписания. Оно остается действительным до тех пор, пока обе Стороны не выполнят все обязательства, вытекающие из него.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двух подлинных экземплярах на казахском, русском и английском языках. В случае расхождений между казахским, русским и английскими языками, вариант на английском языке является единственной подлинной версией.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80"/>
        <w:gridCol w:w="6880"/>
      </w:tblGrid>
      <w:tr>
        <w:trPr>
          <w:trHeight w:val="30" w:hRule="atLeast"/>
        </w:trPr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Правительства Республики Казахстан</w:t>
            </w:r>
          </w:p>
        </w:tc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Организации экономического сотрудничества и развития</w:t>
            </w:r>
          </w:p>
        </w:tc>
      </w:tr>
      <w:tr>
        <w:trPr>
          <w:trHeight w:val="30" w:hRule="atLeast"/>
        </w:trPr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Асылжан Мамытбеков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 Республики Казахстан</w:t>
            </w:r>
          </w:p>
        </w:tc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Симон Аптон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Директората ОЭСР по окружающей среде</w:t>
            </w:r>
          </w:p>
        </w:tc>
      </w:tr>
      <w:tr>
        <w:trPr>
          <w:trHeight w:val="30" w:hRule="atLeast"/>
        </w:trPr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Подпись: .....................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Дата: .........................</w:t>
            </w:r>
          </w:p>
        </w:tc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Подпись: .....................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Дата: .........................</w:t>
            </w:r>
          </w:p>
        </w:tc>
      </w:tr>
      <w:tr>
        <w:trPr>
          <w:trHeight w:val="30" w:hRule="atLeast"/>
        </w:trPr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Энтони Дж. Роттьер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директор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Подпись: ........................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Дата: ...........................</w:t>
            </w:r>
          </w:p>
        </w:tc>
      </w:tr>
    </w:tbl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Деятельность, предлагаемая на 2015-2016 годы, по Страновой</w:t>
      </w:r>
      <w:r>
        <w:br/>
      </w:r>
      <w:r>
        <w:rPr>
          <w:rFonts w:ascii="Times New Roman"/>
          <w:b/>
          <w:i w:val="false"/>
          <w:color w:val="000000"/>
        </w:rPr>
        <w:t>
программе ОЭСР Раздел «Окружающая среда»: Экономические аспекты</w:t>
      </w:r>
      <w:r>
        <w:br/>
      </w:r>
      <w:r>
        <w:rPr>
          <w:rFonts w:ascii="Times New Roman"/>
          <w:b/>
          <w:i w:val="false"/>
          <w:color w:val="000000"/>
        </w:rPr>
        <w:t>
управления водными ресурсами в странах ВЕКЦА: поддержка</w:t>
      </w:r>
      <w:r>
        <w:br/>
      </w:r>
      <w:r>
        <w:rPr>
          <w:rFonts w:ascii="Times New Roman"/>
          <w:b/>
          <w:i w:val="false"/>
          <w:color w:val="000000"/>
        </w:rPr>
        <w:t>
внедрения программы по управлению водными ресурсами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Исходная информация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Проект «Экономические аспекты управления водными ресурсами в странах ВЕКЦА: поддержка внедрения программы по управлению водными ресурсами» будет выполняться в рамках утвержденной в начале 2015 года страновой программы ОЭСР для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 станет частью осуществляемого при содействии ОЭСР/ЕЭК ООН регионального компонента Водной инициативы Европейского Союза (далее – ВИЕС) для стран Восточной Европы, Кавказа и Центральной Азии (далее – ВЕКЦА). Компонент ВИЕС для стран ВЕКЦА поддерживает Европейскую политику добрососедства и Платформу сотрудничества между ЕС и Центральной Азией в области охраны окружающей среды и водных ресурсов. Компонент ВИЕС для стран ВЕКЦА поддерживается ресурсами Европейского Союза и совместно финансируется Австрией, Финляндией, Германией, Норвегией и Швейцарией.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проект будет опираться и внесет вклад в Национальный диалог о водной политике (далее – НДВП) в Казахстане, начатый в 2013 году (по распоряжению Премьер-Министра Республики Казахстан от 10 апреля 2013 года № 12-19/713). Действовавшим в то время Министром окружающей среды для координации НДВП был создан Межведомственный координационный совет (далее – МКС). Регулярные заседания НДВП/МКС с участием заинтересованных сторон, поддерживаемые рабочими группами экспертов, служат площадкой для диалога о водной политике. В настоящее время НДВП осуществляется под председательством вице-министра сельского хозяйства; Комитет по водным ресурсам Министерства сельского хозяйства является одним из его ключевых участников, а также выполняет функции Секретариата НДВП. НДВП проводится при содействии ОЭСР (СРГ ПДООС – Специальная рабочая группа по реализации Программы действий по охране окружающей среды) и ЕЭК ООН в качестве стратегических партнеров компонента Водной инициативы ЕС для стран ВЕКЦА.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НДВП способствует созданию аналитической базы для принятия государством мер, в том числе по следующим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управление водными ресурсами в соответствии с принципами «зеленой» модели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экономическая эффективность и финансовая устойчивость водного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надежное экономическое регулирование и устойчивые бизнес-модели водоснабжения и водоотведения. 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Деятельность, предусмотренная в разделе «Окружающая среда» страновой программы ОЭСР для Казахстана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Задача 1: Усиление роли многоцелевых водохозяйственных систем (далее – МВС) в обеспечении надежного водоснабжения, продовольственной и энергетической безопасности и безопасности экосистем, а также в переходе Казахстана на инклюзивную «зеленую» модель экономики и устойчивое развитие.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Действия: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экономической оценки отдельных существующих объектов многоцелевой водохозяйственной инфраструктуры (далее – МВС) (как правило, представленной плотиной, водохранилищем и гидроэлектростанцией, магистральным(-и) каналом(-ами) и т.д.) в отдельном речном бассейне Казахстана (например, в трансграничном бассейне Или или Иртыша).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должна быть сосредоточена на: услугах, предоставляемых МВС; положительных и отрицательных внешних эффектах и вкладе МВС в управление рисками, влиянии, оказываемом на бюджет и занятость, общем прямом и косвенном вкладе в экономику региона и страны; правилах вододеления в обычных и чрезвычайных ситуациях (например, в случае паводков, засух); целевой функции оператора(-ов) (например, максимизация прибыли от производства электроэнергии или обеспечение максимально высокого уровня благосостояния общества или обеспечение надежного водоснабжения, продовольственной и энергетической безопасности страны и т.д.) – как она изменялась со временем и как влияла на вклад МВС в экономику страны, и т.д.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экспресс-оценки финансирования МВС (расходов на эксплуатацию и текущий ремонт и содержание МВС в сравнении с доходами от платежей потребителей, налоговых поступлений и государственной поддержки МВС) и уровня ее финансовой самостоятельности.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соответствующего международного опыта (отдельных стран-членов ЕС, ОЭСР, БРИИКС и ВЕКЦА), который можно адаптировать к МВС/в условиях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Выработка рекомендаций по совершенствованию регулирования МВС, управления МВС и ее финансирования (например, правил распределения, целевой функции и структуры стимулов, государственной поддержки и т.д.) для увеличения вклада МВС в инклюзивный «зеленый» рост и устойчивое развитие, а также для достижения надежного водоснабжения, продовольственной и энергетической безопасности и безопасности экосистем.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Результаты: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Оценочный отчет, в котором проводится сравнение с образцами лучшей международной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рекомендации по усилению роли многоцелевых водохозяйственных систем в «зеленом» развитии на принципах устойчивости и обеспечению надежного водоснабжения, продовольственной и энергетической безопасности и безопасности экосистем.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Итоги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Эта работа будет способствовать увеличению вклада многоцелевых водохозяйственных систем в инклюзивный «зеленый» рост и устойчивое развитие Казахстана, а также в обеспечение надежного водоснабжения, продовольственной и энергетической безопасности и безопасности экосистем, как части задачи обеспечения инклюзивности и устойчивости роста и развития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Эффект синергии и взаимодополняемость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Этот вид деятельности дополняет работу в отношении устойчивых бизнес-моделей для водохозяйственной инфраструктуры, которая будет осуществляться ПРООН и ЕЭК ООН в рамках финансируемого ЕК проекта по поддержке перехода Казахстана на «зеленую» модель экономики, и будет направлен на достижение возможного эффекта синергии с этой работой.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Задача 2: Обзор механизмов и инструментов государственной поддержки сельского хозяйства, развития села и водоемкой перерабатывающей промышленности, влияющей на водное хозяйство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Действия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Обзор действующих инструментов и механизмов государственной поддержки сельского хозяйства, развития села и одной водоемкой перерабатывающей отрасли промышленности, влияющих на водное хозяйство.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сельском хозяйстве соответствующие инструменты и механизмы государственной поддержки касаются, в том числе, поддержки использования агрохимикатов или моторного масла и топлива или воды для орошения; в части поддержки развития сельских районов – развития сельского водоснабжения и водоотведения; в водоемких отраслях промышленности – содействия экономии воды, в том числе за счет инноваций, оборотного водоснабжения и повторного использования воды. Водоемкая перерабатывающая отрасль промышленности будет выбрана совместно с уполномоченными органами и иными заинтересованными лицами.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соответствующего международного опыта (стран-членов ЕС, ОЭСР, БРИИКС и ВЕКЦА), который можно адаптировать и использовать в условиях Казахстана.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Выработка рекомендаций по усилению механизмов государственной поддержки, упразднению или реформированию контрпродуктивных государственных субсидий, связанных с водными ресурсами, в рассматриваемых отраслях.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Результаты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Оценочный отчет, в котором проводится сравнение с соответствующими образцами лучшей международной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рекомендации по усилению механизмов государственной поддержки и реформированию контрпродуктивных государственных субсидий, связанных с водными ресурсами, в рассматриваемых отраслях.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Итоги работы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Эта работа будет способствовать более эффективному использованию бюджетных средств для достижения целей экологической (в отношении водных ресурсов), социальной (финансовая доступность услуг водоснабжения и водоотведения/инклюзивность), а также экономической (производительность, рост и развитие), налогово-бюджетной и финансовой политики, в частности финансовой устойчивости водного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Эффект синергии и взаимодополняемость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Этот вид деятельности дополняет работу по экономическим инструментам, направленным на повышение эффективности использования воды, которая будет выполняться ПРООН и ЕЭК ООН в рамках вышеуказанного проекта, финансируемого 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Примерный план-график</w:t>
      </w:r>
      <w:r>
        <w:rPr>
          <w:rFonts w:ascii="Times New Roman"/>
          <w:b w:val="false"/>
          <w:i w:val="false"/>
          <w:color w:val="000000"/>
          <w:sz w:val="28"/>
        </w:rPr>
        <w:t xml:space="preserve"> (в предположении начала работ во 2-м квартале 2015 года):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0"/>
        <w:gridCol w:w="975"/>
        <w:gridCol w:w="975"/>
        <w:gridCol w:w="975"/>
        <w:gridCol w:w="1093"/>
        <w:gridCol w:w="1392"/>
        <w:gridCol w:w="1393"/>
        <w:gridCol w:w="1393"/>
        <w:gridCol w:w="1394"/>
      </w:tblGrid>
      <w:tr>
        <w:trPr>
          <w:trHeight w:val="30" w:hRule="atLeast"/>
        </w:trPr>
        <w:tc>
          <w:tcPr>
            <w:tcW w:w="4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и результаты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</w:t>
            </w:r>
          </w:p>
        </w:tc>
      </w:tr>
      <w:tr>
        <w:trPr>
          <w:trHeight w:val="30" w:hRule="atLeast"/>
        </w:trPr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Оценочный отчет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Обсуждение на заседании НДВП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окончательного отчета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 экспертов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Окончательный отчет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</w:t>
            </w:r>
          </w:p>
        </w:tc>
      </w:tr>
      <w:tr>
        <w:trPr>
          <w:trHeight w:val="30" w:hRule="atLeast"/>
        </w:trPr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Оценочный отчет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 экспертов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окончательного отчета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Обсуждение на заседании НДВП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Окончательный отчет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Примерный бюджет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6"/>
        <w:gridCol w:w="3404"/>
      </w:tblGrid>
      <w:tr>
        <w:trPr>
          <w:trHeight w:val="30" w:hRule="atLeast"/>
        </w:trPr>
        <w:tc>
          <w:tcPr>
            <w:tcW w:w="10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затрат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евро</w:t>
            </w:r>
          </w:p>
        </w:tc>
      </w:tr>
      <w:tr>
        <w:trPr>
          <w:trHeight w:val="30" w:hRule="atLeast"/>
        </w:trPr>
        <w:tc>
          <w:tcPr>
            <w:tcW w:w="10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Оплата труда сотрудников ОЭСР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19 845
</w:t>
            </w:r>
          </w:p>
        </w:tc>
      </w:tr>
      <w:tr>
        <w:trPr>
          <w:trHeight w:val="30" w:hRule="atLeast"/>
        </w:trPr>
        <w:tc>
          <w:tcPr>
            <w:tcW w:w="10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Накладные расходы на сотрудников 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2 075
</w:t>
            </w:r>
          </w:p>
        </w:tc>
      </w:tr>
      <w:tr>
        <w:trPr>
          <w:trHeight w:val="30" w:hRule="atLeast"/>
        </w:trPr>
        <w:tc>
          <w:tcPr>
            <w:tcW w:w="10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42 500
</w:t>
            </w:r>
          </w:p>
        </w:tc>
      </w:tr>
      <w:tr>
        <w:trPr>
          <w:trHeight w:val="30" w:hRule="atLeast"/>
        </w:trPr>
        <w:tc>
          <w:tcPr>
            <w:tcW w:w="10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Командировки (сотрудники ОЭСР и эксперты)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16 000
</w:t>
            </w:r>
          </w:p>
        </w:tc>
      </w:tr>
      <w:tr>
        <w:trPr>
          <w:trHeight w:val="30" w:hRule="atLeast"/>
        </w:trPr>
        <w:tc>
          <w:tcPr>
            <w:tcW w:w="10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совещания, семинары и т.п.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7 500
</w:t>
            </w:r>
          </w:p>
        </w:tc>
      </w:tr>
      <w:tr>
        <w:trPr>
          <w:trHeight w:val="30" w:hRule="atLeast"/>
        </w:trPr>
        <w:tc>
          <w:tcPr>
            <w:tcW w:w="10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затраты (например подготовка и печать отчетов, документов)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5 780
</w:t>
            </w:r>
          </w:p>
        </w:tc>
      </w:tr>
      <w:tr>
        <w:trPr>
          <w:trHeight w:val="30" w:hRule="atLeast"/>
        </w:trPr>
        <w:tc>
          <w:tcPr>
            <w:tcW w:w="10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расходы ОЭСР на управление грантом*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6 300
</w:t>
            </w:r>
          </w:p>
        </w:tc>
      </w:tr>
      <w:tr>
        <w:trPr>
          <w:trHeight w:val="30" w:hRule="atLeast"/>
        </w:trPr>
        <w:tc>
          <w:tcPr>
            <w:tcW w:w="10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Всего затраты 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100 000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Примечания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- составляет 6.3 % от суммы гранта.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