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aa16d" w14:textId="c2aa1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постановление Правительства Республики Казахстан от 29 октября 2014 года № 1145 "Об утверждении Правил добровольной возмездной сдачи огнестрельного бесствольного, газового оружия с возможностью стрельбы патронами травматического действия физическими лицами, имеющими соответствующее разрешение органов внутренних дел на хранение и ношение оружия"</w:t>
      </w:r>
    </w:p>
    <w:p>
      <w:pPr>
        <w:spacing w:after="0"/>
        <w:ind w:left="0"/>
        <w:jc w:val="both"/>
      </w:pPr>
      <w:r>
        <w:rPr>
          <w:rFonts w:ascii="Times New Roman"/>
          <w:b w:val="false"/>
          <w:i w:val="false"/>
          <w:color w:val="000000"/>
          <w:sz w:val="28"/>
        </w:rPr>
        <w:t>Постановление Правительства Республики Казахстан от 4 сентября 2015 года № 741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октября 2014 года № 1145 «Об утверждении Правил добровольной возмездной сдачи огнестрельного бесствольного, газового оружия с возможностью стрельбы патронами травматического действия физическими лицами, имеющими соответствующее разрешение органов внутренних дел на хранение и ношение оружия» (САПП Республики Казахстан, 2014 г., № 66 ст. 612) следующие дополнения: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добровольной возмездной сдачи огнестрельного бесствольного, газового оружия с возможностью стрельбы патронами травматического действия физическими лицами, имеющими соответствующее разрешение органов внутренних дел на хранение и ношение оружия, утвержденные указанным постановлением:</w:t>
      </w:r>
      <w:r>
        <w:br/>
      </w:r>
      <w:r>
        <w:rPr>
          <w:rFonts w:ascii="Times New Roman"/>
          <w:b w:val="false"/>
          <w:i w:val="false"/>
          <w:color w:val="000000"/>
          <w:sz w:val="28"/>
        </w:rPr>
        <w:t>
</w:t>
      </w:r>
      <w:r>
        <w:rPr>
          <w:rFonts w:ascii="Times New Roman"/>
          <w:b w:val="false"/>
          <w:i w:val="false"/>
          <w:color w:val="000000"/>
          <w:sz w:val="28"/>
        </w:rPr>
        <w:t>
      дополнить пунктом 25 следующего содержания:</w:t>
      </w:r>
      <w:r>
        <w:br/>
      </w:r>
      <w:r>
        <w:rPr>
          <w:rFonts w:ascii="Times New Roman"/>
          <w:b w:val="false"/>
          <w:i w:val="false"/>
          <w:color w:val="000000"/>
          <w:sz w:val="28"/>
        </w:rPr>
        <w:t>
      «25. При добровольной сдаче физическим лицом зарегистрированного оружия, наименование которого не предусмотрено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комиссией устанавливаются размеры вознаграждения по средней стоимости одноименных моделей оружия, утвержденные указанным приложением. </w:t>
      </w:r>
      <w:r>
        <w:br/>
      </w:r>
      <w:r>
        <w:rPr>
          <w:rFonts w:ascii="Times New Roman"/>
          <w:b w:val="false"/>
          <w:i w:val="false"/>
          <w:color w:val="000000"/>
          <w:sz w:val="28"/>
        </w:rPr>
        <w:t>
      В случае сдачи оружия, наименование которого отсутствует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его стоимость определяется комиссией по стоимости оружия, технические характеристики которого  сходны с оружием, наименование которого указано в приложении 3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3</w:t>
      </w:r>
      <w:r>
        <w:rPr>
          <w:rFonts w:ascii="Times New Roman"/>
          <w:b w:val="false"/>
          <w:i w:val="false"/>
          <w:color w:val="000000"/>
          <w:sz w:val="28"/>
        </w:rPr>
        <w:t xml:space="preserve"> к указанным Правилам «Размеры вознаграждений за добровольно сданное оружие»:</w:t>
      </w:r>
      <w:r>
        <w:br/>
      </w:r>
      <w:r>
        <w:rPr>
          <w:rFonts w:ascii="Times New Roman"/>
          <w:b w:val="false"/>
          <w:i w:val="false"/>
          <w:color w:val="000000"/>
          <w:sz w:val="28"/>
        </w:rPr>
        <w:t>
</w:t>
      </w:r>
      <w:r>
        <w:rPr>
          <w:rFonts w:ascii="Times New Roman"/>
          <w:b w:val="false"/>
          <w:i w:val="false"/>
          <w:color w:val="000000"/>
          <w:sz w:val="28"/>
        </w:rPr>
        <w:t>
      дополнить строками, порядковые номера 79, 80, 81, 82, 83, 84, 85, 86, 87, 88, 89, 90, 91, 92, 93, 94, 95, 96, 97, 98, 99, 100, 101, 102, 103, 104, 105, 106, 107, 108, 109, 110, следующего содержания:</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0603"/>
        <w:gridCol w:w="2371"/>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«ROHM RG 88», 10х22Т</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«Форт-9Т», Рубер 9 мм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«ФОРТ-10Т», 9 мм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«ФОРТ-14Т», 9 мм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142143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«ФОРТ-18Т», 9 мм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126785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«ФОРТ-18Р», 9 мм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126785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«SHARK» Шарк-906, 9 мм Р.А.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«ПМ-ГТ», 9 мм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«ФОРТ-14ТМ», 9 мм Р.А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142142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«ФОРТ-14ТР», 9 мм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142142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«Blow mini» Black, 9 мм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«Blow mini» Nikel, 9 мм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«Blow mini» Fume, 9 мм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револьвер «ALFA» 9120, 9 мм Р.А. Rubber 291921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револьвер «ALFA» 9130, 9 мм Р.А. Rubber 291922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револьвер «ALFA STANILESS» 9120, 9 мм Р.А..Rubber 191925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револьвер «ALFA STANILESS» 9130.3, 9 мм Р.А..Rubber 191926</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107970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револьвер «ALFA STANILESS» 9141.3, 9 мм Р.А..Rubber 191945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револьвер «ALFA STANILESS» 9120, 9 мм Р.А..Rubber 191920</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револьвер «ALFA STANILESS» 9130, 9 мм Р.А..Rubber 191921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револьвер «ALFA STANILESS» 9141, 9 мм Р.А..Rubber 191922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револьвер «Mod. «Cief f Cal.380ME Gum»380 MЕ Gum</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 38 Compact, 9 мм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Walther PPT 10х22 мм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ROHM RG-59, 9 мм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ROHM RG-89, 9 мм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ZVI-WASP-R</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Carl-Walther РР, 10mm</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«ОСА», «ПБ-4»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«ОСА», «ПБ-4М»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EKOL FIRAT MAGNUM</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ПДТ-9Т «ЕСАУЛ»</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124950</w:t>
            </w:r>
          </w:p>
        </w:tc>
      </w:tr>
    </w:tbl>
    <w:bookmarkStart w:name="z6" w:id="1"/>
    <w:p>
      <w:pPr>
        <w:spacing w:after="0"/>
        <w:ind w:left="0"/>
        <w:jc w:val="both"/>
      </w:pPr>
      <w:r>
        <w:rPr>
          <w:rFonts w:ascii="Times New Roman"/>
          <w:b w:val="false"/>
          <w:i w:val="false"/>
          <w:color w:val="000000"/>
          <w:sz w:val="28"/>
        </w:rPr>
        <w:t>                                                     ».</w:t>
      </w:r>
      <w:r>
        <w:br/>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