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cd1" w14:textId="339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года, совершенный в Минске 30 мая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2015 года № 826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 в</w:t>
      </w:r>
      <w:r>
        <w:br/>
      </w:r>
      <w:r>
        <w:rPr>
          <w:rFonts w:ascii="Times New Roman"/>
          <w:b/>
          <w:i w:val="false"/>
          <w:color w:val="000000"/>
        </w:rPr>
        <w:t>вопросах возвращения несовершеннолетних в государства их</w:t>
      </w:r>
      <w:r>
        <w:br/>
      </w:r>
      <w:r>
        <w:rPr>
          <w:rFonts w:ascii="Times New Roman"/>
          <w:b/>
          <w:i w:val="false"/>
          <w:color w:val="000000"/>
        </w:rPr>
        <w:t>постоянного проживания от 7 октября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22 ноября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заинтересованность в продолжении сотрудничества в вопросах возвращения несовершеннолетних в государства их постоянного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"Настоящее Соглашение заключается на неопределенный срок, если Стороны не примут иного решения".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временно применяется с 10 июня 2014 года и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Протокол вступает в силу с даты сдачи соответствующих документов депозитарию.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