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60b0" w14:textId="c706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(Поддержка контрциклического развития)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2015 года № 897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(Поддержка контрциклического развития) между Республикой Казахстан и Азиатским Банком Развития».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(Обычные операции)</w:t>
      </w:r>
      <w:r>
        <w:br/>
      </w:r>
      <w:r>
        <w:rPr>
          <w:rFonts w:ascii="Times New Roman"/>
          <w:b/>
          <w:i w:val="false"/>
          <w:color w:val="000000"/>
        </w:rPr>
        <w:t>
(Поддержка контрциклического развития) между</w:t>
      </w:r>
      <w:r>
        <w:br/>
      </w:r>
      <w:r>
        <w:rPr>
          <w:rFonts w:ascii="Times New Roman"/>
          <w:b/>
          <w:i w:val="false"/>
          <w:color w:val="000000"/>
        </w:rPr>
        <w:t>
Республикой Казахстан и Азиатским Банком Развития</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xml:space="preserve">
      1. Одобрить прилагаемый проект Соглашения о займе (Обычные операции) (Поддержка контрциклического развития) между Республикой Казахстан и Азиатским Банком Развития. </w:t>
      </w:r>
      <w:r>
        <w:br/>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(Обычные операции) (Поддержка контрциклического развития) между Республикой Казахстан и Азиатским Банком Развития.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2015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 (Поддержка контрциклического развития)</w:t>
      </w:r>
      <w:r>
        <w:br/>
      </w:r>
      <w:r>
        <w:rPr>
          <w:rFonts w:ascii="Times New Roman"/>
          <w:b/>
          <w:i w:val="false"/>
          <w:color w:val="000000"/>
        </w:rPr>
        <w:t>
между Республикой Казахстан и Азиатским Банком Развития</w:t>
      </w:r>
    </w:p>
    <w:p>
      <w:pPr>
        <w:spacing w:after="0"/>
        <w:ind w:left="0"/>
        <w:jc w:val="both"/>
      </w:pPr>
      <w:r>
        <w:rPr>
          <w:rFonts w:ascii="Times New Roman"/>
          <w:b w:val="false"/>
          <w:i w:val="false"/>
          <w:color w:val="000000"/>
          <w:sz w:val="28"/>
        </w:rPr>
        <w:t>      СОГЛАШЕНИЕ О ЗАЙМЕ от ______________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(A) АБР получил от Заемщика письмо о политике развития от 24 июля 2015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как описано в приложении 1 к настоящему Соглашению о займе (далее – «Поддержка контрциклического развития» или «Программа»);</w:t>
      </w:r>
      <w:r>
        <w:br/>
      </w:r>
      <w:r>
        <w:rPr>
          <w:rFonts w:ascii="Times New Roman"/>
          <w:b w:val="false"/>
          <w:i w:val="false"/>
          <w:color w:val="000000"/>
          <w:sz w:val="28"/>
        </w:rPr>
        <w:t>
      (B) Заемщик обратился к АБР с просьбой о выделении займа для целей Программы; и</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условиях и положениях, изложенных в настоящем Соглашении;</w:t>
      </w:r>
      <w:r>
        <w:br/>
      </w:r>
      <w:r>
        <w:rPr>
          <w:rFonts w:ascii="Times New Roman"/>
          <w:b w:val="false"/>
          <w:i w:val="false"/>
          <w:color w:val="000000"/>
          <w:sz w:val="28"/>
        </w:rPr>
        <w:t>
      С УЧЕТОМ ВЫШЕИЗЛОЖЕННОГО, стороны настоящего Соглашения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r>
        <w:br/>
      </w:r>
      <w:r>
        <w:rPr>
          <w:rFonts w:ascii="Times New Roman"/>
          <w:b w:val="false"/>
          <w:i w:val="false"/>
          <w:color w:val="000000"/>
          <w:sz w:val="28"/>
        </w:rPr>
        <w:t xml:space="preserve">
      a) Раздел 2.01(49) удален и заменен нижеследующим: </w:t>
      </w:r>
      <w:r>
        <w:br/>
      </w:r>
      <w:r>
        <w:rPr>
          <w:rFonts w:ascii="Times New Roman"/>
          <w:b w:val="false"/>
          <w:i w:val="false"/>
          <w:color w:val="000000"/>
          <w:sz w:val="28"/>
        </w:rPr>
        <w:t>
      49. Термин «Программа» означает программу, для которой АБР согласился предоставить заем, как описано в Соглашении о займе, и его описание может быть изменено время от времени по согласованию между АБР и Заемщиком.</w:t>
      </w:r>
      <w:r>
        <w:br/>
      </w:r>
      <w:r>
        <w:rPr>
          <w:rFonts w:ascii="Times New Roman"/>
          <w:b w:val="false"/>
          <w:i w:val="false"/>
          <w:color w:val="000000"/>
          <w:sz w:val="28"/>
        </w:rPr>
        <w:t xml:space="preserve">
      b) Термин «Проект» везде, где он упоминается в Правилах предоставления займа, будет заменен термином «Программа». </w:t>
      </w:r>
      <w:r>
        <w:br/>
      </w:r>
      <w:r>
        <w:rPr>
          <w:rFonts w:ascii="Times New Roman"/>
          <w:b w:val="false"/>
          <w:i w:val="false"/>
          <w:color w:val="000000"/>
          <w:sz w:val="28"/>
        </w:rPr>
        <w:t xml:space="preserve">
      c) Раздел 2.01(51) удален и заменен нижеследующим: </w:t>
      </w:r>
      <w:r>
        <w:br/>
      </w:r>
      <w:r>
        <w:rPr>
          <w:rFonts w:ascii="Times New Roman"/>
          <w:b w:val="false"/>
          <w:i w:val="false"/>
          <w:color w:val="000000"/>
          <w:sz w:val="28"/>
        </w:rPr>
        <w:t>
      51.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r>
        <w:br/>
      </w:r>
      <w:r>
        <w:rPr>
          <w:rFonts w:ascii="Times New Roman"/>
          <w:b w:val="false"/>
          <w:i w:val="false"/>
          <w:color w:val="000000"/>
          <w:sz w:val="28"/>
        </w:rPr>
        <w:t xml:space="preserve">
      d)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 </w:t>
      </w:r>
      <w:r>
        <w:br/>
      </w:r>
      <w:r>
        <w:rPr>
          <w:rFonts w:ascii="Times New Roman"/>
          <w:b w:val="false"/>
          <w:i w:val="false"/>
          <w:color w:val="000000"/>
          <w:sz w:val="28"/>
        </w:rPr>
        <w:t xml:space="preserve">
      e) Раздел 3.03 удален и заменен нижеследующим: </w:t>
      </w:r>
      <w:r>
        <w:br/>
      </w:r>
      <w:r>
        <w:rPr>
          <w:rFonts w:ascii="Times New Roman"/>
          <w:b w:val="false"/>
          <w:i w:val="false"/>
          <w:color w:val="000000"/>
          <w:sz w:val="28"/>
        </w:rPr>
        <w:t>
      Комиссия за резервирование; Кредит. (a) Заемщик обязуется выплачивать комиссию за резервирование по неосвоенной сумме займа по ставке и условиям, предусмотренным Соглашением о займе.</w:t>
      </w:r>
      <w:r>
        <w:br/>
      </w:r>
      <w:r>
        <w:rPr>
          <w:rFonts w:ascii="Times New Roman"/>
          <w:b w:val="false"/>
          <w:i w:val="false"/>
          <w:color w:val="000000"/>
          <w:sz w:val="28"/>
        </w:rPr>
        <w:t xml:space="preserve">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 </w:t>
      </w:r>
      <w:r>
        <w:br/>
      </w:r>
      <w:r>
        <w:rPr>
          <w:rFonts w:ascii="Times New Roman"/>
          <w:b w:val="false"/>
          <w:i w:val="false"/>
          <w:color w:val="000000"/>
          <w:sz w:val="28"/>
        </w:rPr>
        <w:t xml:space="preserve">
      f) Раздел 3.06 удален и заменен нижеследующим: </w:t>
      </w:r>
      <w:r>
        <w:br/>
      </w:r>
      <w:r>
        <w:rPr>
          <w:rFonts w:ascii="Times New Roman"/>
          <w:b w:val="false"/>
          <w:i w:val="false"/>
          <w:color w:val="000000"/>
          <w:sz w:val="28"/>
        </w:rPr>
        <w:t>
      Возмещение.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непогашенному займу, и фиксированным спредом, применимым к новым займам (выраженной в виде годового процентного значения), на (ii) основную сумму непогашенного займа, по которому Заемщик обеспечивает выплату процентов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xml:space="preserve">
      g) Раздел 3.07 удален и заменен нижеследующим: </w:t>
      </w:r>
      <w:r>
        <w:br/>
      </w:r>
      <w:r>
        <w:rPr>
          <w:rFonts w:ascii="Times New Roman"/>
          <w:b w:val="false"/>
          <w:i w:val="false"/>
          <w:color w:val="000000"/>
          <w:sz w:val="28"/>
        </w:rPr>
        <w:t>
      Дополнительная сумма.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(і) разницы между фиксированным спредом, применимым к новым займам, и фиксированным спредом, применимым к непогашенному займу (выраженной в виде годового процентного значения), на (ii) основную сумму непогашенного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xml:space="preserve">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обеспечивает выплату АБР дополнительной суммы.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 </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r>
        <w:br/>
      </w:r>
      <w:r>
        <w:rPr>
          <w:rFonts w:ascii="Times New Roman"/>
          <w:b w:val="false"/>
          <w:i w:val="false"/>
          <w:color w:val="000000"/>
          <w:sz w:val="28"/>
        </w:rPr>
        <w:t xml:space="preserve">
      a) «Партнерское финансирование» означает денежные средства в местной валюте, получаемые из средств займа в рамках Программы и указанные в пункте 4 приложения 4 к настоящему Соглашению о займе; </w:t>
      </w:r>
      <w:r>
        <w:br/>
      </w:r>
      <w:r>
        <w:rPr>
          <w:rFonts w:ascii="Times New Roman"/>
          <w:b w:val="false"/>
          <w:i w:val="false"/>
          <w:color w:val="000000"/>
          <w:sz w:val="28"/>
        </w:rPr>
        <w:t>
      b) «Депозитный счет» означает счет, указанный в пункте 3 приложения 3 к настоящему Соглашению о займе;</w:t>
      </w:r>
      <w:r>
        <w:br/>
      </w:r>
      <w:r>
        <w:rPr>
          <w:rFonts w:ascii="Times New Roman"/>
          <w:b w:val="false"/>
          <w:i w:val="false"/>
          <w:color w:val="000000"/>
          <w:sz w:val="28"/>
        </w:rPr>
        <w:t>
      c) «Правомочные статьи импорта» означают весь импорт Заемщика в течение соответствующего периода за минусом следующих статей импорта в течение этого же периода:</w:t>
      </w:r>
      <w:r>
        <w:br/>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(ii) импорт неправомочных статей, указанных в Дополнении к приложению 3 к настоящему Соглашению о займе; и</w:t>
      </w:r>
      <w:r>
        <w:br/>
      </w:r>
      <w:r>
        <w:rPr>
          <w:rFonts w:ascii="Times New Roman"/>
          <w:b w:val="false"/>
          <w:i w:val="false"/>
          <w:color w:val="000000"/>
          <w:sz w:val="28"/>
        </w:rPr>
        <w:t>
      (iii) импорт, финансируемый официальными международными или двусторонними агентствами по оказанию помощи или за счет любых других займов или грантов, выданных АБР;</w:t>
      </w:r>
      <w:r>
        <w:br/>
      </w:r>
      <w:r>
        <w:rPr>
          <w:rFonts w:ascii="Times New Roman"/>
          <w:b w:val="false"/>
          <w:i w:val="false"/>
          <w:color w:val="000000"/>
          <w:sz w:val="28"/>
        </w:rPr>
        <w:t xml:space="preserve">
      d) «Правомочные статьи» означает Правомочные статьи импорта и услуги в связи с доставкой и установкой такого импорта; </w:t>
      </w:r>
      <w:r>
        <w:br/>
      </w:r>
      <w:r>
        <w:rPr>
          <w:rFonts w:ascii="Times New Roman"/>
          <w:b w:val="false"/>
          <w:i w:val="false"/>
          <w:color w:val="000000"/>
          <w:sz w:val="28"/>
        </w:rPr>
        <w:t xml:space="preserve">
      e) «Первый транш» означает часть средств займа в размере 500000000 долларов США, подлежащих снятию в соответствии и на условиях положений пункта 4 приложения 3 к данному Соглашению о займе; </w:t>
      </w:r>
      <w:r>
        <w:br/>
      </w:r>
      <w:r>
        <w:rPr>
          <w:rFonts w:ascii="Times New Roman"/>
          <w:b w:val="false"/>
          <w:i w:val="false"/>
          <w:color w:val="000000"/>
          <w:sz w:val="28"/>
        </w:rPr>
        <w:t>
      f) «Справочник по освоению средств займа» означает Справочник АБР по освоению средств займа (от 2015 года, с периодическими поправками);</w:t>
      </w:r>
      <w:r>
        <w:br/>
      </w:r>
      <w:r>
        <w:rPr>
          <w:rFonts w:ascii="Times New Roman"/>
          <w:b w:val="false"/>
          <w:i w:val="false"/>
          <w:color w:val="000000"/>
          <w:sz w:val="28"/>
        </w:rPr>
        <w:t>
      g) «МФ» означает Министерство финансов Заемщика;</w:t>
      </w:r>
      <w:r>
        <w:br/>
      </w:r>
      <w:r>
        <w:rPr>
          <w:rFonts w:ascii="Times New Roman"/>
          <w:b w:val="false"/>
          <w:i w:val="false"/>
          <w:color w:val="000000"/>
          <w:sz w:val="28"/>
        </w:rPr>
        <w:t>
      h) «Национальный банк» означает Национальный банк Заемщика или любого его правопреемника;</w:t>
      </w:r>
      <w:r>
        <w:br/>
      </w:r>
      <w:r>
        <w:rPr>
          <w:rFonts w:ascii="Times New Roman"/>
          <w:b w:val="false"/>
          <w:i w:val="false"/>
          <w:color w:val="000000"/>
          <w:sz w:val="28"/>
        </w:rPr>
        <w:t>
      i) «Исполнительное агентство по Программе» для целей и в соответствии со значением Правил предоставления займа означает Министерство финансов или любого его правопреемника, приемлемого для АБР, который ответственен за реализацию Программы; и</w:t>
      </w:r>
      <w:r>
        <w:br/>
      </w:r>
      <w:r>
        <w:rPr>
          <w:rFonts w:ascii="Times New Roman"/>
          <w:b w:val="false"/>
          <w:i w:val="false"/>
          <w:color w:val="000000"/>
          <w:sz w:val="28"/>
        </w:rPr>
        <w:t>
      j) «Второй транш» означает остаток средств займа, остающихся на счете займа после использования Первого транша, подлежащих снятию в соответствии и на условиях положений пункта 5 приложения 3 к данному Соглашению о займе.</w:t>
      </w:r>
    </w:p>
    <w:p>
      <w:pPr>
        <w:spacing w:after="0"/>
        <w:ind w:left="0"/>
        <w:jc w:val="left"/>
      </w:pPr>
      <w:r>
        <w:rPr>
          <w:rFonts w:ascii="Times New Roman"/>
          <w:b/>
          <w:i w:val="false"/>
          <w:color w:val="000000"/>
        </w:rPr>
        <w:t xml:space="preserve"> СТАТЬЯ II</w:t>
      </w:r>
      <w:r>
        <w:br/>
      </w:r>
      <w:r>
        <w:rPr>
          <w:rFonts w:ascii="Times New Roman"/>
          <w:b/>
          <w:i w:val="false"/>
          <w:color w:val="000000"/>
        </w:rPr>
        <w:t>
Заем</w:t>
      </w:r>
    </w:p>
    <w:p>
      <w:pPr>
        <w:spacing w:after="0"/>
        <w:ind w:left="0"/>
        <w:jc w:val="both"/>
      </w:pPr>
      <w:r>
        <w:rPr>
          <w:rFonts w:ascii="Times New Roman"/>
          <w:b w:val="false"/>
          <w:i w:val="false"/>
          <w:color w:val="000000"/>
          <w:sz w:val="28"/>
        </w:rPr>
        <w:t>      Раздел 2.01. (a) АБР соглашается предоставить Заемщику заем из обычных капитальных ресурсов АБР на сумму один миллиард долларов США (1,000,000,000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2 (два) года и льготный период, определенный в пункте (с) данного раздела.</w:t>
      </w:r>
      <w:r>
        <w:br/>
      </w: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r>
        <w:br/>
      </w:r>
      <w:r>
        <w:rPr>
          <w:rFonts w:ascii="Times New Roman"/>
          <w:b w:val="false"/>
          <w:i w:val="false"/>
          <w:color w:val="000000"/>
          <w:sz w:val="28"/>
        </w:rPr>
        <w:t>
      Раздел 2.02. Заемщик будет выплачивать АБР проценты на основную сумму займа, снятую и непогашенную, периодически по ставке каждого процентного периода, равной сумме:</w:t>
      </w:r>
      <w:r>
        <w:br/>
      </w:r>
      <w:r>
        <w:rPr>
          <w:rFonts w:ascii="Times New Roman"/>
          <w:b w:val="false"/>
          <w:i w:val="false"/>
          <w:color w:val="000000"/>
          <w:sz w:val="28"/>
        </w:rPr>
        <w:t>
      (a) ЛИБОР; и</w:t>
      </w:r>
      <w:r>
        <w:br/>
      </w:r>
      <w:r>
        <w:rPr>
          <w:rFonts w:ascii="Times New Roman"/>
          <w:b w:val="false"/>
          <w:i w:val="false"/>
          <w:color w:val="000000"/>
          <w:sz w:val="28"/>
        </w:rPr>
        <w:t>
      (b) 2,00 % согласно разделу 3.02 Правил предоставления займа.</w:t>
      </w:r>
      <w:r>
        <w:br/>
      </w:r>
      <w:r>
        <w:rPr>
          <w:rFonts w:ascii="Times New Roman"/>
          <w:b w:val="false"/>
          <w:i w:val="false"/>
          <w:color w:val="000000"/>
          <w:sz w:val="28"/>
        </w:rPr>
        <w:t>
      Раздел 2.03. Заемщик выплатит комиссию за резервирование в размере 0,75 % в год на неосвоенную сумму займа. Данная комиссия будет начисляться на полную сумму займа (за минусом сумм, которые периодически снимались), начиная с даты по истечении 60 (шестьдесят) дней после даты подписания настоящего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r>
        <w:br/>
      </w: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приложения 2 к настоящему Соглашению о займе.</w:t>
      </w:r>
      <w:r>
        <w:br/>
      </w:r>
      <w:r>
        <w:rPr>
          <w:rFonts w:ascii="Times New Roman"/>
          <w:b w:val="false"/>
          <w:i w:val="false"/>
          <w:color w:val="000000"/>
          <w:sz w:val="28"/>
        </w:rPr>
        <w:t>
      Раздел 2.06. (a)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всей основной суммы займа или любой ее части, как снятой и непогашенной, так и неснятой, на утвержденную валюту;</w:t>
      </w:r>
      <w:r>
        <w:br/>
      </w:r>
      <w:r>
        <w:rPr>
          <w:rFonts w:ascii="Times New Roman"/>
          <w:b w:val="false"/>
          <w:i w:val="false"/>
          <w:color w:val="000000"/>
          <w:sz w:val="28"/>
        </w:rPr>
        <w:t>
      ii) изменение базовой процентной ставки, применимой как ко всей основной сумме займа, так и любой ее части, снятой и непогашенной, с плавающей процентной ставки на фиксированную, или наоборот; и</w:t>
      </w:r>
      <w:r>
        <w:br/>
      </w: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снятой и непогашенной, путем установления максимума либо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2.01(6)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w:t>
      </w:r>
      <w:r>
        <w:br/>
      </w:r>
      <w:r>
        <w:rPr>
          <w:rFonts w:ascii="Times New Roman"/>
          <w:b/>
          <w:i w:val="false"/>
          <w:color w:val="000000"/>
        </w:rPr>
        <w:t>
Использование средств Займа</w:t>
      </w:r>
    </w:p>
    <w:p>
      <w:pPr>
        <w:spacing w:after="0"/>
        <w:ind w:left="0"/>
        <w:jc w:val="both"/>
      </w:pPr>
      <w:r>
        <w:rPr>
          <w:rFonts w:ascii="Times New Roman"/>
          <w:b w:val="false"/>
          <w:i w:val="false"/>
          <w:color w:val="000000"/>
          <w:sz w:val="28"/>
        </w:rPr>
        <w:t>      Раздел 3.01. Заемщик обеспечивает использование средств займа на финансирование затрат по Программе, в соответствии с положениями настоящего Соглашения о займе.</w:t>
      </w:r>
      <w:r>
        <w:br/>
      </w:r>
      <w:r>
        <w:rPr>
          <w:rFonts w:ascii="Times New Roman"/>
          <w:b w:val="false"/>
          <w:i w:val="false"/>
          <w:color w:val="000000"/>
          <w:sz w:val="28"/>
        </w:rPr>
        <w:t>
      Раздел 3.02. Средства займа должны сниматься в соответствии с положениями приложения 3 к настоящему Соглашению о займе, и это приложение может время от времени изменяться по согласованию между АБР и Заемщиком.</w:t>
      </w:r>
      <w:r>
        <w:br/>
      </w:r>
      <w:r>
        <w:rPr>
          <w:rFonts w:ascii="Times New Roman"/>
          <w:b w:val="false"/>
          <w:i w:val="false"/>
          <w:color w:val="000000"/>
          <w:sz w:val="28"/>
        </w:rPr>
        <w:t>
      Раздел 3.03. Датой закрытия для снятия средств со счета займа для целей раздела 9.02 Правил предоставления займа считается 31 декабря 2016 года, либо другая дата, которая может время от времени согласовываться между Заемщиком и АБР.</w:t>
      </w:r>
    </w:p>
    <w:p>
      <w:pPr>
        <w:spacing w:after="0"/>
        <w:ind w:left="0"/>
        <w:jc w:val="left"/>
      </w:pPr>
      <w:r>
        <w:rPr>
          <w:rFonts w:ascii="Times New Roman"/>
          <w:b/>
          <w:i w:val="false"/>
          <w:color w:val="000000"/>
        </w:rPr>
        <w:t xml:space="preserve"> СТАТЬЯ IV</w:t>
      </w:r>
      <w:r>
        <w:br/>
      </w:r>
      <w:r>
        <w:rPr>
          <w:rFonts w:ascii="Times New Roman"/>
          <w:b/>
          <w:i w:val="false"/>
          <w:color w:val="000000"/>
        </w:rPr>
        <w:t>
Особые условия</w:t>
      </w:r>
    </w:p>
    <w:p>
      <w:pPr>
        <w:spacing w:after="0"/>
        <w:ind w:left="0"/>
        <w:jc w:val="both"/>
      </w:pPr>
      <w:r>
        <w:rPr>
          <w:rFonts w:ascii="Times New Roman"/>
          <w:b w:val="false"/>
          <w:i w:val="false"/>
          <w:color w:val="000000"/>
          <w:sz w:val="28"/>
        </w:rPr>
        <w:t>      Раздел 4.01. (a) Заемщик обеспечивает реализацию Программы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Программы Заемщик исполняет либо поручает исполнение всех обязательств, изложенных в приложении 4 к настоящему Соглашению о займе.</w:t>
      </w:r>
      <w:r>
        <w:br/>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и иные ресурсы, необходимые для реализации Программы.</w:t>
      </w:r>
      <w:r>
        <w:br/>
      </w: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r>
        <w:br/>
      </w:r>
      <w:r>
        <w:rPr>
          <w:rFonts w:ascii="Times New Roman"/>
          <w:b w:val="false"/>
          <w:i w:val="false"/>
          <w:color w:val="000000"/>
          <w:sz w:val="28"/>
        </w:rPr>
        <w:t>
      Раздел 4.04. (a) Заемщик будет вести либо обеспечит ведение соответствующих записей и документов, позволяющих идентифицировать Правомочные статьи, финансируемые из средств займа, и определить ход реализации Программы.</w:t>
      </w:r>
      <w:r>
        <w:br/>
      </w:r>
      <w:r>
        <w:rPr>
          <w:rFonts w:ascii="Times New Roman"/>
          <w:b w:val="false"/>
          <w:i w:val="false"/>
          <w:color w:val="000000"/>
          <w:sz w:val="28"/>
        </w:rPr>
        <w:t>
      (b) Заемщик предоставит возможность представителям АБР осуществлять проверку любых соответствующих записей и документов, указанных в пункте (a) данного раздела.</w:t>
      </w:r>
      <w:r>
        <w:br/>
      </w:r>
      <w:r>
        <w:rPr>
          <w:rFonts w:ascii="Times New Roman"/>
          <w:b w:val="false"/>
          <w:i w:val="false"/>
          <w:color w:val="000000"/>
          <w:sz w:val="28"/>
        </w:rPr>
        <w:t>
      Раздел 4.05. (a) В рамках предоставления отчетности и информации, указанной в разделе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Программе.</w:t>
      </w:r>
      <w:r>
        <w:br/>
      </w:r>
      <w:r>
        <w:rPr>
          <w:rFonts w:ascii="Times New Roman"/>
          <w:b w:val="false"/>
          <w:i w:val="false"/>
          <w:color w:val="000000"/>
          <w:sz w:val="28"/>
        </w:rPr>
        <w:t xml:space="preserve">
      (b) Не ограничивая общий смысл Раздела 7.04 Правил предоставления займа, Заемщик предоставляет либо обеспечивает предоставление АБР годовой отчетности о реализации Программы, а также о достижении целей и выполнении действий, изложенных в Письме о политике развития. </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Раздел 5.01. Дата по истечении 30 (тридцать)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p>
      <w:pPr>
        <w:spacing w:after="0"/>
        <w:ind w:left="0"/>
        <w:jc w:val="left"/>
      </w:pPr>
      <w:r>
        <w:rPr>
          <w:rFonts w:ascii="Times New Roman"/>
          <w:b/>
          <w:i w:val="false"/>
          <w:color w:val="000000"/>
        </w:rPr>
        <w:t xml:space="preserve"> СТАТЬЯ VI</w:t>
      </w:r>
      <w:r>
        <w:br/>
      </w:r>
      <w:r>
        <w:rPr>
          <w:rFonts w:ascii="Times New Roman"/>
          <w:b/>
          <w:i w:val="false"/>
          <w:color w:val="000000"/>
        </w:rPr>
        <w:t>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r>
        <w:br/>
      </w: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p>
      <w:pPr>
        <w:spacing w:after="0"/>
        <w:ind w:left="0"/>
        <w:jc w:val="both"/>
      </w:pPr>
      <w:r>
        <w:rPr>
          <w:rFonts w:ascii="Times New Roman"/>
          <w:b w:val="false"/>
          <w:i w:val="false"/>
          <w:color w:val="000000"/>
          <w:sz w:val="28"/>
        </w:rPr>
        <w:t>      За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717785</w:t>
      </w:r>
    </w:p>
    <w:p>
      <w:pPr>
        <w:spacing w:after="0"/>
        <w:ind w:left="0"/>
        <w:jc w:val="both"/>
      </w:pPr>
      <w:r>
        <w:rPr>
          <w:rFonts w:ascii="Times New Roman"/>
          <w:b w:val="false"/>
          <w:i w:val="false"/>
          <w:color w:val="000000"/>
          <w:sz w:val="28"/>
        </w:rPr>
        <w:t>      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АЗИАТСКИЙ БАНК РАЗВИТИЯ</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Описание Программы</w:t>
      </w:r>
    </w:p>
    <w:p>
      <w:pPr>
        <w:spacing w:after="0"/>
        <w:ind w:left="0"/>
        <w:jc w:val="both"/>
      </w:pPr>
      <w:r>
        <w:rPr>
          <w:rFonts w:ascii="Times New Roman"/>
          <w:b w:val="false"/>
          <w:i w:val="false"/>
          <w:color w:val="000000"/>
          <w:sz w:val="28"/>
        </w:rPr>
        <w:t>      1. Главной целью Программы является поддержание финансовой устойчивости Заемщика. В рамки Программы входит реализация мер, направленных на (a) поддержание развития ненефтяного и частного сектора, (b) увеличение занятости населения и (c) поддержание приоритетных расходов, направленных на сохранение рабочих мест, и расходов на социальные нужды. Более подробное описание Программы содержится в Письме о политике развития.</w:t>
      </w:r>
      <w:r>
        <w:br/>
      </w:r>
      <w:r>
        <w:rPr>
          <w:rFonts w:ascii="Times New Roman"/>
          <w:b w:val="false"/>
          <w:i w:val="false"/>
          <w:color w:val="000000"/>
          <w:sz w:val="28"/>
        </w:rPr>
        <w:t>
      2. Ожидается, что средства данного займа будут выделены двумя равными траншами и использованы до 31 декабря 2016 года.</w:t>
      </w:r>
    </w:p>
    <w:p>
      <w:pPr>
        <w:spacing w:after="0"/>
        <w:ind w:left="0"/>
        <w:jc w:val="left"/>
      </w:pPr>
      <w:r>
        <w:rPr>
          <w:rFonts w:ascii="Times New Roman"/>
          <w:b/>
          <w:i w:val="false"/>
          <w:color w:val="000000"/>
        </w:rPr>
        <w:t xml:space="preserve"> ПРИЛОЖЕНИЕ 2 График погашения займа</w:t>
      </w:r>
      <w:r>
        <w:br/>
      </w:r>
      <w:r>
        <w:rPr>
          <w:rFonts w:ascii="Times New Roman"/>
          <w:b/>
          <w:i w:val="false"/>
          <w:color w:val="000000"/>
        </w:rPr>
        <w:t xml:space="preserve">
(Программа поддержки контрциклического развития) </w:t>
      </w:r>
    </w:p>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будут в полном объеме освоены на первую дату платежа в погашение основной суммы займа, основная сумма займа, подлежащая оплате Заемщиком на каждую дату платежа в погашение основной суммы займа, будет определена АБР путем умножения: (а) общей основной суммы займа, снятой и непогашенной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при необходимости для вычета любых сумм, указанных в пункте 4 настоящего приложения, к которым применима конвертация валюты. </w:t>
      </w:r>
    </w:p>
    <w:p>
      <w:pPr>
        <w:spacing w:after="0"/>
        <w:ind w:left="0"/>
        <w:jc w:val="both"/>
      </w:pPr>
      <w:r>
        <w:rPr>
          <w:rFonts w:ascii="Times New Roman"/>
          <w:b w:val="false"/>
          <w:i w:val="false"/>
          <w:color w:val="000000"/>
          <w:sz w:val="28"/>
        </w:rPr>
        <w:t>      Дата платежа                         Очередной взнос</w:t>
      </w:r>
      <w:r>
        <w:br/>
      </w:r>
      <w:r>
        <w:rPr>
          <w:rFonts w:ascii="Times New Roman"/>
          <w:b w:val="false"/>
          <w:i w:val="false"/>
          <w:color w:val="000000"/>
          <w:sz w:val="28"/>
        </w:rPr>
        <w:t xml:space="preserve">
                                           (выраженный в %) </w:t>
      </w:r>
    </w:p>
    <w:p>
      <w:pPr>
        <w:spacing w:after="0"/>
        <w:ind w:left="0"/>
        <w:jc w:val="both"/>
      </w:pPr>
      <w:r>
        <w:rPr>
          <w:rFonts w:ascii="Times New Roman"/>
          <w:b w:val="false"/>
          <w:i w:val="false"/>
          <w:color w:val="000000"/>
          <w:sz w:val="28"/>
        </w:rPr>
        <w:t>      15 февраля 2019 года                 25.000000</w:t>
      </w:r>
      <w:r>
        <w:br/>
      </w:r>
      <w:r>
        <w:rPr>
          <w:rFonts w:ascii="Times New Roman"/>
          <w:b w:val="false"/>
          <w:i w:val="false"/>
          <w:color w:val="000000"/>
          <w:sz w:val="28"/>
        </w:rPr>
        <w:t>
      15 августа 2019 года                 25.000000</w:t>
      </w:r>
      <w:r>
        <w:br/>
      </w:r>
      <w:r>
        <w:rPr>
          <w:rFonts w:ascii="Times New Roman"/>
          <w:b w:val="false"/>
          <w:i w:val="false"/>
          <w:color w:val="000000"/>
          <w:sz w:val="28"/>
        </w:rPr>
        <w:t>
      15 февраля 2020 года                 25.000000</w:t>
      </w:r>
      <w:r>
        <w:br/>
      </w:r>
      <w:r>
        <w:rPr>
          <w:rFonts w:ascii="Times New Roman"/>
          <w:b w:val="false"/>
          <w:i w:val="false"/>
          <w:color w:val="000000"/>
          <w:sz w:val="28"/>
        </w:rPr>
        <w:t>
      15 августа 2020 года                 25.000000</w:t>
      </w:r>
    </w:p>
    <w:p>
      <w:pPr>
        <w:spacing w:after="0"/>
        <w:ind w:left="0"/>
        <w:jc w:val="both"/>
      </w:pPr>
      <w:r>
        <w:rPr>
          <w:rFonts w:ascii="Times New Roman"/>
          <w:b w:val="false"/>
          <w:i w:val="false"/>
          <w:color w:val="000000"/>
          <w:sz w:val="28"/>
        </w:rPr>
        <w:t xml:space="preserve">      Итого                                100.000000 </w:t>
      </w:r>
    </w:p>
    <w:p>
      <w:pPr>
        <w:spacing w:after="0"/>
        <w:ind w:left="0"/>
        <w:jc w:val="both"/>
      </w:pPr>
      <w:r>
        <w:rPr>
          <w:rFonts w:ascii="Times New Roman"/>
          <w:b w:val="false"/>
          <w:i w:val="false"/>
          <w:color w:val="000000"/>
          <w:sz w:val="28"/>
        </w:rPr>
        <w:t>      2. Если средства займа не были в полном объеме освоены до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освоить на момент первой даты платежа в погашение основной суммы займа, Заемщик выплатит сумму, снятую и непогашенную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пункте 1 настоящего приложения для вышеупомянутой даты платежа в погашение основной суммы займа (первоначальный очередной взнос), а знаменателем будет являться сумма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xml:space="preserve">
      3. Средства, снятые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непогашенными на момент второй даты платежа в погашение основной суммы займа после даты снятия средств, и данная сумма подлежит оплате в каждую дату платежа в погашение основной суммы займа, начиная со второй даты платежа в погашение основной суммы займа после даты снятия средств. </w:t>
      </w:r>
      <w:r>
        <w:br/>
      </w:r>
      <w:r>
        <w:rPr>
          <w:rFonts w:ascii="Times New Roman"/>
          <w:b w:val="false"/>
          <w:i w:val="false"/>
          <w:color w:val="000000"/>
          <w:sz w:val="28"/>
        </w:rPr>
        <w:t>
      4. Вне зависимости от положений пунктов 1 и 2 настоящего приложения, при конвертации валюты всей основной снятой суммы займа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Снятие средств займа</w:t>
      </w:r>
    </w:p>
    <w:p>
      <w:pPr>
        <w:spacing w:after="0"/>
        <w:ind w:left="0"/>
        <w:jc w:val="both"/>
      </w:pPr>
      <w:r>
        <w:rPr>
          <w:rFonts w:ascii="Times New Roman"/>
          <w:b w:val="false"/>
          <w:i w:val="false"/>
          <w:color w:val="000000"/>
          <w:sz w:val="28"/>
        </w:rPr>
        <w:t>      1. Если АБР не согласовано иное, следующие положения настоящего приложения будут применяться к снятию средств займа со счета займа.</w:t>
      </w:r>
      <w:r>
        <w:br/>
      </w:r>
      <w:r>
        <w:rPr>
          <w:rFonts w:ascii="Times New Roman"/>
          <w:b w:val="false"/>
          <w:i w:val="false"/>
          <w:color w:val="000000"/>
          <w:sz w:val="28"/>
        </w:rPr>
        <w:t>
      2. (a) Заявка на снятие средств со счета займа должна быть направлена в АБР Заемщиком и должна быть выполнена в форме, удовлетворяющей требованиям АБР.</w:t>
      </w:r>
      <w:r>
        <w:br/>
      </w:r>
      <w:r>
        <w:rPr>
          <w:rFonts w:ascii="Times New Roman"/>
          <w:b w:val="false"/>
          <w:i w:val="false"/>
          <w:color w:val="000000"/>
          <w:sz w:val="28"/>
        </w:rPr>
        <w:t>
      (b) Такая заявка на снятие средств должна сопровождаться сертификатом Заемщика, подтверждающим, что в отношении каждого года, в течение которого ожидается выплата средств займа, ожидаемая стоимость правомочных статей импорта будет больше суммы займа, ожидаемой к выплате в течение такого года.</w:t>
      </w:r>
      <w:r>
        <w:br/>
      </w:r>
      <w:r>
        <w:rPr>
          <w:rFonts w:ascii="Times New Roman"/>
          <w:b w:val="false"/>
          <w:i w:val="false"/>
          <w:color w:val="000000"/>
          <w:sz w:val="28"/>
        </w:rPr>
        <w:t>
      (c) Заемщик разрешает экспертам, назначенным АБР, проверять стоимость Правомочных статей импорта в течение любого периода, по которому Заемщик представил сертификат о стоимости Правомочных статей импорта в своей заявке на снятие средств.</w:t>
      </w:r>
      <w:r>
        <w:br/>
      </w:r>
      <w:r>
        <w:rPr>
          <w:rFonts w:ascii="Times New Roman"/>
          <w:b w:val="false"/>
          <w:i w:val="false"/>
          <w:color w:val="000000"/>
          <w:sz w:val="28"/>
        </w:rPr>
        <w:t>
      3. (a) До подачи первой заявки в АБР на снятие средств со счета займа Заемщик назначает счет в Национальном Банке Республики Казахстан в качестве депозитного счета, на котором будут депонированы все средства, снятые со счета займа. Депозитный счет создается, управляется и закрывается в соответствии со сроками и условиями, удовлетворяющими требованиям АБР.</w:t>
      </w:r>
      <w:r>
        <w:br/>
      </w: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данного займа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предоставлены в АБР.</w:t>
      </w:r>
      <w:r>
        <w:br/>
      </w:r>
      <w:r>
        <w:rPr>
          <w:rFonts w:ascii="Times New Roman"/>
          <w:b w:val="false"/>
          <w:i w:val="false"/>
          <w:color w:val="000000"/>
          <w:sz w:val="28"/>
        </w:rPr>
        <w:t>
      (c) На протяжении всего периода реализации Программы Заемщик предоставляет статистику торговли и любую другую информацию, которую АБР может периодически запрашивать для оценки исполнения Заемщиком формулы для определения правомочных статей импорта.</w:t>
      </w:r>
      <w:r>
        <w:br/>
      </w:r>
      <w:r>
        <w:rPr>
          <w:rFonts w:ascii="Times New Roman"/>
          <w:b w:val="false"/>
          <w:i w:val="false"/>
          <w:color w:val="000000"/>
          <w:sz w:val="28"/>
        </w:rPr>
        <w:t>
      4. Заемщик может освоить первый транш после вступления в силу настоящего Соглашения о займе.</w:t>
      </w:r>
      <w:r>
        <w:br/>
      </w:r>
      <w:r>
        <w:rPr>
          <w:rFonts w:ascii="Times New Roman"/>
          <w:b w:val="false"/>
          <w:i w:val="false"/>
          <w:color w:val="000000"/>
          <w:sz w:val="28"/>
        </w:rPr>
        <w:t>
      5. Вне зависимости от любых других положений настоящего Соглашения о займе и если иное не согласовано с АБР, со счета займа не должны сниматься никакие средства для второго транша, пока АБР, после консультации с Заемщиком, не убедится в том, что Заемщик выполнил следующие условия освоения средств:</w:t>
      </w:r>
      <w:r>
        <w:br/>
      </w:r>
      <w:r>
        <w:rPr>
          <w:rFonts w:ascii="Times New Roman"/>
          <w:b w:val="false"/>
          <w:i w:val="false"/>
          <w:color w:val="000000"/>
          <w:sz w:val="28"/>
        </w:rPr>
        <w:t xml:space="preserve">
      a) создание единой базы данных для налогового и таможенного администрирования одобрено приказом МФ; </w:t>
      </w:r>
      <w:r>
        <w:br/>
      </w:r>
      <w:r>
        <w:rPr>
          <w:rFonts w:ascii="Times New Roman"/>
          <w:b w:val="false"/>
          <w:i w:val="false"/>
          <w:color w:val="000000"/>
          <w:sz w:val="28"/>
        </w:rPr>
        <w:t>
      b) создание информационной системы «Е-декларирование» по таможенной очистке товаров одобрено приказом МФ;</w:t>
      </w:r>
      <w:r>
        <w:br/>
      </w:r>
      <w:r>
        <w:rPr>
          <w:rFonts w:ascii="Times New Roman"/>
          <w:b w:val="false"/>
          <w:i w:val="false"/>
          <w:color w:val="000000"/>
          <w:sz w:val="28"/>
        </w:rPr>
        <w:t>
      c) в Парламент внесен законопроект, направленный на повышение инвестиционной привлекательности электроэнергетической отрасли и внедрение новой тарифной политики. Новая тарифная политика устанавливает внедрение специальной структуры тарифа на основе фиксированного компонента для покрытия капитальных расходов и переменного компонента для покрытия расходов на производство электроэнергии;</w:t>
      </w:r>
      <w:r>
        <w:br/>
      </w:r>
      <w:r>
        <w:rPr>
          <w:rFonts w:ascii="Times New Roman"/>
          <w:b w:val="false"/>
          <w:i w:val="false"/>
          <w:color w:val="000000"/>
          <w:sz w:val="28"/>
        </w:rPr>
        <w:t>
      d) в Парламент внесен законопроект, предусматривающий оптимизацию социальной помощи через усиление ее адресного характера. В частности, новый закон будет предусматривать (i) денежную помощь гражданам с низким уровнем доходов, которые активно участвуют в программах содействия занятости и социальной адаптации; (ii) расширение доступа к возможностям трудоустройства, профессиональной подготовки и переподготовки в рамках «Дорожной карты занятости 2020»; и (iii) заключение социального контракта между государством и индивидуальным бенефициаром.</w:t>
      </w:r>
    </w:p>
    <w:p>
      <w:pPr>
        <w:spacing w:after="0"/>
        <w:ind w:left="0"/>
        <w:jc w:val="left"/>
      </w:pPr>
      <w:r>
        <w:rPr>
          <w:rFonts w:ascii="Times New Roman"/>
          <w:b/>
          <w:i w:val="false"/>
          <w:color w:val="000000"/>
        </w:rPr>
        <w:t xml:space="preserve"> Дополнение к приложению 3</w:t>
      </w:r>
    </w:p>
    <w:p>
      <w:pPr>
        <w:spacing w:after="0"/>
        <w:ind w:left="0"/>
        <w:jc w:val="both"/>
      </w:pPr>
      <w:r>
        <w:rPr>
          <w:rFonts w:ascii="Times New Roman"/>
          <w:b w:val="false"/>
          <w:i w:val="false"/>
          <w:color w:val="000000"/>
          <w:sz w:val="28"/>
        </w:rPr>
        <w:t>      Список исключений (неправомочных расходов)</w:t>
      </w:r>
      <w:r>
        <w:br/>
      </w:r>
      <w:r>
        <w:rPr>
          <w:rFonts w:ascii="Times New Roman"/>
          <w:b w:val="false"/>
          <w:i w:val="false"/>
          <w:color w:val="000000"/>
          <w:sz w:val="28"/>
        </w:rPr>
        <w:t>
      Снятие средств займа не будет производиться в отношении нижеследующего:</w:t>
      </w:r>
      <w:r>
        <w:br/>
      </w: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p>
      <w:pPr>
        <w:spacing w:after="0"/>
        <w:ind w:left="0"/>
        <w:jc w:val="both"/>
      </w:pPr>
      <w:r>
        <w:rPr>
          <w:rFonts w:ascii="Times New Roman"/>
          <w:b w:val="false"/>
          <w:i w:val="false"/>
          <w:color w:val="000000"/>
          <w:sz w:val="28"/>
        </w:rPr>
        <w:t>Таблица: Неправомочные статьи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845"/>
        <w:gridCol w:w="10579"/>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статей</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необработанный; отходы табачного производства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обработанный (содержащий или не содержащий табачные заменители)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 связанные с этим материалы</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драгоценные и полудрагоценные камни, необработанные или обработанные</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обработки табака</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неденежное (за исключением золотой руды и концентратов)</w:t>
            </w:r>
          </w:p>
        </w:tc>
      </w:tr>
    </w:tbl>
    <w:p>
      <w:pPr>
        <w:spacing w:after="0"/>
        <w:ind w:left="0"/>
        <w:jc w:val="both"/>
      </w:pPr>
      <w:r>
        <w:rPr>
          <w:rFonts w:ascii="Times New Roman"/>
          <w:b w:val="false"/>
          <w:i w:val="false"/>
          <w:color w:val="000000"/>
          <w:sz w:val="28"/>
        </w:rPr>
        <w:t>      Источник: Организация Объединенных Наций.</w:t>
      </w:r>
    </w:p>
    <w:p>
      <w:pPr>
        <w:spacing w:after="0"/>
        <w:ind w:left="0"/>
        <w:jc w:val="both"/>
      </w:pPr>
      <w:r>
        <w:rPr>
          <w:rFonts w:ascii="Times New Roman"/>
          <w:b w:val="false"/>
          <w:i w:val="false"/>
          <w:color w:val="000000"/>
          <w:sz w:val="28"/>
        </w:rPr>
        <w:t>      ii) расходы в валюте Заемщика, или на товары, поставленные с территории Заемщика;</w:t>
      </w:r>
      <w:r>
        <w:br/>
      </w:r>
      <w:r>
        <w:rPr>
          <w:rFonts w:ascii="Times New Roman"/>
          <w:b w:val="false"/>
          <w:i w:val="false"/>
          <w:color w:val="000000"/>
          <w:sz w:val="28"/>
        </w:rPr>
        <w:t>
      iii)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займов или грантов АБР;</w:t>
      </w:r>
      <w:r>
        <w:br/>
      </w:r>
      <w:r>
        <w:rPr>
          <w:rFonts w:ascii="Times New Roman"/>
          <w:b w:val="false"/>
          <w:i w:val="false"/>
          <w:color w:val="000000"/>
          <w:sz w:val="28"/>
        </w:rPr>
        <w:t>
      (iv) расходы, связанные с товарами, предназначенными для военных или полувоенных целей, или с предметами роскоши;</w:t>
      </w:r>
      <w:r>
        <w:br/>
      </w:r>
      <w:r>
        <w:rPr>
          <w:rFonts w:ascii="Times New Roman"/>
          <w:b w:val="false"/>
          <w:i w:val="false"/>
          <w:color w:val="000000"/>
          <w:sz w:val="28"/>
        </w:rPr>
        <w:t>
      v) расходы на наркотики;</w:t>
      </w:r>
      <w:r>
        <w:br/>
      </w:r>
      <w:r>
        <w:rPr>
          <w:rFonts w:ascii="Times New Roman"/>
          <w:b w:val="false"/>
          <w:i w:val="false"/>
          <w:color w:val="000000"/>
          <w:sz w:val="28"/>
        </w:rPr>
        <w:t>
      vi) расходы на экологически опасные товары, производство, использование или импорт которых запрещен в соответствии с законодательством Заемщика или международными соглашениями, к которым присоединился Заемщик, и</w:t>
      </w:r>
      <w:r>
        <w:br/>
      </w:r>
      <w:r>
        <w:rPr>
          <w:rFonts w:ascii="Times New Roman"/>
          <w:b w:val="false"/>
          <w:i w:val="false"/>
          <w:color w:val="000000"/>
          <w:sz w:val="28"/>
        </w:rPr>
        <w:t xml:space="preserve">
      vii)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 </w:t>
      </w:r>
    </w:p>
    <w:p>
      <w:pPr>
        <w:spacing w:after="0"/>
        <w:ind w:left="0"/>
        <w:jc w:val="left"/>
      </w:pPr>
      <w:r>
        <w:rPr>
          <w:rFonts w:ascii="Times New Roman"/>
          <w:b/>
          <w:i w:val="false"/>
          <w:color w:val="000000"/>
        </w:rPr>
        <w:t xml:space="preserve"> ПРИЛОЖЕНИЕ 4 Реализация Программы и другие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Механизмы реализации</w:t>
      </w:r>
    </w:p>
    <w:p>
      <w:pPr>
        <w:spacing w:after="0"/>
        <w:ind w:left="0"/>
        <w:jc w:val="both"/>
      </w:pPr>
      <w:r>
        <w:rPr>
          <w:rFonts w:ascii="Times New Roman"/>
          <w:b w:val="false"/>
          <w:i w:val="false"/>
          <w:color w:val="000000"/>
          <w:sz w:val="28"/>
        </w:rPr>
        <w:t xml:space="preserve">      Заемщик назначит МФ Исполнительным агентством Программы, а Министерство национальной экономики, Министерство здравоохранения и социального развития и Министерство энергетики Заемщика в каждом случае, в том числе их любого правопреемника, и Национальный Банк – агентствами по реализации, которые будут нести общую ответственность за контроль реализации Программы, мер контрциклического развития и определение их влияния на ключевые макроэкономические и финансовые показатели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Политические мероприятия и диалог</w:t>
      </w:r>
    </w:p>
    <w:p>
      <w:pPr>
        <w:spacing w:after="0"/>
        <w:ind w:left="0"/>
        <w:jc w:val="both"/>
      </w:pPr>
      <w:r>
        <w:rPr>
          <w:rFonts w:ascii="Times New Roman"/>
          <w:b w:val="false"/>
          <w:i w:val="false"/>
          <w:color w:val="000000"/>
          <w:sz w:val="28"/>
        </w:rPr>
        <w:t>      2. Заемщик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w:t>
      </w:r>
      <w:r>
        <w:br/>
      </w:r>
      <w:r>
        <w:rPr>
          <w:rFonts w:ascii="Times New Roman"/>
          <w:b w:val="false"/>
          <w:i w:val="false"/>
          <w:color w:val="000000"/>
          <w:sz w:val="28"/>
        </w:rPr>
        <w:t>
      3. Заемщик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Использование Партнерского финансирования</w:t>
      </w:r>
    </w:p>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Антикоррупционная политика и методы руководства</w:t>
      </w:r>
    </w:p>
    <w:p>
      <w:pPr>
        <w:spacing w:after="0"/>
        <w:ind w:left="0"/>
        <w:jc w:val="both"/>
      </w:pPr>
      <w:r>
        <w:rPr>
          <w:rFonts w:ascii="Times New Roman"/>
          <w:b w:val="false"/>
          <w:i w:val="false"/>
          <w:color w:val="000000"/>
          <w:sz w:val="28"/>
        </w:rPr>
        <w:t>      5. Заемщик обеспечивает: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(b) сотрудничество в рамках любого такого расследования и оказывать всю необходимую помощь для удовлетворительного завершения такого расследования.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и обзор</w:t>
      </w:r>
    </w:p>
    <w:p>
      <w:pPr>
        <w:spacing w:after="0"/>
        <w:ind w:left="0"/>
        <w:jc w:val="both"/>
      </w:pPr>
      <w:r>
        <w:rPr>
          <w:rFonts w:ascii="Times New Roman"/>
          <w:b w:val="false"/>
          <w:i w:val="false"/>
          <w:color w:val="000000"/>
          <w:sz w:val="28"/>
        </w:rPr>
        <w:t>      6. Заемщик обеспечивает на ежегодной основе предоставление АБР отчетов об: (a) условиях макроэкономического и финансового сектора; (b) расходах, произведенных из республиканского бюджета на поддержку мер контрциклического развития, а также исполнения бюджета; и (c) реализации мер контрциклического развития, в том числе о ходе реализации Программы «Нұрлы жол», новой экономической политики Заемщика, Программы Заемщика «Дорожная карта занятости 2020» и достижении установленных в них целей.</w:t>
      </w:r>
      <w:r>
        <w:br/>
      </w:r>
      <w:r>
        <w:rPr>
          <w:rFonts w:ascii="Times New Roman"/>
          <w:b w:val="false"/>
          <w:i w:val="false"/>
          <w:color w:val="000000"/>
          <w:sz w:val="28"/>
        </w:rPr>
        <w:t xml:space="preserve">
      7. Заемщик обеспечивает предоставление АБР отчета о завершении программы в течение 8 месяцев после даты закрытия займа.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