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3e18" w14:textId="eeb3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Договора о координации действий по защите прав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2015 года № 951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координации действий по защите прав на объекты интеллектуальной собственности, совершенный в городе Гродно 8 сентября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2015 года № 951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 координации действий по защите прав на объекты</w:t>
      </w:r>
      <w:r>
        <w:br/>
      </w:r>
      <w:r>
        <w:rPr>
          <w:rFonts w:ascii="Times New Roman"/>
          <w:b/>
          <w:i w:val="false"/>
          <w:color w:val="000000"/>
        </w:rPr>
        <w:t>
интеллектуальной собственности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19 июля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5, ст.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Евразийского экономического союза в лице их правительств, далее именуемые государствами-членами,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и защите прав на объекты интеллектуальной собственности (приложение № 26 к Договору о Евразийском экономическом союзе от 29 мая 2014 года),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намерение развивать сотрудничество государствами-членами в сфере защиты прав на объекты интеллектуальной собственности в рамках Евразийского экономического союза (далее – Союз),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Договора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«координация действий» – взаимодействие уполномоченных органов государств-членов между собой и с Евразийской экономической комиссией в целях обеспечения взаимных интересов государств-членов в сфере защиты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«нарушение прав на объекты интеллектуальной собственности» – использование объектов интеллектуальной собственности, в том числе в информационно-телекоммуникационной сети «Интернет», изготовление, распространение или иное использование, а также ввоз, перемещение или хранение для этих целей товаров, если такие действия влекут за собой нарушение прав на объекты интеллектуальной собственности, охраняемых в соответствии с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«совместные мероприятия» – согласованные мероприятия по предупреждению, выявлению, пресечению и расследованию нарушений прав на объекты интеллектуальной собственности, проводимые уполномоченными органами двух или более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«уполномоченный орган» – орган исполнительной власти, а также иной орган, который в соответствии с нормативными правовыми актами государства-члена наделен полномочиями в сфере защиты прав на объекты интеллектуальной собственности.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Государства-члены осуществляют сотрудничество и обеспечивают эффективное взаимодействие уполномоченных органов, исходя из необходимости формирования единой системы защиты прав на объекты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защиты прав на объекты интеллектуальной собственности, в том числе обеспечения эффективного пресечения нарушений данных прав на таможенной территории Союза,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действий по предупреждению, выявлению, пресечению и расследованию нарушений прав на объекты интеллектуальной собственности, а также совершенствованию деятельности уполномоченных органов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гармонизация и совершенствование законодательства государств-членов в сфере защиты прав на объекты интеллектуальной собственности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действия (при необходимости).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координации действий представители уполномоченных органов рассматривают на заседаниях соответствующего консультативного органа при Коллегии Евразийской экономической комиссии вопросы, возникающие в рамках реализации настоящего Договора, исходя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равенство уполномоченных органов при постановке задач и проведении мероприятий в рамках координации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каждого уполномоченного органа в пределах полномочий, предоставленных ему в соответствии с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гласность в той мере, в какой она не противоречит требованиям законодательства государств-членов о защите прав и свобод человека и гражданина, о государственной и иной охраняемой законом тайне.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Договора Евразийская экономическая комиссия совместно с уполномоченными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и обобщение опыта деятельности по пресечению нарушений прав на объекты интеллектуальной собственности на территориях государств-членов, а также прогнозирование тенденций в сфере предупреждения, выявления, пресечения и расследования правонарушений в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правоприменительной практики государств-членов в сфере защиты прав на объекты интеллектуальной собственности, в том числе выполнения международных договоров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вырабатывает предложения по повышению эффективности защиты прав на объекты интеллектуальной собственности, в том числе по предупреждению нарушений данных прав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совместных семинаров, конференций, иных мероприятий, направленных на повышение квалификации сотрудников уполномоченных органов и Евразийской экономической комиссии в сфере защиты прав на объекты интеллектуальной собственности.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координации действий уполномоченные органы осуществляют сотрудничество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рамках деятельности консультативного органа при Коллегии Евразийской экономической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по вопросам защиты прав на объекты интеллектуальной собственности, в том числе по предупреждению нарушений данных прав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совещаний представителей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согласованных планов по координации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мероприятий, в том числе в рамках реализации согласованных планов, предусмотренных абзацем пятым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стажировок, семинаров, конференций, а также иных мероприятий в целях обмена опытом;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бюллетеней (сборников) и других информационных изданий;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формы по взаимной договоренности государств-членов.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Уполномоченные органы по собственной инициативе или по запросам иных уполномоченных органов обмениваются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конкретных фактах и событиях, связанных с нарушением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лицах, причастных к нарушениям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перемещении товаров с территории одного государства-члена на территорию другого государства-члена, вследствие которого нарушаются права на объекты интеллектуальной собственности, а также о товарах и транспортных средствах, используемых при перемещении этих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товарах, ввозимых (ввезенных) с территорий третьих стран на таможенную территорию Союза, если ввоз таких товаров влечет за собой нарушение прав на объекты интеллектуальной собственности, а также иной информацией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информации, указанной в пункте 1 настоящей статьи, уполномоченным органом третьим лицам может осуществляться только с письменного согласия уполномоченного органа, представившего такую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получивший такую информацию, обеспечивает уровень ее защиты, эквивалентный уровню защиты, применяемому к такой информации представившим ее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 нарушение условий, предусмотренных в пункте 2 настоящей статьи, уполномоченный орган и его сотрудники, получившие информацию, указанную в пункте 1 настоящей статьи, несут ответственность, установленную законодательством государства этого уполномоченного органа.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осуществления совместных мероприятий либо оказания содействия в их проведении уполномоченные органы вправе обращаться друг к другу с соответствующим запросом.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Взаимодействие уполномоченных органов в части исполнения запросов об оказании содействия в пресечении преступлений в сфере интеллектуальной собственности и нарушений прав на объекты интеллектуальной собственности, а также в части предоставления информации и обращения с ней осуществляется на основании международных договоров, участниками которых являются государства-члены, и в соответствии с законодательством государств-членов.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самостоятельно несут расходы, связанные с реализацией настоящего Договора. При этом транспортные расходы, расходы на проживание при проведении мероприятий,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несет направляющее государство-член.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Реализация настоящего Договора осуществляется уполномоченными органами, которые взаимодействуют в пределах своей компетенции, с соблюдением законодательства соответствующего государства-члена, международных договоров и актов, составляющих право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настоящего Договора Евразийская экономическая комиссия оказывает содействие уполномоченным органам в их взаимодействии в сфере защиты прав на объекты интеллектуальной собственности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определяют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уполномоченные 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течение 3 месяцев с даты вступления настоящего Договора в силу уведомляют о них депозитария, который уведомит о таких уполномоченных органах другие государства-члены.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в месячный срок уведомляют депозитария об изменении уполномоченных органов.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Информационное взаимодействие уполномоченных органов с Евразийской экономической комиссией в рамках настоящего Договора, а также исполнение запросов осуществляются в порядке, предусмотренном регламентом взаимодействия уполномоченных органов и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Регламент, указанный в пункте 1 настоящей статьи, утверждается Евразийской экономической комиссией в течение 3 месяцев с даты вступления настоящего Договора в силу.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настоящий Договор могут вноситься изменения, которые оформляются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Споры между государствами-членами, связанные с толкованием и (или) применением настоящего Договора, разрешаются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Договор является международным договором, заключенным в рамках Союза, и входит в право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Договора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Гродно 8 сентября 2015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в Евразийской экономической комиссии, которая, являясь депозитарием настоящего Договора,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40"/>
        <w:gridCol w:w="3539"/>
        <w:gridCol w:w="1981"/>
        <w:gridCol w:w="4420"/>
      </w:tblGrid>
      <w:tr>
        <w:trPr>
          <w:trHeight w:val="30" w:hRule="atLeast"/>
        </w:trPr>
        <w:tc>
          <w:tcPr>
            <w:tcW w:w="4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Беларусь</w:t>
            </w:r>
          </w:p>
        </w:tc>
        <w:tc>
          <w:tcPr>
            <w:tcW w:w="4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