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1246" w14:textId="43d1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марта 2015 года № 124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2016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2015 года № 124 «Об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промышленности» (САПП Республики Казахстан, 2015 г., № 13, ст. 71)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и механизмы обусловленного размещения средств в банках второго уровня»: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 рамках кредитного соглашения, заключенного между АО «ФРП «Даму» и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25 % от лимита на БВУ, одобренных Госкомиссией, составляет доля займов, направляемых БВУ на рефинансирование займов, выданных СМСП в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 более 25 % от лимита на БВУ, одобренных Госкомиссией, составляет доля займов, направляемых БВУ на цели пополнения оборотных средств СМСП в обрабатывающей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50 % от лимита на БВУ, одобренных Госкомиссией, составляет доля займов, направляемых БВУ на финансирование новых проектов СМСП в обрабатывающей промышленности.».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