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1246" w14:textId="43d1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марта 2015 года № 124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2016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2015 года № 124 «Об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промышленности» (САПП Республики Казахстан, 2015 г., № 13, ст. 71)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«Условия и механизмы обусловленного размещения средств в банках второго уровня»: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в рамках кредитного соглашения, заключенного между АО «ФРП «Даму» и БВУ: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25 % от лимита на БВУ, одобренных Госкомиссией, составляет доля займов, направляемых БВУ на рефинансирование займов, выданных СМСП в обрабатывающей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 более 25 % от лимита на БВУ, одобренных Госкомиссией, составляет доля займов, направляемых БВУ на цели пополнения оборотных средств СМСП в обрабатывающей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50 % от лимита на БВУ, одобренных Госкомиссией, составляет доля займов, направляемых БВУ на финансирование новых проектов СМСП в обрабатывающей промышленности.».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