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1150" w14:textId="ff21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15 июня 2009 года № 906 "Об утверждении Правил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2016 года № 245. Утратило силу постановлением Правительства Республики Казахстан от 21 июня 2023 года № 492.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21.06.2023 </w:t>
      </w:r>
      <w:r>
        <w:rPr>
          <w:rFonts w:ascii="Times New Roman"/>
          <w:b w:val="false"/>
          <w:i w:val="false"/>
          <w:color w:val="ff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июня 2009 года № 906 "Об утверждении Правил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 следующие изменения и дополнение:</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 утвержденных указанным постановлением: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Лимит правительственного долга на соответствующий финансовый год формируется исходя из лимита правительственного долга на конец года, предшествующего планируемому финансовому году, общего объема финансирования дефицита республиканского бюджета за счет правительственного заимствования на внутреннем рынке и правительственного заимствования на внешнем рынке в планируемом финансовом году с учетом расчетного курса обмена валют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вносится на рассмотрение Республиканской бюджетной комиссии.</w:t>
      </w:r>
    </w:p>
    <w:p>
      <w:pPr>
        <w:spacing w:after="0"/>
        <w:ind w:left="0"/>
        <w:jc w:val="both"/>
      </w:pPr>
      <w:r>
        <w:rPr>
          <w:rFonts w:ascii="Times New Roman"/>
          <w:b w:val="false"/>
          <w:i w:val="false"/>
          <w:color w:val="000000"/>
          <w:sz w:val="28"/>
        </w:rPr>
        <w:t>
      3-1. Уточнение лимита правительственного долга производится в случаях изменения объема дефицита республиканского бюджета, установленного на планируемый финансовый год, или расчетного курса обмена валют при уточнении республиканского бюджета в течение соответствующего финансового года.";</w:t>
      </w:r>
    </w:p>
    <w:bookmarkStart w:name="z4" w:id="2"/>
    <w:p>
      <w:pPr>
        <w:spacing w:after="0"/>
        <w:ind w:left="0"/>
        <w:jc w:val="both"/>
      </w:pPr>
      <w:r>
        <w:rPr>
          <w:rFonts w:ascii="Times New Roman"/>
          <w:b w:val="false"/>
          <w:i w:val="false"/>
          <w:color w:val="000000"/>
          <w:sz w:val="28"/>
        </w:rPr>
        <w:t>
      дополнить пунктом 3-2 следующего содержания:</w:t>
      </w:r>
    </w:p>
    <w:bookmarkEnd w:id="2"/>
    <w:p>
      <w:pPr>
        <w:spacing w:after="0"/>
        <w:ind w:left="0"/>
        <w:jc w:val="both"/>
      </w:pPr>
      <w:r>
        <w:rPr>
          <w:rFonts w:ascii="Times New Roman"/>
          <w:b w:val="false"/>
          <w:i w:val="false"/>
          <w:color w:val="000000"/>
          <w:sz w:val="28"/>
        </w:rPr>
        <w:t>
      "3-2. Лимит правительственного долга может быть превышен в случае изменения рыночного курса обмена валют по отношению к расчетному курсу тенге к доллару США, предусмотренному в ходе разработки республиканского бюджета на планируемый финансовый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В случаях, когда заимствование местными исполнительными органами областей, города республиканского значения, столицы осуществляется в виде получения займов от Правительства Республики Казахстан, лимит долга формируется с учетом заимствования в планируемом финансовом году и объема средств. </w:t>
      </w:r>
    </w:p>
    <w:p>
      <w:pPr>
        <w:spacing w:after="0"/>
        <w:ind w:left="0"/>
        <w:jc w:val="both"/>
      </w:pPr>
      <w:r>
        <w:rPr>
          <w:rFonts w:ascii="Times New Roman"/>
          <w:b w:val="false"/>
          <w:i w:val="false"/>
          <w:color w:val="000000"/>
          <w:sz w:val="28"/>
        </w:rPr>
        <w:t xml:space="preserve">
      7. В случаях, когда заимствование местными исполнительными органами города республиканского значения, столицы осуществляется в виде получения займов от Правительства Республики Казахстан и выпуска местными исполнительными органами города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города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w:t>
      </w:r>
    </w:p>
    <w:p>
      <w:pPr>
        <w:spacing w:after="0"/>
        <w:ind w:left="0"/>
        <w:jc w:val="both"/>
      </w:pPr>
      <w:r>
        <w:rPr>
          <w:rFonts w:ascii="Times New Roman"/>
          <w:b w:val="false"/>
          <w:i w:val="false"/>
          <w:color w:val="000000"/>
          <w:sz w:val="28"/>
        </w:rPr>
        <w:t>
      1) лимит долга формируется с учетом представленных местным исполнительным органом области, города республиканского значения, столицы расчетов возможности самостоятельно обслуживать и погашать свои долги;</w:t>
      </w:r>
    </w:p>
    <w:p>
      <w:pPr>
        <w:spacing w:after="0"/>
        <w:ind w:left="0"/>
        <w:jc w:val="both"/>
      </w:pPr>
      <w:r>
        <w:rPr>
          <w:rFonts w:ascii="Times New Roman"/>
          <w:b w:val="false"/>
          <w:i w:val="false"/>
          <w:color w:val="000000"/>
          <w:sz w:val="28"/>
        </w:rPr>
        <w:t>
      2) расчет лимита осуществляется исходя из доходов бюджета местного исполнительного органа области, города республиканского значения, столицы, соответствующих объему налоговых и неналоговых поступлений и поступлений от продажи основного капитала за минусом бюджетных изъятий (далее – собственные доходы).</w:t>
      </w:r>
    </w:p>
    <w:p>
      <w:pPr>
        <w:spacing w:after="0"/>
        <w:ind w:left="0"/>
        <w:jc w:val="both"/>
      </w:pPr>
      <w:r>
        <w:rPr>
          <w:rFonts w:ascii="Times New Roman"/>
          <w:b w:val="false"/>
          <w:i w:val="false"/>
          <w:color w:val="000000"/>
          <w:sz w:val="28"/>
        </w:rPr>
        <w:t xml:space="preserve">
      8. Центральный уполномоченный орган по государственному планированию по согласованию с центральным уполномоченным органом по исполнению бюджета устанавливает лимит долга местных исполнительных органов областей, города республиканского значения, столицы на планируемый финансовый год по формулам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срок до 15 августа года, предшествующего планируемому.</w:t>
      </w:r>
    </w:p>
    <w:p>
      <w:pPr>
        <w:spacing w:after="0"/>
        <w:ind w:left="0"/>
        <w:jc w:val="both"/>
      </w:pPr>
      <w:r>
        <w:rPr>
          <w:rFonts w:ascii="Times New Roman"/>
          <w:b w:val="false"/>
          <w:i w:val="false"/>
          <w:color w:val="000000"/>
          <w:sz w:val="28"/>
        </w:rPr>
        <w:t>
      8-1. Уточнение лимита долга местных исполнительных органов производится в случае изменения бюджетных параметров, при уточнении республиканского и местного бюджетов в течение соответствующего финансового года.";</w:t>
      </w:r>
    </w:p>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Лимит долга местных исполнительных органов областей, города республиканского значения, столицы на планируемый период определяется согласно следующей формуле:</w:t>
      </w:r>
    </w:p>
    <w:p>
      <w:pPr>
        <w:spacing w:after="0"/>
        <w:ind w:left="0"/>
        <w:jc w:val="both"/>
      </w:pPr>
      <w:r>
        <w:rPr>
          <w:rFonts w:ascii="Times New Roman"/>
          <w:b w:val="false"/>
          <w:i w:val="false"/>
          <w:color w:val="000000"/>
          <w:sz w:val="28"/>
        </w:rPr>
        <w:t>
      Lslg = Dlg + BdefLg + Ss – Plg, где</w:t>
      </w:r>
    </w:p>
    <w:p>
      <w:pPr>
        <w:spacing w:after="0"/>
        <w:ind w:left="0"/>
        <w:jc w:val="both"/>
      </w:pPr>
      <w:r>
        <w:rPr>
          <w:rFonts w:ascii="Times New Roman"/>
          <w:b w:val="false"/>
          <w:i w:val="false"/>
          <w:color w:val="000000"/>
          <w:sz w:val="28"/>
        </w:rPr>
        <w:t>
      Dlg – долг местного исполнительного органа области, города республиканского значения, столицы на начало планируемого финансового года;</w:t>
      </w:r>
    </w:p>
    <w:p>
      <w:pPr>
        <w:spacing w:after="0"/>
        <w:ind w:left="0"/>
        <w:jc w:val="both"/>
      </w:pPr>
      <w:r>
        <w:rPr>
          <w:rFonts w:ascii="Times New Roman"/>
          <w:b w:val="false"/>
          <w:i w:val="false"/>
          <w:color w:val="000000"/>
          <w:sz w:val="28"/>
        </w:rPr>
        <w:t>
      BdefLg – займы из республиканского бюджета, предоставляемые в планируемом финансовом году для реализации определенных целей в соответствии с бюджетным законодательством;</w:t>
      </w:r>
    </w:p>
    <w:p>
      <w:pPr>
        <w:spacing w:after="0"/>
        <w:ind w:left="0"/>
        <w:jc w:val="both"/>
      </w:pPr>
      <w:r>
        <w:rPr>
          <w:rFonts w:ascii="Times New Roman"/>
          <w:b w:val="false"/>
          <w:i w:val="false"/>
          <w:color w:val="000000"/>
          <w:sz w:val="28"/>
        </w:rPr>
        <w:t>
      Ss – объем государственных ценных бумаг предполагаемых к выпуску местным исполнительным органом области, города республиканского значения, столицы в планируемом финансовом году;</w:t>
      </w:r>
    </w:p>
    <w:p>
      <w:pPr>
        <w:spacing w:after="0"/>
        <w:ind w:left="0"/>
        <w:jc w:val="both"/>
      </w:pPr>
      <w:r>
        <w:rPr>
          <w:rFonts w:ascii="Times New Roman"/>
          <w:b w:val="false"/>
          <w:i w:val="false"/>
          <w:color w:val="000000"/>
          <w:sz w:val="28"/>
        </w:rPr>
        <w:t>
      Plg – объем средств местного исполнительного органа области, города республиканского значения, столицы, направляемых на обслуживание и погашение долга в планируемом финансовом году.</w:t>
      </w:r>
    </w:p>
    <w:p>
      <w:pPr>
        <w:spacing w:after="0"/>
        <w:ind w:left="0"/>
        <w:jc w:val="both"/>
      </w:pPr>
      <w:r>
        <w:rPr>
          <w:rFonts w:ascii="Times New Roman"/>
          <w:b w:val="false"/>
          <w:i w:val="false"/>
          <w:color w:val="000000"/>
          <w:sz w:val="28"/>
        </w:rPr>
        <w:t>
      2. Определяемый лимит должен соответствовать следующему требованию:</w:t>
      </w:r>
    </w:p>
    <w:p>
      <w:pPr>
        <w:spacing w:after="0"/>
        <w:ind w:left="0"/>
        <w:jc w:val="both"/>
      </w:pPr>
      <w:r>
        <w:rPr>
          <w:rFonts w:ascii="Times New Roman"/>
          <w:b w:val="false"/>
          <w:i w:val="false"/>
          <w:color w:val="000000"/>
          <w:sz w:val="28"/>
        </w:rPr>
        <w:t xml:space="preserve">
      Lslg </w:t>
      </w:r>
      <w:r>
        <w:rPr>
          <w:rFonts w:ascii="Times New Roman"/>
          <w:b w:val="false"/>
          <w:i w:val="false"/>
          <w:color w:val="000000"/>
          <w:sz w:val="28"/>
          <w:u w:val="single"/>
        </w:rPr>
        <w:t>&lt;</w:t>
      </w:r>
      <w:r>
        <w:rPr>
          <w:rFonts w:ascii="Times New Roman"/>
          <w:b w:val="false"/>
          <w:i w:val="false"/>
          <w:color w:val="000000"/>
          <w:sz w:val="28"/>
        </w:rPr>
        <w:t xml:space="preserve"> MaxL, где</w:t>
      </w:r>
    </w:p>
    <w:p>
      <w:pPr>
        <w:spacing w:after="0"/>
        <w:ind w:left="0"/>
        <w:jc w:val="both"/>
      </w:pPr>
      <w:r>
        <w:rPr>
          <w:rFonts w:ascii="Times New Roman"/>
          <w:b w:val="false"/>
          <w:i w:val="false"/>
          <w:color w:val="000000"/>
          <w:sz w:val="28"/>
        </w:rPr>
        <w:t>
      Lslg – лимит долга местного исполнительного органа области, города республиканского значения, столицы в планируемом финансовом году в отношении к его собственным доходам;</w:t>
      </w:r>
    </w:p>
    <w:p>
      <w:pPr>
        <w:spacing w:after="0"/>
        <w:ind w:left="0"/>
        <w:jc w:val="both"/>
      </w:pPr>
      <w:r>
        <w:rPr>
          <w:rFonts w:ascii="Times New Roman"/>
          <w:b w:val="false"/>
          <w:i w:val="false"/>
          <w:color w:val="000000"/>
          <w:sz w:val="28"/>
        </w:rPr>
        <w:t>
      MaxL – максимальный лимит долга местного исполнительного органа области, города республиканского значения, столицы, который составляет 75 % от объема его собственных доходов.".</w:t>
      </w:r>
    </w:p>
    <w:bookmarkStart w:name="z8" w:id="4"/>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