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c7bc" w14:textId="bf1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определении уполномоченных органов Республики Казахстан, ответственных за выполнение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2016 года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«Об определении уполномоченных органов Республики Казахстан, ответственных за выполнение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уполномоченных органов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ответственных за выполнение Соглашения об организации действий</w:t>
      </w:r>
      <w:r>
        <w:br/>
      </w:r>
      <w:r>
        <w:rPr>
          <w:rFonts w:ascii="Times New Roman"/>
          <w:b/>
          <w:i w:val="false"/>
          <w:color w:val="000000"/>
        </w:rPr>
        <w:t>
дежурных по противовоздушной обороне сил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 xml:space="preserve">
Содружества Независимых Государств при получении информации </w:t>
      </w:r>
      <w:r>
        <w:br/>
      </w:r>
      <w:r>
        <w:rPr>
          <w:rFonts w:ascii="Times New Roman"/>
          <w:b/>
          <w:i w:val="false"/>
          <w:color w:val="000000"/>
        </w:rPr>
        <w:t>
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судна, совершенного в Душанбе 3 сентября 2011 года, (далее – Соглашение)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Министерство обороны Республики Казахстан, Министерство по инвестициям и развитию Республики Казахстан, Министерство внутренних дел Республики Казахстан и Комитет национальной безопасности Республики Казахстан уполномоченными органами, ответственными за выполнение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