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3348" w14:textId="fda3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об обмене информацией об авариях на объектах электроэнергетики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2016 года № 333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об обмене информацией об авариях на объектах электроэнергетики государств–участников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2016 года №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об обмене информацией об авариях на объектах</w:t>
      </w:r>
      <w:r>
        <w:br/>
      </w:r>
      <w:r>
        <w:rPr>
          <w:rFonts w:ascii="Times New Roman"/>
          <w:b/>
          <w:i w:val="false"/>
          <w:color w:val="000000"/>
        </w:rPr>
        <w:t>
электроэнергетики государств–участников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государств–участников Содружества Независимых Государств (далее – СНГ),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Соглашение об обмене информацией о чрезвычайных ситуациях природного и техногенного характера, об информационном взаимодействии при ликвидации их последствий и оказании помощи пострадавшему населению от 18 сентября 2003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международные договоры в области межгосударственного информационного обмена, принятые в том числе в рамках международных организаций и интеграционных объединений, членами которых являются государства–участники 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заинтересованность Сторон в обеспечении надежного функционирования электроэнергетических систем государств–участников СНГ, а также совершенствовании механизмов обмена опытом при организации эксплуатации объектов электроэнергетики государств – участников СНГ,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Термины и определения для целей настоящего Соглашения используются в соответствии с международными договорами и законодательством государств – участников СНГ.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надежного функционирования электроэнергетических систем государств – участников СНГ, совершенствования механизмов обмена опытом при организации эксплуатации объектов электроэнергетики государств – участников СНГ Стороны осуществляют межгосударственный обмен информацией об авариях на объектах электроэнергетики, имеющих признаки трансграничного характера и влияющих на обеспечение надежной параллельной работы электроэнергетических систем государств –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Собранная информация об авариях на объектах электроэнергетики государств – участников настоящего Соглашения используется для изучения передового опыта при разработке противоаварийных мероприятий системного и иного характера, влияющих на повышение уровня энергетической безопасности электроэнергетических систем государств – участников СНГ.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Критерии, состав, формат (макет) и порядок представления информации об авариях на объектах электроэнергетики государств – участников настоящего Соглашения регламентируются документами, утверждаемыми в рамках Электроэнергетического совета СНГ.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 об авариях на объектах электроэнергетики государств – участников настоящего Соглашения формируется на основе официальных данных сводных отчетов об авариях, представляемых собственниками, иными законными владельцами объектов электроэнергетики или эксплуатирующими их организациями и/или актов о расследовании причин аварий, оформленных соответствующим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отнесенная законодательством государства – участника СНГ к информации ограниченного распространения, представляется с соблюдением требований по ее защите.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предоставляемая в рамках настоящего Соглашения, не подлежит передаче третьим лицам без согласования Сторонами, чьи интересы затрагивает данная информация.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информацией на русском языке.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Представленная информация используется Сторонами только в предусмотренных настоящим Соглашением целях и без ущерба для Сторон, ее представивших.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каждой Стороны представление информации об авариях на объектах электроэнергетики государств – участников настоящего Соглашения осуществляется органом управления электроэнергетикой или уполномоченной им организацией.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возлагают на Электроэнергетический совет СНГ: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обобщение, анализ и направление в государства – участники настоящего Соглашения сводной информации об авариях на объектах электроэнергетики государств – участников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рабочих встреч и консультаций по вопросам сотрудничества в области межгосударственного обмена информацией об авариях на объектах электроэнергетики государств – участников настоящего Соглашения.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Координация деятельности по реализации настоящего Соглашения, в том числе взаимодействия органов управления электроэнергетикой или уполномоченных ими организаций, осуществляется Электроэнергетическим советом СНГ.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Вопросы, относящиеся к предмету регулирования настоящего Соглашения и не отраженные в нем, регулируются законодательством государств – участников настоящего Соглашения.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положений настоящего Соглашения, решаются путем консультаций и переговоров Сторон.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 и дополнения, являющиеся его неотъемлемой частью, которые оформляются протоколами, вступающими в силу порядке, предусмотренном статьей 12 настоящего Соглашения.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 – участника СНГ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 Каждая из Сторон вправе выйти из настоящего Соглашения, направив письменное уведомление об этом депозитарию. Настоящее Соглашение прекращает действие в отношении такой Стороны через 6 месяцев с даты получения депозитарием соответствующего уведомления.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Стороны, вытекающих для нее из других международных договоров, участником которых является ее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_____________________ _____________ 201__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0"/>
        <w:gridCol w:w="6440"/>
      </w:tblGrid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