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7a76" w14:textId="1147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октября 2013 года № 1055 "Об утверждении Правил исчисления и уплаты платы, а также ставок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2016 года № 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2013 года № 1055 «Об утверждении Правил исчисления и уплаты платы, а также ставок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районе» (САПП Республики Казахстан, 2013 г., № 58, ст. 797)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исчисления и уплаты платы, а также ставок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и уплаты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и уплаты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исчисления и уплаты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исчисления и уплаты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23 января 2001 года «О местном государственном управлении и самоуправлении в Республике Казахстан» и 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19 декабря 2003 года «О рекламе».»;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Правила устанавливают порядок исчисления и уплаты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Сумма платы зачисляется на контрольный счет наличности местного самоуправления по месту размещения наружной (визуальной) рекламы на объектах стационарного размещения рекламы в полосе отвода автомобильных дорог общего пользования, на открытом пространстве за пределами помещений в городах районного значения, селах и поселках.»;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ставках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«Ставки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