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e41" w14:textId="852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2016 года № 653.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(методику)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2016 года № 653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(методика) ценообразования при осуществлении экспортных</w:t>
      </w:r>
      <w:r>
        <w:br/>
      </w:r>
      <w:r>
        <w:rPr>
          <w:rFonts w:ascii="Times New Roman"/>
          <w:b/>
          <w:i w:val="false"/>
          <w:color w:val="000000"/>
        </w:rPr>
        <w:t>операций с сырой нефтью, полученной в качестве доли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Соглашению о разделе продукции по Северному Каспию</w:t>
      </w:r>
      <w:r>
        <w:br/>
      </w:r>
      <w:r>
        <w:rPr>
          <w:rFonts w:ascii="Times New Roman"/>
          <w:b/>
          <w:i w:val="false"/>
          <w:color w:val="000000"/>
        </w:rPr>
        <w:t>от 18 ноября 1997 года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(методика)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 (далее – Закон) и устанавливают порядок определения (расчета) цен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 (далее – Соглашение).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термины, определения и аббревиатуры: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информации (издатель и страна издания) – Crude Oil Market Wire Basic Service (The McGraw-Hill Companies (Platts), Великобритания, (далее – Platts) и 3000Xtra, RTC Advanced (Thomson Reuters EIKON) (Thomson Reuters, Великобритания, (далее – Thomson Reuters);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направление транспортировки и реализации товара;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дифференциал – размер корректировки, применяемый для приведения в сопоставимые экономические условия цены сделки или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 – договор на куплю-продажу товара;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КТК – трубопроводная система Каспийского трубопроводного консорциума – единая трубопроводная система, начинающаяся на Тенгизе (Казахстан) и проходящая через Атырау (Казахстан), Астрахань, Комсомольск и Кропоткин до Терминала в районе Новороссийска (Россия – КТК-Р);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коносамент – документ на отгруженный товар, который подтверждает его получение судном;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цена сделки (реализации) – цена товара за одну единицу измерения в соответствии с контрактами, выраженная в валюте контракта и рассчитанная в соответствии с положениями настоящих Правил;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котировка нефти – ценовая котировка, публикуемая в источниках информации;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полномочный орган – юридическое лицо, определенное Правительством Республики Казахстан и действующее в интересах Республики Казахстан в соглашениях о разделе продукции;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корректировка по качеству – корректировка цены сделки по качественным характеристикам сырой нефти (плотность, содержание серы);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североморский ценовой эталон – котировка нефти "Brent (Dated)" или "BFOE", публикуемая в Platts;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спрэд – ценовая разница между различными котировками в источниках информации;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товар – сырая нефть, переданная налогоплательщиком и полученная полномочным органом в рамках передачи полезных ископаемых в счет исполнения налогового обязательства по уплате в натуральной форме доли Республики Казахстан по Соглашению;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FOB, CIF, DAP – базисы поставки в соответствии с Инкотермс 2010;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Platts Dirty Tanker Wire Basic Service – официально признанный источник информации о ставках фрахта на нефть.</w:t>
      </w:r>
    </w:p>
    <w:bookmarkEnd w:id="20"/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цены сделки (реализации) на сырую</w:t>
      </w:r>
      <w:r>
        <w:br/>
      </w:r>
      <w:r>
        <w:rPr>
          <w:rFonts w:ascii="Times New Roman"/>
          <w:b/>
          <w:i w:val="false"/>
          <w:color w:val="000000"/>
        </w:rPr>
        <w:t>нефть при продажах на условиях FOB терминал КТК-Р с</w:t>
      </w:r>
      <w:r>
        <w:br/>
      </w:r>
      <w:r>
        <w:rPr>
          <w:rFonts w:ascii="Times New Roman"/>
          <w:b/>
          <w:i w:val="false"/>
          <w:color w:val="000000"/>
        </w:rPr>
        <w:t>использованием трубопроводной системы КТК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сделки (реализации) рассчитывается по следующей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P = B + S -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цена сделки (реализации) на сырую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Platts, на каждую отгрузку с учетом котировок, действующих в течение пяти котировальных дней, следующих за датой коносамента;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спрэд (Spread vs Fwd Dated Brent в строке CPC Blend CIF), одна или средняя нескольких последовательных средних котировок, публикуемых в источнике информации Platts, в период с 10 по 25 день до 1 дня окна погрузки в соответствии с условиями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 применяется спрэд (котировка) в период с 1 по 25 календарный день до 1 дня окна погрузки. Окна погрузки в порту погрузки определяются на основе утвержденного официального позиционного графика, выпускаемого морским терминалом по заявке, полученной от транспортной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дифференциал, учитываемый в зависимости от условий поставки сырой нефти, определенный в контракте,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сверхнормативному простою танкера, буксировке и пилотажу при прохождении турецких проливов;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скидку (премию) на партии нефти с поставкой танкерами объемом 135 тысяч тонн к партиям с поставкой танкерами объемом 85 тысяч тонн (CPC-85-135);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цены сделки (реализации) при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сырой нефти по системе Атырау – Самара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доставке сырой нефти до портов Черного моря по маршруту Атырау-Самара для последующей продажи на условиях FOB цена сделки (реализации) рассчитывается по следующей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P = B + S ± К -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цена сделки (реализации) на сырую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Platts, на каждую отгрузку с учетом котировок, действующих в течение пяти котировальных дней, следующих за датой коносамента;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спрэд (Spread vs Fwd Dated Brent в строке Urals RCMB), одна или средняя нескольких последовательных средних котировок, публикуемых в источнике информации Platts, в период с 10 по 25 день до 1 дня окна погрузки в соответствии с условиями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 применяется спрэд (котировка) в период с 1 по 25 календарный день до 1 дня окна погрузки. Окна погрузки в порту погрузки определяются на основе утвержденного официального позиционного графика, выпускаемого морским терминалом по заявке, полученной от транспортной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корректировка цены по градусу API (эскаляция-деэскаляция) рассчитывается в виде премии/скидки в случае, если качество сырой нефти выше/ниже стандартного промежутка базовых пределов плотности (например, 32.00-32.09 градусов API для нефти сорта Urals) по условиям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дифференциал, учитываемый в зависимости от условий поставки сырой нефти, определенный в контракте,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сверхнормативному простою танкера, буксировке и пилотажу при прохождении турецких проливов;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скидку (премию) на партии нефти с поставкой танкерами объемом 140 тысяч тонн к партиям с поставкой танкерами объемом 80 тысяч тонн (URL-80-135);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доставке сырой нефти до портов Балтийского моря по маршруту Атырау – Самара для последующей продажи на условиях FOB цена сделки (реализации) рассчитывается по следующей формуле: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± К –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сырую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 на каждую отгрузку с учетом котировок, действующих в течение пяти котировальных дней, следующих за датой коносамента;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спрэд (Spread vs fwd Dated Brent в строке Urals Rotterdam), одна или средняя нескольких последовательных средних котировок, публикуемых в источнике информации Platts, в период с 10 по 25 день до 1 дня окна погрузки в соответствии с условиями контракта на продажу.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месяца, применяется спрэд (котировка) в период с 1 по 25 календарный день до 1 дня окна погрузки. Окна погрузки в порту погрузки определяются на основе утвержденного официального позиционного графика, выпускаемого морским терминалом по заявке, полученной от транспортной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корректировка цены по градусу API (эскаляция-деэскаляция) рассчитывается в виде премии/скидки в случае, если качество сырой нефти выше/ниже стандартного промежутка базовых пределов плотности (например, 32.00-32.09 градусов API для нефти сорта Urals) по условиям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дифференциал, учитываемый в зависимости от условий поставки сырой нефти, определенный в контракте на куплю-продажу товара,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портовым сборам в портах Балтийского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портовым сборам за судозаход в порт Роттердам;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сборы в зоне контроля над выбросами серы (ECA);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ледовые сборы, дополнительная плата за буксировку в течение зимнего сезона, включая время ожидания, в том числе у ледовой кромки и во льду/разницу во времени (задержку) при прохождении льда по сравнению с нормальной скоростью в данной акватории;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разницу в качестве между качеством сырой нефти в порту Усть-Луга и порту Приморск – при ее наличии в случае подтверждения государственных уполномоченных органов или уполномоченных транспортных компаний о том, что это разное качество нефти.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доставке сырой нефти по магистральному нефтепроводу Дружба на условиях продажи DAP до границы стран Восточной Европы,  цена сделки (реализации) рассчитывается по следующей формуле: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B + S –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цена сделки (реализации) на сырую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 за весь месяц, в течение которого осуществляется поставка;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это среднеарифметическое значение из средних ежедневных котировок дифференциала Urals Rotterdam к нефти североморский ценовой эталон, публикуемый в Platts Crude Oil Market Wire Basic Service под заголовком "Russian Urals/ESPO spot assessments" за весь месяц, в течение которого осуществляется поставка;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дифференциал, учитываемый в зависимости от условий поставки сырой нефти, определенный в контракте на куплю-продажу товара,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транспортировке до нефтеперерабатывающего завода;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нефти.</w:t>
      </w:r>
    </w:p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Определение составляющих дифференциала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приведения в сопоставимые экономические условия цены из источника информации, в зависимости от условий поставки товара в дифференциал включаются обоснованные и подтвержденные документально и (или) источниками информации расходы покупателя, связанные с доставкой товара до соответствующего рынка назначения (поставки) товара и его реализацией.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Составляющие дифференциала подтверждаются первичными документами, в случаях отсутствия и (или) необоснованности первичных документов, размеры составляющих дифференциала принимаются как минимальное/среднее значение от диапазона рыночных цен, публикуемых в Platts, Thomson Reuters.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морской транспортировки (фрахт) подтверждается копиями договоров фрахта (chartеr party, time-charter) или копиями выписок из договоров фрахта танкера (CP recap), копиями счетов на оплату (invoice) и копиями расчетов покупателя стоимости фрахта на 1 (один) нетто баррель или данными Platts Dirty Tanker Wire Basic Service. При этом расходы по фрахту судна не должны превышать следующих расходов: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условиях поставки FOB порты Черного моря не более стоимости расходов до порта Августа, рассчитанных по ставке Worldscale (WS), указанной в договоре фрахта;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условиях поставки FOB порты Балтийского моря не более стоимости расходов до порта выгрузки Роттердам, рассчитанных по ставке Worldscale (WS), указанной в договоре фрахта, плюс судозаход в порт Роттердам согласно официальным публикациям Platts Dirty Tanker Wire Basic Service.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указанных документов должны быть заверены покупателем.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фрахта судна определяется на дату фрахтования судна. В случае отсутствия первичных документов по фрахту судна, стоимость фрахта определяется как среднее с 10 по 25 день до даты морского коносамента. При расчете стоимости фрахта учитываются грузоподъемность танкера (Aframax, Suezmax), используемого для отгрузки соответствующей партии товара, базовая ставка flat rate и величина Worldscale (WS), публикуемая в Platts Dirty Tanker Wire Basic Service.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банковских расходов по открытию и обслуживанию безотзывного аккредитива подтверждается следующими документами: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контрактов купли-продажи сырой нефти, где оговариваются условия банковского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банка, подтверждающие открытие аккредитива в пользу продавца и банковские расходы на открытие аккредитива;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расшифровок с отметкой и подписью покупателя по каждой отдельной поставке с указанием наименования танкера, даты отгрузки товара, объемов в баррелях, процентной ставки банка, суммы аккредитива и суммы банковских расходов за баррель.</w:t>
      </w:r>
    </w:p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потерь при транспортировке учитываются согласно копиям отчетов независимых инспекторских компаний, в случае отсутствия таковых, принимается минимальное значение в диапазоне согласно данным Thomson Reuters.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Маржа покупателя принимается как минимальное значение в диапазоне, публикуемом в Thomson Reuters на дату коносамента.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Стоимость страхования груза при транспортировке подтверждается копиями договоров или копиями страховых полисов, или копиями счетов на оплату (invoice), копиями расчетов покупателя по стоимости страхования, в случае отсутствия таковых, принимается минимальное значение в диапазоне согласно данным Thomson Reuters.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инспекции груза по определению качества и количества груза подтверждается копиями договоров на оказание инспекторских услуг, копиями счетов на оплату (invoice), копиями расчетов покупателя по стоимости инспекции, копиями отчетов независимых инспекторских компаний, в случае отсутствия таковых, принимается минимальное значение в диапазоне согласно данным Thomson Reuters. Стоимость инспекции учитывается на каждой точке замера.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разгрузки в порту Роттердам подтверждается копиями первичных документов, подтверждающих маршрут груза в порт Роттердам, в случае отсутствия таковых, принимается минимальное значение в диапазоне согласно данным Thomson Reuters.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портового сбора в порту подтверждается копиями договоров на оказание соответствующих услуг, копиями счетов на оплату (invoice), в случае отсутствия таковых, принимается минимальное значение в диапазоне согласно данным Thomson Reuters.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Стоимость расходов по перевалке в портах подтверждается копиями договоров на оказание соответствующих услуг, копиями счетов на оплату (invoice), в случае отсутствия таковых, принимается минимальное значение в диапазоне согласно данным Thomson Reuters.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Экологические сборы в зоне контроля над выбросами серы (ECA) подтверждаются копиями chartеr party (раздел ECA), копиями инвойсов судовладельца, данными Worldscale (подтверждение ставки и протяженности маршрута в одну и обратную сторону в милях), в случае отсутствия таковых, принимается минимальное значение в диапазоне согласно данным Thomson Reuters.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Скидка (премия) на партии нефти с поставкой танкерами объемом 140 тысяч тонн (Suezmax) к партиям с поставкой танкерами объемом 80 тысяч тонн (Afrаmax) определяется как среднее из средних значений котировок URL-80-135, согласно данным Thomson Reuters, в период с 10 по 25 день до 1 дня окна погрузки. При этом, в случае, если котировка имеет отрицательное значение, то данная составляющая дифференциала увеличивает общее значение дифференциала и уменьшает значение цены и, наоборот, в случае положительного значения котировки, уменьшает общее значение дифференциала и увеличивает значение цены. Для судна класса Aframax скидка к танкерным партиям не применяется.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Скидка (премия) на партии нефти с поставкой танкерами объемом 135 тысяч тонн (Suezmax) к партиям с поставкой танкерами объемом 85 тысяч тонн (Afrаmax) определяется как среднее из средних значений котировок CPC-85-135, согласно данным Thomson Reuters, в период с 10 по 25 день до 1 дня окна погрузки. При этом, в случае, если котировка имеет отрицательное значение, то данная составляющая дифференциала увеличивает общее значение дифференциала и уменьшает значение цены и, наоборот, в случае положительного значения котировки, уменьшает общее значение дифференциала и увеличивает значение цены. Для судна класса Aframax скидка к танкерным партиям не применяется.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Компенсация за разницу в качестве между качеством товара в порту Усть-Луга и порту Приморск подтверждается копиями первичных документов на входе и выходе, в случае отсутствия таковых, принимается минимальное значение в диапазоне согласно данным Thomson Reuters.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