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42224" w14:textId="49422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о совместном использовании экспериментального комплекса на базе казахстанского материаловедческого токамака</w:t>
      </w:r>
    </w:p>
    <w:p>
      <w:pPr>
        <w:spacing w:after="0"/>
        <w:ind w:left="0"/>
        <w:jc w:val="both"/>
      </w:pPr>
      <w:r>
        <w:rPr>
          <w:rFonts w:ascii="Times New Roman"/>
          <w:b w:val="false"/>
          <w:i w:val="false"/>
          <w:color w:val="000000"/>
          <w:sz w:val="28"/>
        </w:rPr>
        <w:t>Постановление Правительства Республики Казахстан от 24 мая 2017 года № 281</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1. Одобрить прилагаемый проект Соглашения о совместном использовании экспериментального комплекса на базе казахстанского материаловедческого токамака.</w:t>
      </w:r>
    </w:p>
    <w:bookmarkEnd w:id="1"/>
    <w:bookmarkStart w:name="z5" w:id="2"/>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Премьер-Министр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мая 2017 года № 281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Проект </w:t>
            </w:r>
          </w:p>
        </w:tc>
      </w:tr>
    </w:tbl>
    <w:bookmarkStart w:name="z9" w:id="3"/>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о совместном использовании экспериментального комплекса на базе казахстанского материаловедческого токамака </w:t>
      </w:r>
    </w:p>
    <w:bookmarkEnd w:id="3"/>
    <w:bookmarkStart w:name="z10" w:id="4"/>
    <w:p>
      <w:pPr>
        <w:spacing w:after="0"/>
        <w:ind w:left="0"/>
        <w:jc w:val="both"/>
      </w:pPr>
      <w:r>
        <w:rPr>
          <w:rFonts w:ascii="Times New Roman"/>
          <w:b w:val="false"/>
          <w:i w:val="false"/>
          <w:color w:val="000000"/>
          <w:sz w:val="28"/>
        </w:rPr>
        <w:t>
      Правительства государств – участников СНГ, далее именуемые Сторонами,</w:t>
      </w:r>
    </w:p>
    <w:bookmarkEnd w:id="4"/>
    <w:bookmarkStart w:name="z11" w:id="5"/>
    <w:p>
      <w:pPr>
        <w:spacing w:after="0"/>
        <w:ind w:left="0"/>
        <w:jc w:val="both"/>
      </w:pPr>
      <w:r>
        <w:rPr>
          <w:rFonts w:ascii="Times New Roman"/>
          <w:b w:val="false"/>
          <w:i w:val="false"/>
          <w:color w:val="000000"/>
          <w:sz w:val="28"/>
        </w:rPr>
        <w:t>
      основываясь на Соглашении об основных принципах сотрудничества в области мирного использования атомной энергии от 26 июня 1992 года и принимая во внимание Соглашение о координации межгосударственных отношений государств – участников СНГ в области использования атомной энергии в мирных целях от 31 мая 2013 года,</w:t>
      </w:r>
    </w:p>
    <w:bookmarkEnd w:id="5"/>
    <w:bookmarkStart w:name="z12" w:id="6"/>
    <w:p>
      <w:pPr>
        <w:spacing w:after="0"/>
        <w:ind w:left="0"/>
        <w:jc w:val="both"/>
      </w:pPr>
      <w:r>
        <w:rPr>
          <w:rFonts w:ascii="Times New Roman"/>
          <w:b w:val="false"/>
          <w:i w:val="false"/>
          <w:color w:val="000000"/>
          <w:sz w:val="28"/>
        </w:rPr>
        <w:t>
      учитывая роль атомной отрасли в экономическом и социальном развитии государств – участников СНГ,</w:t>
      </w:r>
    </w:p>
    <w:bookmarkEnd w:id="6"/>
    <w:bookmarkStart w:name="z13" w:id="7"/>
    <w:p>
      <w:pPr>
        <w:spacing w:after="0"/>
        <w:ind w:left="0"/>
        <w:jc w:val="both"/>
      </w:pPr>
      <w:r>
        <w:rPr>
          <w:rFonts w:ascii="Times New Roman"/>
          <w:b w:val="false"/>
          <w:i w:val="false"/>
          <w:color w:val="000000"/>
          <w:sz w:val="28"/>
        </w:rPr>
        <w:t xml:space="preserve">
      признавая совместную заинтересованность в координации действий в эффективном решении актуальных вопросов в атомной отрасли государств – участников СНГ, </w:t>
      </w:r>
    </w:p>
    <w:bookmarkEnd w:id="7"/>
    <w:bookmarkStart w:name="z14" w:id="8"/>
    <w:p>
      <w:pPr>
        <w:spacing w:after="0"/>
        <w:ind w:left="0"/>
        <w:jc w:val="both"/>
      </w:pPr>
      <w:r>
        <w:rPr>
          <w:rFonts w:ascii="Times New Roman"/>
          <w:b w:val="false"/>
          <w:i w:val="false"/>
          <w:color w:val="000000"/>
          <w:sz w:val="28"/>
        </w:rPr>
        <w:t>
      исходя из необходимости укрепления ядерной и радиационной безопасности путем совершенствования нормативно-правовых инструментов и перехода к новым инновационным технологиям, соответствующим требованиям устойчивого развития, нераспространения и гарантированного обеспечения ядерной и радиационной безопасности,</w:t>
      </w:r>
    </w:p>
    <w:bookmarkEnd w:id="8"/>
    <w:bookmarkStart w:name="z15" w:id="9"/>
    <w:p>
      <w:pPr>
        <w:spacing w:after="0"/>
        <w:ind w:left="0"/>
        <w:jc w:val="both"/>
      </w:pPr>
      <w:r>
        <w:rPr>
          <w:rFonts w:ascii="Times New Roman"/>
          <w:b w:val="false"/>
          <w:i w:val="false"/>
          <w:color w:val="000000"/>
          <w:sz w:val="28"/>
        </w:rPr>
        <w:t>
      для эффективного выполнения обязательств по международным договорам, участниками которых являются их государства,</w:t>
      </w:r>
    </w:p>
    <w:bookmarkEnd w:id="9"/>
    <w:bookmarkStart w:name="z16" w:id="10"/>
    <w:p>
      <w:pPr>
        <w:spacing w:after="0"/>
        <w:ind w:left="0"/>
        <w:jc w:val="both"/>
      </w:pPr>
      <w:r>
        <w:rPr>
          <w:rFonts w:ascii="Times New Roman"/>
          <w:b w:val="false"/>
          <w:i w:val="false"/>
          <w:color w:val="000000"/>
          <w:sz w:val="28"/>
        </w:rPr>
        <w:t xml:space="preserve">
      а также в целях совместного использования экспериментального комплекса на базе казахстанского материаловедческого токамака </w:t>
      </w:r>
    </w:p>
    <w:bookmarkEnd w:id="10"/>
    <w:bookmarkStart w:name="z17" w:id="11"/>
    <w:p>
      <w:pPr>
        <w:spacing w:after="0"/>
        <w:ind w:left="0"/>
        <w:jc w:val="both"/>
      </w:pPr>
      <w:r>
        <w:rPr>
          <w:rFonts w:ascii="Times New Roman"/>
          <w:b w:val="false"/>
          <w:i w:val="false"/>
          <w:color w:val="000000"/>
          <w:sz w:val="28"/>
        </w:rPr>
        <w:t>
      согласились о нижеследующем:</w:t>
      </w:r>
    </w:p>
    <w:bookmarkEnd w:id="11"/>
    <w:bookmarkStart w:name="z18" w:id="12"/>
    <w:p>
      <w:pPr>
        <w:spacing w:after="0"/>
        <w:ind w:left="0"/>
        <w:jc w:val="left"/>
      </w:pPr>
      <w:r>
        <w:rPr>
          <w:rFonts w:ascii="Times New Roman"/>
          <w:b/>
          <w:i w:val="false"/>
          <w:color w:val="000000"/>
        </w:rPr>
        <w:t xml:space="preserve"> Статья 1</w:t>
      </w:r>
    </w:p>
    <w:bookmarkEnd w:id="12"/>
    <w:bookmarkStart w:name="z19" w:id="13"/>
    <w:p>
      <w:pPr>
        <w:spacing w:after="0"/>
        <w:ind w:left="0"/>
        <w:jc w:val="both"/>
      </w:pPr>
      <w:r>
        <w:rPr>
          <w:rFonts w:ascii="Times New Roman"/>
          <w:b w:val="false"/>
          <w:i w:val="false"/>
          <w:color w:val="000000"/>
          <w:sz w:val="28"/>
        </w:rPr>
        <w:t>
      Стороны осуществляют сотрудничество в проведении исследований в области управляемого термоядерного синтеза, физики высокотемпературной плазмы, исследований и испытаний конструкционных материалов и узлов будущих энергетических термоядерных реакторов на базе казахстанского материаловедческого токамака (далее – КТМ) Национального ядерного центра Республики Казахстан.</w:t>
      </w:r>
    </w:p>
    <w:bookmarkEnd w:id="13"/>
    <w:bookmarkStart w:name="z20" w:id="14"/>
    <w:p>
      <w:pPr>
        <w:spacing w:after="0"/>
        <w:ind w:left="0"/>
        <w:jc w:val="left"/>
      </w:pPr>
      <w:r>
        <w:rPr>
          <w:rFonts w:ascii="Times New Roman"/>
          <w:b/>
          <w:i w:val="false"/>
          <w:color w:val="000000"/>
        </w:rPr>
        <w:t xml:space="preserve"> Статья 2</w:t>
      </w:r>
    </w:p>
    <w:bookmarkEnd w:id="14"/>
    <w:bookmarkStart w:name="z21" w:id="15"/>
    <w:p>
      <w:pPr>
        <w:spacing w:after="0"/>
        <w:ind w:left="0"/>
        <w:jc w:val="both"/>
      </w:pPr>
      <w:r>
        <w:rPr>
          <w:rFonts w:ascii="Times New Roman"/>
          <w:b w:val="false"/>
          <w:i w:val="false"/>
          <w:color w:val="000000"/>
          <w:sz w:val="28"/>
        </w:rPr>
        <w:t>
      Сотрудничество осуществляется по следующим направлениям:</w:t>
      </w:r>
    </w:p>
    <w:bookmarkEnd w:id="15"/>
    <w:bookmarkStart w:name="z22" w:id="16"/>
    <w:p>
      <w:pPr>
        <w:spacing w:after="0"/>
        <w:ind w:left="0"/>
        <w:jc w:val="both"/>
      </w:pPr>
      <w:r>
        <w:rPr>
          <w:rFonts w:ascii="Times New Roman"/>
          <w:b w:val="false"/>
          <w:i w:val="false"/>
          <w:color w:val="000000"/>
          <w:sz w:val="28"/>
        </w:rPr>
        <w:t>
      физика токамаков и физика плазмы токамаков;</w:t>
      </w:r>
    </w:p>
    <w:bookmarkEnd w:id="16"/>
    <w:bookmarkStart w:name="z23" w:id="17"/>
    <w:p>
      <w:pPr>
        <w:spacing w:after="0"/>
        <w:ind w:left="0"/>
        <w:jc w:val="both"/>
      </w:pPr>
      <w:r>
        <w:rPr>
          <w:rFonts w:ascii="Times New Roman"/>
          <w:b w:val="false"/>
          <w:i w:val="false"/>
          <w:color w:val="000000"/>
          <w:sz w:val="28"/>
        </w:rPr>
        <w:t>
      исследования и испытания конструкционных материалов термоядерного реактора;</w:t>
      </w:r>
    </w:p>
    <w:bookmarkEnd w:id="17"/>
    <w:bookmarkStart w:name="z24" w:id="18"/>
    <w:p>
      <w:pPr>
        <w:spacing w:after="0"/>
        <w:ind w:left="0"/>
        <w:jc w:val="both"/>
      </w:pPr>
      <w:r>
        <w:rPr>
          <w:rFonts w:ascii="Times New Roman"/>
          <w:b w:val="false"/>
          <w:i w:val="false"/>
          <w:color w:val="000000"/>
          <w:sz w:val="28"/>
        </w:rPr>
        <w:t>
      создание и отработка новой диагностики для исследования высокотемпературной плазмы и взаимодействие плазма-стенка;</w:t>
      </w:r>
    </w:p>
    <w:bookmarkEnd w:id="18"/>
    <w:bookmarkStart w:name="z25" w:id="19"/>
    <w:p>
      <w:pPr>
        <w:spacing w:after="0"/>
        <w:ind w:left="0"/>
        <w:jc w:val="both"/>
      </w:pPr>
      <w:r>
        <w:rPr>
          <w:rFonts w:ascii="Times New Roman"/>
          <w:b w:val="false"/>
          <w:i w:val="false"/>
          <w:color w:val="000000"/>
          <w:sz w:val="28"/>
        </w:rPr>
        <w:t>
      моделирование процессов и методов управления плазмой в токамаке;</w:t>
      </w:r>
    </w:p>
    <w:bookmarkEnd w:id="19"/>
    <w:bookmarkStart w:name="z26" w:id="20"/>
    <w:p>
      <w:pPr>
        <w:spacing w:after="0"/>
        <w:ind w:left="0"/>
        <w:jc w:val="both"/>
      </w:pPr>
      <w:r>
        <w:rPr>
          <w:rFonts w:ascii="Times New Roman"/>
          <w:b w:val="false"/>
          <w:i w:val="false"/>
          <w:color w:val="000000"/>
          <w:sz w:val="28"/>
        </w:rPr>
        <w:t>
      отработка высокоресурсных конструкций, обращенных к плазме элементов токамака, режимов высокочастотного нагрева и генерации неиндуктивного тока в интересах проектов Международного экспериментального термоядерного реактора и электростанции, использующей термоядерный синтез;</w:t>
      </w:r>
    </w:p>
    <w:bookmarkEnd w:id="20"/>
    <w:bookmarkStart w:name="z27" w:id="21"/>
    <w:p>
      <w:pPr>
        <w:spacing w:after="0"/>
        <w:ind w:left="0"/>
        <w:jc w:val="both"/>
      </w:pPr>
      <w:r>
        <w:rPr>
          <w:rFonts w:ascii="Times New Roman"/>
          <w:b w:val="false"/>
          <w:i w:val="false"/>
          <w:color w:val="000000"/>
          <w:sz w:val="28"/>
        </w:rPr>
        <w:t>
      литиевые и другие инновационные технологии;</w:t>
      </w:r>
    </w:p>
    <w:bookmarkEnd w:id="21"/>
    <w:bookmarkStart w:name="z28" w:id="22"/>
    <w:p>
      <w:pPr>
        <w:spacing w:after="0"/>
        <w:ind w:left="0"/>
        <w:jc w:val="both"/>
      </w:pPr>
      <w:r>
        <w:rPr>
          <w:rFonts w:ascii="Times New Roman"/>
          <w:b w:val="false"/>
          <w:i w:val="false"/>
          <w:color w:val="000000"/>
          <w:sz w:val="28"/>
        </w:rPr>
        <w:t>
      создание основ энергетики на базе управляемого термоядерного синтеза;</w:t>
      </w:r>
    </w:p>
    <w:bookmarkEnd w:id="22"/>
    <w:bookmarkStart w:name="z29" w:id="23"/>
    <w:p>
      <w:pPr>
        <w:spacing w:after="0"/>
        <w:ind w:left="0"/>
        <w:jc w:val="both"/>
      </w:pPr>
      <w:r>
        <w:rPr>
          <w:rFonts w:ascii="Times New Roman"/>
          <w:b w:val="false"/>
          <w:i w:val="false"/>
          <w:color w:val="000000"/>
          <w:sz w:val="28"/>
        </w:rPr>
        <w:t>
      совместная разработка проектов, технических решений, новых технологий, соответствующих взаимному интересу Сторон, и иные направления сотрудничества в области термоядерного синтеза.</w:t>
      </w:r>
    </w:p>
    <w:bookmarkEnd w:id="23"/>
    <w:bookmarkStart w:name="z30" w:id="24"/>
    <w:p>
      <w:pPr>
        <w:spacing w:after="0"/>
        <w:ind w:left="0"/>
        <w:jc w:val="left"/>
      </w:pPr>
      <w:r>
        <w:rPr>
          <w:rFonts w:ascii="Times New Roman"/>
          <w:b/>
          <w:i w:val="false"/>
          <w:color w:val="000000"/>
        </w:rPr>
        <w:t xml:space="preserve"> Статья 3</w:t>
      </w:r>
    </w:p>
    <w:bookmarkEnd w:id="24"/>
    <w:bookmarkStart w:name="z31" w:id="25"/>
    <w:p>
      <w:pPr>
        <w:spacing w:after="0"/>
        <w:ind w:left="0"/>
        <w:jc w:val="both"/>
      </w:pPr>
      <w:r>
        <w:rPr>
          <w:rFonts w:ascii="Times New Roman"/>
          <w:b w:val="false"/>
          <w:i w:val="false"/>
          <w:color w:val="000000"/>
          <w:sz w:val="28"/>
        </w:rPr>
        <w:t xml:space="preserve">
      Сотрудничество, предусмотренное </w:t>
      </w:r>
      <w:r>
        <w:rPr>
          <w:rFonts w:ascii="Times New Roman"/>
          <w:b w:val="false"/>
          <w:i w:val="false"/>
          <w:color w:val="000000"/>
          <w:sz w:val="28"/>
        </w:rPr>
        <w:t>статьей 2</w:t>
      </w:r>
      <w:r>
        <w:rPr>
          <w:rFonts w:ascii="Times New Roman"/>
          <w:b w:val="false"/>
          <w:i w:val="false"/>
          <w:color w:val="000000"/>
          <w:sz w:val="28"/>
        </w:rPr>
        <w:t xml:space="preserve"> настоящего Соглашения, осуществляется посредством:</w:t>
      </w:r>
    </w:p>
    <w:bookmarkEnd w:id="25"/>
    <w:bookmarkStart w:name="z32" w:id="26"/>
    <w:p>
      <w:pPr>
        <w:spacing w:after="0"/>
        <w:ind w:left="0"/>
        <w:jc w:val="both"/>
      </w:pPr>
      <w:r>
        <w:rPr>
          <w:rFonts w:ascii="Times New Roman"/>
          <w:b w:val="false"/>
          <w:i w:val="false"/>
          <w:color w:val="000000"/>
          <w:sz w:val="28"/>
        </w:rPr>
        <w:t>
      координации исследований, проводимых в рамках настоящего Соглашения;</w:t>
      </w:r>
    </w:p>
    <w:bookmarkEnd w:id="26"/>
    <w:bookmarkStart w:name="z33" w:id="27"/>
    <w:p>
      <w:pPr>
        <w:spacing w:after="0"/>
        <w:ind w:left="0"/>
        <w:jc w:val="both"/>
      </w:pPr>
      <w:r>
        <w:rPr>
          <w:rFonts w:ascii="Times New Roman"/>
          <w:b w:val="false"/>
          <w:i w:val="false"/>
          <w:color w:val="000000"/>
          <w:sz w:val="28"/>
        </w:rPr>
        <w:t xml:space="preserve">
      обмена информацией; </w:t>
      </w:r>
    </w:p>
    <w:bookmarkEnd w:id="27"/>
    <w:bookmarkStart w:name="z34" w:id="28"/>
    <w:p>
      <w:pPr>
        <w:spacing w:after="0"/>
        <w:ind w:left="0"/>
        <w:jc w:val="both"/>
      </w:pPr>
      <w:r>
        <w:rPr>
          <w:rFonts w:ascii="Times New Roman"/>
          <w:b w:val="false"/>
          <w:i w:val="false"/>
          <w:color w:val="000000"/>
          <w:sz w:val="28"/>
        </w:rPr>
        <w:t>
      направления ученых, инженеров, студентов и технических экспертов для работы на основе проекта программы научных исследований на КТМ и участия специалистов в работах на установках термоядерного синтеза, находящихся на территориях государств – участников настоящего Соглашения;</w:t>
      </w:r>
    </w:p>
    <w:bookmarkEnd w:id="28"/>
    <w:bookmarkStart w:name="z35" w:id="29"/>
    <w:p>
      <w:pPr>
        <w:spacing w:after="0"/>
        <w:ind w:left="0"/>
        <w:jc w:val="both"/>
      </w:pPr>
      <w:r>
        <w:rPr>
          <w:rFonts w:ascii="Times New Roman"/>
          <w:b w:val="false"/>
          <w:i w:val="false"/>
          <w:color w:val="000000"/>
          <w:sz w:val="28"/>
        </w:rPr>
        <w:t>
      обмена образцами, материалами, оборудованием и программным обеспечением;</w:t>
      </w:r>
    </w:p>
    <w:bookmarkEnd w:id="29"/>
    <w:bookmarkStart w:name="z36" w:id="30"/>
    <w:p>
      <w:pPr>
        <w:spacing w:after="0"/>
        <w:ind w:left="0"/>
        <w:jc w:val="both"/>
      </w:pPr>
      <w:r>
        <w:rPr>
          <w:rFonts w:ascii="Times New Roman"/>
          <w:b w:val="false"/>
          <w:i w:val="false"/>
          <w:color w:val="000000"/>
          <w:sz w:val="28"/>
        </w:rPr>
        <w:t>
      проведения совместных научных исследований, конференций, семинаров, а также совместных публикаций.</w:t>
      </w:r>
    </w:p>
    <w:bookmarkEnd w:id="30"/>
    <w:bookmarkStart w:name="z37" w:id="31"/>
    <w:p>
      <w:pPr>
        <w:spacing w:after="0"/>
        <w:ind w:left="0"/>
        <w:jc w:val="left"/>
      </w:pPr>
      <w:r>
        <w:rPr>
          <w:rFonts w:ascii="Times New Roman"/>
          <w:b/>
          <w:i w:val="false"/>
          <w:color w:val="000000"/>
        </w:rPr>
        <w:t xml:space="preserve"> Статья 4</w:t>
      </w:r>
    </w:p>
    <w:bookmarkEnd w:id="31"/>
    <w:bookmarkStart w:name="z38" w:id="32"/>
    <w:p>
      <w:pPr>
        <w:spacing w:after="0"/>
        <w:ind w:left="0"/>
        <w:jc w:val="both"/>
      </w:pPr>
      <w:r>
        <w:rPr>
          <w:rFonts w:ascii="Times New Roman"/>
          <w:b w:val="false"/>
          <w:i w:val="false"/>
          <w:color w:val="000000"/>
          <w:sz w:val="28"/>
        </w:rPr>
        <w:t>
      Каждая Сторона определяет уполномоченный (компетентный) орган, на который возлагается реализация настоящего Соглашения, о чем информирует депозитарий настоящего Соглашения одновременно с уведомлением о выполнении внутригосударственных процедур, необходимых для вступления настоящего Соглашения в силу.</w:t>
      </w:r>
    </w:p>
    <w:bookmarkEnd w:id="32"/>
    <w:bookmarkStart w:name="z39" w:id="33"/>
    <w:p>
      <w:pPr>
        <w:spacing w:after="0"/>
        <w:ind w:left="0"/>
        <w:jc w:val="both"/>
      </w:pPr>
      <w:r>
        <w:rPr>
          <w:rFonts w:ascii="Times New Roman"/>
          <w:b w:val="false"/>
          <w:i w:val="false"/>
          <w:color w:val="000000"/>
          <w:sz w:val="28"/>
        </w:rPr>
        <w:t>
      Функции уполномоченного (компетентного) органа могут выполнять министерство, ведомство, государственная корпорация или иная организация, обеспечивающая координацию деятельности Стороны в области использования атомной энергии в мирных целях.</w:t>
      </w:r>
    </w:p>
    <w:bookmarkEnd w:id="33"/>
    <w:bookmarkStart w:name="z40" w:id="34"/>
    <w:p>
      <w:pPr>
        <w:spacing w:after="0"/>
        <w:ind w:left="0"/>
        <w:jc w:val="both"/>
      </w:pPr>
      <w:r>
        <w:rPr>
          <w:rFonts w:ascii="Times New Roman"/>
          <w:b w:val="false"/>
          <w:i w:val="false"/>
          <w:color w:val="000000"/>
          <w:sz w:val="28"/>
        </w:rPr>
        <w:t>
      В случае изменения уполномоченного (компетентного) органа (или его наименования), соответствующая Сторона в течение 30 календарных дней информирует об этом депозитарий настоящего Соглашения.</w:t>
      </w:r>
    </w:p>
    <w:bookmarkEnd w:id="34"/>
    <w:bookmarkStart w:name="z41" w:id="35"/>
    <w:p>
      <w:pPr>
        <w:spacing w:after="0"/>
        <w:ind w:left="0"/>
        <w:jc w:val="left"/>
      </w:pPr>
      <w:r>
        <w:rPr>
          <w:rFonts w:ascii="Times New Roman"/>
          <w:b/>
          <w:i w:val="false"/>
          <w:color w:val="000000"/>
        </w:rPr>
        <w:t xml:space="preserve"> Статья 5</w:t>
      </w:r>
    </w:p>
    <w:bookmarkEnd w:id="35"/>
    <w:bookmarkStart w:name="z42" w:id="36"/>
    <w:p>
      <w:pPr>
        <w:spacing w:after="0"/>
        <w:ind w:left="0"/>
        <w:jc w:val="both"/>
      </w:pPr>
      <w:r>
        <w:rPr>
          <w:rFonts w:ascii="Times New Roman"/>
          <w:b w:val="false"/>
          <w:i w:val="false"/>
          <w:color w:val="000000"/>
          <w:sz w:val="28"/>
        </w:rPr>
        <w:t xml:space="preserve">
      Финансирование совместных мероприятий, программ и работ, проводимых на базе КТМ и определенных </w:t>
      </w:r>
      <w:r>
        <w:rPr>
          <w:rFonts w:ascii="Times New Roman"/>
          <w:b w:val="false"/>
          <w:i w:val="false"/>
          <w:color w:val="000000"/>
          <w:sz w:val="28"/>
        </w:rPr>
        <w:t>статьей 3</w:t>
      </w:r>
      <w:r>
        <w:rPr>
          <w:rFonts w:ascii="Times New Roman"/>
          <w:b w:val="false"/>
          <w:i w:val="false"/>
          <w:color w:val="000000"/>
          <w:sz w:val="28"/>
        </w:rPr>
        <w:t xml:space="preserve"> настоящего Соглашения, осуществляется за счет средств, предусмотренных в национальных бюджетах соответствующим министерствам, ведомствам, государственным корпорациям или иным организациям для выполнения исследовательских проектов по соответствующим тематикам, а также привлечения средств хозяйствующих субъектов и средств внебюджетных источников на договорной основе.</w:t>
      </w:r>
    </w:p>
    <w:bookmarkEnd w:id="36"/>
    <w:bookmarkStart w:name="z43" w:id="37"/>
    <w:p>
      <w:pPr>
        <w:spacing w:after="0"/>
        <w:ind w:left="0"/>
        <w:jc w:val="left"/>
      </w:pPr>
      <w:r>
        <w:rPr>
          <w:rFonts w:ascii="Times New Roman"/>
          <w:b/>
          <w:i w:val="false"/>
          <w:color w:val="000000"/>
        </w:rPr>
        <w:t xml:space="preserve"> Статья 6</w:t>
      </w:r>
    </w:p>
    <w:bookmarkEnd w:id="37"/>
    <w:bookmarkStart w:name="z44" w:id="38"/>
    <w:p>
      <w:pPr>
        <w:spacing w:after="0"/>
        <w:ind w:left="0"/>
        <w:jc w:val="both"/>
      </w:pPr>
      <w:r>
        <w:rPr>
          <w:rFonts w:ascii="Times New Roman"/>
          <w:b w:val="false"/>
          <w:i w:val="false"/>
          <w:color w:val="000000"/>
          <w:sz w:val="28"/>
        </w:rPr>
        <w:t>
      Координация взаимодействия уполномоченных (компетентных) органов по реализации настоящего Соглашения осуществляется Комиссией государств – участников СНГ по использованию атомной энергии в мирных целях (далее – Комиссия).</w:t>
      </w:r>
    </w:p>
    <w:bookmarkEnd w:id="38"/>
    <w:bookmarkStart w:name="z45" w:id="39"/>
    <w:p>
      <w:pPr>
        <w:spacing w:after="0"/>
        <w:ind w:left="0"/>
        <w:jc w:val="both"/>
      </w:pPr>
      <w:r>
        <w:rPr>
          <w:rFonts w:ascii="Times New Roman"/>
          <w:b w:val="false"/>
          <w:i w:val="false"/>
          <w:color w:val="000000"/>
          <w:sz w:val="28"/>
        </w:rPr>
        <w:t xml:space="preserve">
      Представители уполномоченных (компетентных) органов по реализации настоящего Соглашения образуют научно-технический совет, который является коллегиальным общественным консультативным органом, подотчетным Комиссии. Положение о научно-техническом совете разрабатывается и утверждается Комиссией. </w:t>
      </w:r>
    </w:p>
    <w:bookmarkEnd w:id="39"/>
    <w:bookmarkStart w:name="z46" w:id="40"/>
    <w:p>
      <w:pPr>
        <w:spacing w:after="0"/>
        <w:ind w:left="0"/>
        <w:jc w:val="left"/>
      </w:pPr>
      <w:r>
        <w:rPr>
          <w:rFonts w:ascii="Times New Roman"/>
          <w:b/>
          <w:i w:val="false"/>
          <w:color w:val="000000"/>
        </w:rPr>
        <w:t xml:space="preserve"> Статья 7</w:t>
      </w:r>
    </w:p>
    <w:bookmarkEnd w:id="40"/>
    <w:bookmarkStart w:name="z47" w:id="41"/>
    <w:p>
      <w:pPr>
        <w:spacing w:after="0"/>
        <w:ind w:left="0"/>
        <w:jc w:val="both"/>
      </w:pPr>
      <w:r>
        <w:rPr>
          <w:rFonts w:ascii="Times New Roman"/>
          <w:b w:val="false"/>
          <w:i w:val="false"/>
          <w:color w:val="000000"/>
          <w:sz w:val="28"/>
        </w:rPr>
        <w:t xml:space="preserve">
      Сотрудничество государств – участников СНГ в проведении исследований на базе КТМ основывается на следующих принципах: </w:t>
      </w:r>
    </w:p>
    <w:bookmarkEnd w:id="41"/>
    <w:bookmarkStart w:name="z48" w:id="42"/>
    <w:p>
      <w:pPr>
        <w:spacing w:after="0"/>
        <w:ind w:left="0"/>
        <w:jc w:val="both"/>
      </w:pPr>
      <w:r>
        <w:rPr>
          <w:rFonts w:ascii="Times New Roman"/>
          <w:b w:val="false"/>
          <w:i w:val="false"/>
          <w:color w:val="000000"/>
          <w:sz w:val="28"/>
        </w:rPr>
        <w:t xml:space="preserve">
      1. Любой материал, оборудование или технологии, созданные или полученные в соответствии с настоящим Соглашением, будут использованы исключительно в мирных целях. </w:t>
      </w:r>
    </w:p>
    <w:bookmarkEnd w:id="42"/>
    <w:bookmarkStart w:name="z49" w:id="43"/>
    <w:p>
      <w:pPr>
        <w:spacing w:after="0"/>
        <w:ind w:left="0"/>
        <w:jc w:val="both"/>
      </w:pPr>
      <w:r>
        <w:rPr>
          <w:rFonts w:ascii="Times New Roman"/>
          <w:b w:val="false"/>
          <w:i w:val="false"/>
          <w:color w:val="000000"/>
          <w:sz w:val="28"/>
        </w:rPr>
        <w:t>
      2. Материалы, оборудование или технологии, полученные или созданные в соответствии с настоящим Соглашением, не передаются какой-либо третьей стороне для использования в производстве ядерного оружия или других ядерных взрывных устройств, или их приобретения каким-либо иным образом, или для любых военных целей.</w:t>
      </w:r>
    </w:p>
    <w:bookmarkEnd w:id="43"/>
    <w:bookmarkStart w:name="z50" w:id="44"/>
    <w:p>
      <w:pPr>
        <w:spacing w:after="0"/>
        <w:ind w:left="0"/>
        <w:jc w:val="both"/>
      </w:pPr>
      <w:r>
        <w:rPr>
          <w:rFonts w:ascii="Times New Roman"/>
          <w:b w:val="false"/>
          <w:i w:val="false"/>
          <w:color w:val="000000"/>
          <w:sz w:val="28"/>
        </w:rPr>
        <w:t>
      3. При передаче третьим странам для использования в мирных целях материалов, оборудования или технологий, полученных или созданных в соответствии с настоящим Соглашением, если они упомянуты в документах МАГАТЭ INFCIRC/254/Rev.12/Part 1 и INFCIRC/254/Rev.9/Part 2 с учетом изменений, вносимых в данные документы, Стороны будут руководствоваться принципами, сформулированными в упомянутых документах. Любое такое изменение вступает в силу в рамках настоящего Соглашения только в том случае, если Стороны проинформируют друг друга в письменной форме по дипломатическим каналам о том, что они принимают такое изменение.</w:t>
      </w:r>
    </w:p>
    <w:bookmarkEnd w:id="44"/>
    <w:bookmarkStart w:name="z51" w:id="45"/>
    <w:p>
      <w:pPr>
        <w:spacing w:after="0"/>
        <w:ind w:left="0"/>
        <w:jc w:val="both"/>
      </w:pPr>
      <w:r>
        <w:rPr>
          <w:rFonts w:ascii="Times New Roman"/>
          <w:b w:val="false"/>
          <w:i w:val="false"/>
          <w:color w:val="000000"/>
          <w:sz w:val="28"/>
        </w:rPr>
        <w:t>
      4. Для осуществления политики ядерного нераспространения Стороны соглашаются консультироваться по любым вопросам, связанным с выполнением настоящей статьи.</w:t>
      </w:r>
    </w:p>
    <w:bookmarkEnd w:id="45"/>
    <w:bookmarkStart w:name="z52" w:id="46"/>
    <w:p>
      <w:pPr>
        <w:spacing w:after="0"/>
        <w:ind w:left="0"/>
        <w:jc w:val="both"/>
      </w:pPr>
      <w:r>
        <w:rPr>
          <w:rFonts w:ascii="Times New Roman"/>
          <w:b w:val="false"/>
          <w:i w:val="false"/>
          <w:color w:val="000000"/>
          <w:sz w:val="28"/>
        </w:rPr>
        <w:t>
      5. Передача материалов, оборудования или технологий в рамках настоящего Соглашения осуществляется с соблюдением законов и иных нормативных актов государств – участников настоящего Соглашения, касающихся экспортного контроля.</w:t>
      </w:r>
    </w:p>
    <w:bookmarkEnd w:id="46"/>
    <w:bookmarkStart w:name="z53" w:id="47"/>
    <w:p>
      <w:pPr>
        <w:spacing w:after="0"/>
        <w:ind w:left="0"/>
        <w:jc w:val="both"/>
      </w:pPr>
      <w:r>
        <w:rPr>
          <w:rFonts w:ascii="Times New Roman"/>
          <w:b w:val="false"/>
          <w:i w:val="false"/>
          <w:color w:val="000000"/>
          <w:sz w:val="28"/>
        </w:rPr>
        <w:t>
      Принципы настоящей статьи не затрагивают права Сторон на использование материалов, оборудования или технологий, приобретенных или разработанных ими независимо от настоящего Соглашения, для своих целей.</w:t>
      </w:r>
    </w:p>
    <w:bookmarkEnd w:id="47"/>
    <w:bookmarkStart w:name="z54" w:id="48"/>
    <w:p>
      <w:pPr>
        <w:spacing w:after="0"/>
        <w:ind w:left="0"/>
        <w:jc w:val="left"/>
      </w:pPr>
      <w:r>
        <w:rPr>
          <w:rFonts w:ascii="Times New Roman"/>
          <w:b/>
          <w:i w:val="false"/>
          <w:color w:val="000000"/>
        </w:rPr>
        <w:t xml:space="preserve"> Статья 8</w:t>
      </w:r>
    </w:p>
    <w:bookmarkEnd w:id="48"/>
    <w:p>
      <w:pPr>
        <w:spacing w:after="0"/>
        <w:ind w:left="0"/>
        <w:jc w:val="both"/>
      </w:pPr>
      <w:r>
        <w:rPr>
          <w:rFonts w:ascii="Times New Roman"/>
          <w:b w:val="false"/>
          <w:i w:val="false"/>
          <w:color w:val="000000"/>
          <w:sz w:val="28"/>
        </w:rPr>
        <w:t>
      1. Для целей настоящего Соглашения термин "интеллектуальная собственность" понимается в значении, предусмотренном статьей 2 Конвенции, учреждающей Всемирную организацию интеллектуальной собственности, от 14 июля 1967 года.</w:t>
      </w:r>
    </w:p>
    <w:bookmarkStart w:name="z55" w:id="49"/>
    <w:p>
      <w:pPr>
        <w:spacing w:after="0"/>
        <w:ind w:left="0"/>
        <w:jc w:val="both"/>
      </w:pPr>
      <w:r>
        <w:rPr>
          <w:rFonts w:ascii="Times New Roman"/>
          <w:b w:val="false"/>
          <w:i w:val="false"/>
          <w:color w:val="000000"/>
          <w:sz w:val="28"/>
        </w:rPr>
        <w:t>
      2. При осуществлении сотрудничества в рамках настоящего Соглашения не возникает обязанности уполномоченных</w:t>
      </w:r>
      <w:r>
        <w:rPr>
          <w:rFonts w:ascii="Times New Roman"/>
          <w:b/>
          <w:i w:val="false"/>
          <w:color w:val="000000"/>
          <w:sz w:val="28"/>
        </w:rPr>
        <w:t xml:space="preserve"> (</w:t>
      </w:r>
      <w:r>
        <w:rPr>
          <w:rFonts w:ascii="Times New Roman"/>
          <w:b w:val="false"/>
          <w:i w:val="false"/>
          <w:color w:val="000000"/>
          <w:sz w:val="28"/>
        </w:rPr>
        <w:t>компетентных</w:t>
      </w:r>
      <w:r>
        <w:rPr>
          <w:rFonts w:ascii="Times New Roman"/>
          <w:b/>
          <w:i w:val="false"/>
          <w:color w:val="000000"/>
          <w:sz w:val="28"/>
        </w:rPr>
        <w:t>)</w:t>
      </w:r>
      <w:r>
        <w:rPr>
          <w:rFonts w:ascii="Times New Roman"/>
          <w:b w:val="false"/>
          <w:i w:val="false"/>
          <w:color w:val="000000"/>
          <w:sz w:val="28"/>
        </w:rPr>
        <w:t xml:space="preserve"> органов или иных организаций государств – участников настоящего Соглашения предоставить (передать) принадлежащую им интеллектуальную собственность, полученную вне рамок или до подписания настоящего Соглашения (далее – предшествующая интеллектуальная собственность).</w:t>
      </w:r>
    </w:p>
    <w:bookmarkEnd w:id="49"/>
    <w:bookmarkStart w:name="z56" w:id="50"/>
    <w:p>
      <w:pPr>
        <w:spacing w:after="0"/>
        <w:ind w:left="0"/>
        <w:jc w:val="both"/>
      </w:pPr>
      <w:r>
        <w:rPr>
          <w:rFonts w:ascii="Times New Roman"/>
          <w:b w:val="false"/>
          <w:i w:val="false"/>
          <w:color w:val="000000"/>
          <w:sz w:val="28"/>
        </w:rPr>
        <w:t>
      Предоставление (передача) предшествующей интеллектуальной собственности является предметом отдельных письменных соглашений, заключаемых уполномоченными (компетентными) органами или иными организациями государств – участников настоящего Соглашения в целях осуществления сотрудничества в ходе реализации настоящего Соглашения (далее – отдельные договоры).</w:t>
      </w:r>
    </w:p>
    <w:bookmarkEnd w:id="50"/>
    <w:bookmarkStart w:name="z57" w:id="51"/>
    <w:p>
      <w:pPr>
        <w:spacing w:after="0"/>
        <w:ind w:left="0"/>
        <w:jc w:val="both"/>
      </w:pPr>
      <w:r>
        <w:rPr>
          <w:rFonts w:ascii="Times New Roman"/>
          <w:b w:val="false"/>
          <w:i w:val="false"/>
          <w:color w:val="000000"/>
          <w:sz w:val="28"/>
        </w:rPr>
        <w:t>
      Предшествующая интеллектуальная собственность, предоставленная (переданная) уполномоченному (компетентному) органу или иной организации государств – участников настоящего Соглашения, будет использоваться согласно условиям заключенных отдельных договоров исключительно в целях реализации настоящего Соглашения и не будет предоставляться (передаваться) третьей стороне без письменного согласия уполномоченного (компетентного) органа или иной организации другой Стороны, предоставившей (передавшей) предшествующую интеллектуальную собственность.</w:t>
      </w:r>
    </w:p>
    <w:bookmarkEnd w:id="51"/>
    <w:bookmarkStart w:name="z58" w:id="52"/>
    <w:p>
      <w:pPr>
        <w:spacing w:after="0"/>
        <w:ind w:left="0"/>
        <w:jc w:val="both"/>
      </w:pPr>
      <w:r>
        <w:rPr>
          <w:rFonts w:ascii="Times New Roman"/>
          <w:b w:val="false"/>
          <w:i w:val="false"/>
          <w:color w:val="000000"/>
          <w:sz w:val="28"/>
        </w:rPr>
        <w:t>
      3. Права на охраноспособные результаты интеллектуальной деятельности, созданные в рамках проведения научно-исследовательских и (или) опытно-конструкторских работ (далее – полученная интеллектуальная собственность), подлежат закреплению за уполномоченными (компетентными) органами или иными организациями государств – участников настоящего Соглашения, участвовавшими в выполнении научно-исследовательских и (или) опытно-конструкторских работ, проводимых на установках КТМ, в ходе которых такие результаты созданы.</w:t>
      </w:r>
    </w:p>
    <w:bookmarkEnd w:id="52"/>
    <w:bookmarkStart w:name="z59" w:id="53"/>
    <w:p>
      <w:pPr>
        <w:spacing w:after="0"/>
        <w:ind w:left="0"/>
        <w:jc w:val="both"/>
      </w:pPr>
      <w:r>
        <w:rPr>
          <w:rFonts w:ascii="Times New Roman"/>
          <w:b w:val="false"/>
          <w:i w:val="false"/>
          <w:color w:val="000000"/>
          <w:sz w:val="28"/>
        </w:rPr>
        <w:t>
      Уполномоченным (компетентным) органам государств – участников настоящего Соглашения, не участвовавшим в выполнении научно-исследовательских и (или) опытно-конструкторских работ, по их запросу может быть предоставлена полученная интеллектуальная собственность на основе неисключительной лицензии для ведения научно-исследовательских и опытно-конструкторских работ в области термоядерного синтеза и с правом предоставления полученной интеллектуальной собственности на основе сублицензии.</w:t>
      </w:r>
    </w:p>
    <w:bookmarkEnd w:id="53"/>
    <w:bookmarkStart w:name="z60" w:id="54"/>
    <w:p>
      <w:pPr>
        <w:spacing w:after="0"/>
        <w:ind w:left="0"/>
        <w:jc w:val="both"/>
      </w:pPr>
      <w:r>
        <w:rPr>
          <w:rFonts w:ascii="Times New Roman"/>
          <w:b w:val="false"/>
          <w:i w:val="false"/>
          <w:color w:val="000000"/>
          <w:sz w:val="28"/>
        </w:rPr>
        <w:t>
      4. Порядок обеспечения правовой охраны полученной интеллектуальной собственности, распоряжения ею и ее защиты определяется в отдельных договорах, в которых подлежат отражению следующие принципы:</w:t>
      </w:r>
    </w:p>
    <w:bookmarkEnd w:id="54"/>
    <w:bookmarkStart w:name="z61" w:id="55"/>
    <w:p>
      <w:pPr>
        <w:spacing w:after="0"/>
        <w:ind w:left="0"/>
        <w:jc w:val="both"/>
      </w:pPr>
      <w:r>
        <w:rPr>
          <w:rFonts w:ascii="Times New Roman"/>
          <w:b w:val="false"/>
          <w:i w:val="false"/>
          <w:color w:val="000000"/>
          <w:sz w:val="28"/>
        </w:rPr>
        <w:t>
      обеспечение надлежащей правовой охраны результатов интеллектуальной деятельности, созданных в рамках выполнения научно-исследовательской и (или) опытно-конструкторской работы, а также предшествующей интеллектуальной собственности;</w:t>
      </w:r>
    </w:p>
    <w:bookmarkEnd w:id="55"/>
    <w:bookmarkStart w:name="z62" w:id="56"/>
    <w:p>
      <w:pPr>
        <w:spacing w:after="0"/>
        <w:ind w:left="0"/>
        <w:jc w:val="both"/>
      </w:pPr>
      <w:r>
        <w:rPr>
          <w:rFonts w:ascii="Times New Roman"/>
          <w:b w:val="false"/>
          <w:i w:val="false"/>
          <w:color w:val="000000"/>
          <w:sz w:val="28"/>
        </w:rPr>
        <w:t>
      обеспечение правовой охраны результатов интеллектуальной деятельности, созданных в рамках выполнения научно-исследовательской и (или) опытно-конструкторской работы, по письменному согласию уполномоченных (компетентных) органов или иных организаций государств – участников настоящего Соглашения, а также неразглашения сведений, касающихся таких результатов, до принятия решения об их правовой охране;</w:t>
      </w:r>
    </w:p>
    <w:bookmarkEnd w:id="56"/>
    <w:bookmarkStart w:name="z63" w:id="57"/>
    <w:p>
      <w:pPr>
        <w:spacing w:after="0"/>
        <w:ind w:left="0"/>
        <w:jc w:val="both"/>
      </w:pPr>
      <w:r>
        <w:rPr>
          <w:rFonts w:ascii="Times New Roman"/>
          <w:b w:val="false"/>
          <w:i w:val="false"/>
          <w:color w:val="000000"/>
          <w:sz w:val="28"/>
        </w:rPr>
        <w:t>
      предоставление предшествующей интеллектуальной собственности и ее использование осуществляются только после обеспечения ее правовой охраны на территории государства использования;</w:t>
      </w:r>
    </w:p>
    <w:bookmarkEnd w:id="57"/>
    <w:bookmarkStart w:name="z64" w:id="58"/>
    <w:p>
      <w:pPr>
        <w:spacing w:after="0"/>
        <w:ind w:left="0"/>
        <w:jc w:val="both"/>
      </w:pPr>
      <w:r>
        <w:rPr>
          <w:rFonts w:ascii="Times New Roman"/>
          <w:b w:val="false"/>
          <w:i w:val="false"/>
          <w:color w:val="000000"/>
          <w:sz w:val="28"/>
        </w:rPr>
        <w:t>
      распределение прав на результаты интеллектуальной деятельности, созданные в рамках научно-исследовательской и (или) опытно-конструкторской работы, с учетом вкладов всех уполномоченных (компетентных) органов или иных организаций государств – участников настоящего Соглашения, участвовавших в ее проведении;</w:t>
      </w:r>
    </w:p>
    <w:bookmarkEnd w:id="58"/>
    <w:bookmarkStart w:name="z65" w:id="59"/>
    <w:p>
      <w:pPr>
        <w:spacing w:after="0"/>
        <w:ind w:left="0"/>
        <w:jc w:val="both"/>
      </w:pPr>
      <w:r>
        <w:rPr>
          <w:rFonts w:ascii="Times New Roman"/>
          <w:b w:val="false"/>
          <w:i w:val="false"/>
          <w:color w:val="000000"/>
          <w:sz w:val="28"/>
        </w:rPr>
        <w:t>
      сохранение за правообладателем интеллектуальной собственности права контроля ее использования;</w:t>
      </w:r>
    </w:p>
    <w:bookmarkEnd w:id="59"/>
    <w:bookmarkStart w:name="z66" w:id="60"/>
    <w:p>
      <w:pPr>
        <w:spacing w:after="0"/>
        <w:ind w:left="0"/>
        <w:jc w:val="both"/>
      </w:pPr>
      <w:r>
        <w:rPr>
          <w:rFonts w:ascii="Times New Roman"/>
          <w:b w:val="false"/>
          <w:i w:val="false"/>
          <w:color w:val="000000"/>
          <w:sz w:val="28"/>
        </w:rPr>
        <w:t>
      возмещение убытков вследствие неправомерного использования интеллектуальной собственности;</w:t>
      </w:r>
    </w:p>
    <w:bookmarkEnd w:id="60"/>
    <w:bookmarkStart w:name="z67" w:id="61"/>
    <w:p>
      <w:pPr>
        <w:spacing w:after="0"/>
        <w:ind w:left="0"/>
        <w:jc w:val="both"/>
      </w:pPr>
      <w:r>
        <w:rPr>
          <w:rFonts w:ascii="Times New Roman"/>
          <w:b w:val="false"/>
          <w:i w:val="false"/>
          <w:color w:val="000000"/>
          <w:sz w:val="28"/>
        </w:rPr>
        <w:t>
      защита конфиденциальной информации.</w:t>
      </w:r>
    </w:p>
    <w:bookmarkEnd w:id="61"/>
    <w:bookmarkStart w:name="z68" w:id="62"/>
    <w:p>
      <w:pPr>
        <w:spacing w:after="0"/>
        <w:ind w:left="0"/>
        <w:jc w:val="both"/>
      </w:pPr>
      <w:r>
        <w:rPr>
          <w:rFonts w:ascii="Times New Roman"/>
          <w:b w:val="false"/>
          <w:i w:val="false"/>
          <w:color w:val="000000"/>
          <w:sz w:val="28"/>
        </w:rPr>
        <w:t xml:space="preserve">
      5. В случае передачи в ходе реализации настоящего Соглашения информации, имеющей действительную или потенциальную коммерческую ценность в силу неизвестности, третьим лицам, к которой у третьих лиц нет свободного доступа на законном основании и обладатель которой принимает все необходимые меры к охране ее конфиденциальности, включая информацию, охраняемую в режиме коммерческой тайны (далее – конфиденциальная информация), в том числе раскрывающей охраноспособные результаты интеллектуальной деятельности, уполномоченные (компетентные) органы или иные организации государств – участников настоящего Соглашения обязуются не разглашать переданную им уполномоченными (компетентными) органами или иными организациями другой Стороны конфиденциальную информацию, не публиковать ее, не использовать для извлечения прибыли без предварительного письменного согласия передавшей Стороны, не подавать заявки на регистрацию прав в отношении охраноспособных результатов интеллектуальной деятельности, раскрываемых в переданной конфиденциальной информации. </w:t>
      </w:r>
    </w:p>
    <w:bookmarkEnd w:id="62"/>
    <w:bookmarkStart w:name="z69" w:id="63"/>
    <w:p>
      <w:pPr>
        <w:spacing w:after="0"/>
        <w:ind w:left="0"/>
        <w:jc w:val="both"/>
      </w:pPr>
      <w:r>
        <w:rPr>
          <w:rFonts w:ascii="Times New Roman"/>
          <w:b w:val="false"/>
          <w:i w:val="false"/>
          <w:color w:val="000000"/>
          <w:sz w:val="28"/>
        </w:rPr>
        <w:t>
      Во избежание несанкционированного доступа к конфиденциальной информации, которая может быть предоставлена (передана) в рамках настоящего Соглашения, уполномоченные (компетентные) органы или иные организации государств – участников настоящего Соглашения вправе использовать технические средства защиты информации, а также снабжать передаваемую в рамках настоящего Соглашения продукцию техническими средствами, защищающими ее от несанкционированного копирования, изменения и (или) модификации.</w:t>
      </w:r>
    </w:p>
    <w:bookmarkEnd w:id="63"/>
    <w:bookmarkStart w:name="z70" w:id="64"/>
    <w:p>
      <w:pPr>
        <w:spacing w:after="0"/>
        <w:ind w:left="0"/>
        <w:jc w:val="both"/>
      </w:pPr>
      <w:r>
        <w:rPr>
          <w:rFonts w:ascii="Times New Roman"/>
          <w:b w:val="false"/>
          <w:i w:val="false"/>
          <w:color w:val="000000"/>
          <w:sz w:val="28"/>
        </w:rPr>
        <w:t>
      Прекращение сотрудничества в рамках настоящего Соглашения не влечет прекращения прав и обязательств Сторон в отношении конфиденциальной информации, использованной и (или) переданной в ходе сотрудничества, если иное не оговорено в отдельном договоре. Правила использования, передачи и раскрытия конфиденциальной информации после прекращения сотрудничества определяются в отдельных договорах.</w:t>
      </w:r>
    </w:p>
    <w:bookmarkEnd w:id="64"/>
    <w:bookmarkStart w:name="z71" w:id="65"/>
    <w:p>
      <w:pPr>
        <w:spacing w:after="0"/>
        <w:ind w:left="0"/>
        <w:jc w:val="both"/>
      </w:pPr>
      <w:r>
        <w:rPr>
          <w:rFonts w:ascii="Times New Roman"/>
          <w:b w:val="false"/>
          <w:i w:val="false"/>
          <w:color w:val="000000"/>
          <w:sz w:val="28"/>
        </w:rPr>
        <w:t>
      6. Уполномоченные (компетентные) органы или иные организации государств – участников настоящего Соглашения согласно условиям отдельных договоров предпринимают все необходимые действия для закрепления (приобретения) за надлежащим лицом прав на охраноспособные результаты интеллектуальной деятельности, созданные в рамках реализации настоящего Соглашения, а также предпринимают все необходимые действия по предотвращению, обнаружению и пресечению правонарушений в области интеллектуальной собственности.</w:t>
      </w:r>
    </w:p>
    <w:bookmarkEnd w:id="65"/>
    <w:bookmarkStart w:name="z72" w:id="66"/>
    <w:p>
      <w:pPr>
        <w:spacing w:after="0"/>
        <w:ind w:left="0"/>
        <w:jc w:val="left"/>
      </w:pPr>
      <w:r>
        <w:rPr>
          <w:rFonts w:ascii="Times New Roman"/>
          <w:b/>
          <w:i w:val="false"/>
          <w:color w:val="000000"/>
        </w:rPr>
        <w:t xml:space="preserve"> Статья 9</w:t>
      </w:r>
    </w:p>
    <w:bookmarkEnd w:id="66"/>
    <w:bookmarkStart w:name="z73" w:id="67"/>
    <w:p>
      <w:pPr>
        <w:spacing w:after="0"/>
        <w:ind w:left="0"/>
        <w:jc w:val="both"/>
      </w:pPr>
      <w:r>
        <w:rPr>
          <w:rFonts w:ascii="Times New Roman"/>
          <w:b w:val="false"/>
          <w:i w:val="false"/>
          <w:color w:val="000000"/>
          <w:sz w:val="28"/>
        </w:rPr>
        <w:t>
      Настоящее Соглашение не затрагивает прав и обязательств каждой из Сторон, вытекающих для нее из других международных договоров, участником которых является ее государство.</w:t>
      </w:r>
    </w:p>
    <w:bookmarkEnd w:id="67"/>
    <w:bookmarkStart w:name="z74" w:id="68"/>
    <w:p>
      <w:pPr>
        <w:spacing w:after="0"/>
        <w:ind w:left="0"/>
        <w:jc w:val="left"/>
      </w:pPr>
      <w:r>
        <w:rPr>
          <w:rFonts w:ascii="Times New Roman"/>
          <w:b/>
          <w:i w:val="false"/>
          <w:color w:val="000000"/>
        </w:rPr>
        <w:t xml:space="preserve"> Статья 10</w:t>
      </w:r>
    </w:p>
    <w:bookmarkEnd w:id="68"/>
    <w:bookmarkStart w:name="z75" w:id="69"/>
    <w:p>
      <w:pPr>
        <w:spacing w:after="0"/>
        <w:ind w:left="0"/>
        <w:jc w:val="both"/>
      </w:pPr>
      <w:r>
        <w:rPr>
          <w:rFonts w:ascii="Times New Roman"/>
          <w:b w:val="false"/>
          <w:i w:val="false"/>
          <w:color w:val="000000"/>
          <w:sz w:val="28"/>
        </w:rPr>
        <w:t>
      По согласию Сторон в настоящее Соглашение могут быть внесены изменения, являющиеся его неотъемлемой частью, которые оформляются соответствующим протоколом.</w:t>
      </w:r>
    </w:p>
    <w:bookmarkEnd w:id="69"/>
    <w:bookmarkStart w:name="z76" w:id="70"/>
    <w:p>
      <w:pPr>
        <w:spacing w:after="0"/>
        <w:ind w:left="0"/>
        <w:jc w:val="left"/>
      </w:pPr>
      <w:r>
        <w:rPr>
          <w:rFonts w:ascii="Times New Roman"/>
          <w:b/>
          <w:i w:val="false"/>
          <w:color w:val="000000"/>
        </w:rPr>
        <w:t xml:space="preserve"> Статья 11</w:t>
      </w:r>
    </w:p>
    <w:bookmarkEnd w:id="70"/>
    <w:bookmarkStart w:name="z77" w:id="71"/>
    <w:p>
      <w:pPr>
        <w:spacing w:after="0"/>
        <w:ind w:left="0"/>
        <w:jc w:val="both"/>
      </w:pPr>
      <w:r>
        <w:rPr>
          <w:rFonts w:ascii="Times New Roman"/>
          <w:b w:val="false"/>
          <w:i w:val="false"/>
          <w:color w:val="000000"/>
          <w:sz w:val="28"/>
        </w:rPr>
        <w:t>
      Спорные вопросы между Сторонами, возникающие при применении и толковании настоящего Соглашения, решаются путем консультаций и переговоров заинтересованных Сторон или посредством другой согласованной Сторонами процедуры.</w:t>
      </w:r>
    </w:p>
    <w:bookmarkEnd w:id="71"/>
    <w:bookmarkStart w:name="z78" w:id="72"/>
    <w:p>
      <w:pPr>
        <w:spacing w:after="0"/>
        <w:ind w:left="0"/>
        <w:jc w:val="left"/>
      </w:pPr>
      <w:r>
        <w:rPr>
          <w:rFonts w:ascii="Times New Roman"/>
          <w:b/>
          <w:i w:val="false"/>
          <w:color w:val="000000"/>
        </w:rPr>
        <w:t xml:space="preserve"> Статья 12</w:t>
      </w:r>
    </w:p>
    <w:bookmarkEnd w:id="72"/>
    <w:bookmarkStart w:name="z79" w:id="73"/>
    <w:p>
      <w:pPr>
        <w:spacing w:after="0"/>
        <w:ind w:left="0"/>
        <w:jc w:val="both"/>
      </w:pPr>
      <w:r>
        <w:rPr>
          <w:rFonts w:ascii="Times New Roman"/>
          <w:b w:val="false"/>
          <w:i w:val="false"/>
          <w:color w:val="000000"/>
          <w:sz w:val="28"/>
        </w:rPr>
        <w:t>
      Настоящее Соглашение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 необходимых для его вступления в силу.</w:t>
      </w:r>
    </w:p>
    <w:bookmarkEnd w:id="73"/>
    <w:bookmarkStart w:name="z80" w:id="74"/>
    <w:p>
      <w:pPr>
        <w:spacing w:after="0"/>
        <w:ind w:left="0"/>
        <w:jc w:val="both"/>
      </w:pPr>
      <w:r>
        <w:rPr>
          <w:rFonts w:ascii="Times New Roman"/>
          <w:b w:val="false"/>
          <w:i w:val="false"/>
          <w:color w:val="000000"/>
          <w:sz w:val="28"/>
        </w:rPr>
        <w:t>
      Для Сторон, выполнивших внутригосударственные процедуры позднее, настоящее Соглашение вступает в силу по истечении 30 дней с даты получения депозитарием соответствующих документов.</w:t>
      </w:r>
    </w:p>
    <w:bookmarkEnd w:id="74"/>
    <w:bookmarkStart w:name="z81" w:id="75"/>
    <w:p>
      <w:pPr>
        <w:spacing w:after="0"/>
        <w:ind w:left="0"/>
        <w:jc w:val="left"/>
      </w:pPr>
      <w:r>
        <w:rPr>
          <w:rFonts w:ascii="Times New Roman"/>
          <w:b/>
          <w:i w:val="false"/>
          <w:color w:val="000000"/>
        </w:rPr>
        <w:t xml:space="preserve"> Статья 13</w:t>
      </w:r>
    </w:p>
    <w:bookmarkEnd w:id="75"/>
    <w:bookmarkStart w:name="z82" w:id="76"/>
    <w:p>
      <w:pPr>
        <w:spacing w:after="0"/>
        <w:ind w:left="0"/>
        <w:jc w:val="both"/>
      </w:pPr>
      <w:r>
        <w:rPr>
          <w:rFonts w:ascii="Times New Roman"/>
          <w:b w:val="false"/>
          <w:i w:val="false"/>
          <w:color w:val="000000"/>
          <w:sz w:val="28"/>
        </w:rPr>
        <w:t>
      Настоящее Соглашение после его вступления в силу открыто для присоединения любого государства – участника СНГ путем передачи депозитарию документа о присоединении.</w:t>
      </w:r>
    </w:p>
    <w:bookmarkEnd w:id="76"/>
    <w:bookmarkStart w:name="z83" w:id="77"/>
    <w:p>
      <w:pPr>
        <w:spacing w:after="0"/>
        <w:ind w:left="0"/>
        <w:jc w:val="both"/>
      </w:pPr>
      <w:r>
        <w:rPr>
          <w:rFonts w:ascii="Times New Roman"/>
          <w:b w:val="false"/>
          <w:i w:val="false"/>
          <w:color w:val="000000"/>
          <w:sz w:val="28"/>
        </w:rPr>
        <w:t>
      Для присоединяющегося государства настоящее Соглашение вступает в силу по истечении 30 дней с даты получения депозитарием документа о присоединении.</w:t>
      </w:r>
    </w:p>
    <w:bookmarkEnd w:id="77"/>
    <w:bookmarkStart w:name="z84" w:id="78"/>
    <w:p>
      <w:pPr>
        <w:spacing w:after="0"/>
        <w:ind w:left="0"/>
        <w:jc w:val="left"/>
      </w:pPr>
      <w:r>
        <w:rPr>
          <w:rFonts w:ascii="Times New Roman"/>
          <w:b/>
          <w:i w:val="false"/>
          <w:color w:val="000000"/>
        </w:rPr>
        <w:t xml:space="preserve"> Статья 14</w:t>
      </w:r>
    </w:p>
    <w:bookmarkEnd w:id="78"/>
    <w:bookmarkStart w:name="z85" w:id="79"/>
    <w:p>
      <w:pPr>
        <w:spacing w:after="0"/>
        <w:ind w:left="0"/>
        <w:jc w:val="both"/>
      </w:pPr>
      <w:r>
        <w:rPr>
          <w:rFonts w:ascii="Times New Roman"/>
          <w:b w:val="false"/>
          <w:i w:val="false"/>
          <w:color w:val="000000"/>
          <w:sz w:val="28"/>
        </w:rPr>
        <w:t>
      Настоящее Соглашение заключается на неопределенный срок. Каждая из Сторон вправе выйти из настоящего Соглашения, направив депозитарию письменное уведомление о таком своем намерении не позднее чем за шесть месяцев до выхода и урегулировав финансовые и иные обязательства, возникшие за время действия настоящего Соглашения.</w:t>
      </w:r>
    </w:p>
    <w:bookmarkEnd w:id="79"/>
    <w:bookmarkStart w:name="z86" w:id="80"/>
    <w:p>
      <w:pPr>
        <w:spacing w:after="0"/>
        <w:ind w:left="0"/>
        <w:jc w:val="both"/>
      </w:pPr>
      <w:r>
        <w:rPr>
          <w:rFonts w:ascii="Times New Roman"/>
          <w:b w:val="false"/>
          <w:i w:val="false"/>
          <w:color w:val="000000"/>
          <w:sz w:val="28"/>
        </w:rPr>
        <w:t>
      Совершено в городе __________________ 2017 года в одном подлинном экземпляре на русском языке. Подлинный экземпляр настоящего Соглашения хранится в Исполнительном комитете Содружества Независимых Государств, который направит каждому государству, подписавшему настоящее Соглашение, его заверенную копию.</w:t>
      </w:r>
    </w:p>
    <w:bookmarkEnd w:id="80"/>
    <w:tbl>
      <w:tblPr>
        <w:tblW w:w="0" w:type="auto"/>
        <w:tblCellSpacing w:w="0" w:type="auto"/>
        <w:tblBorders>
          <w:top w:val="none"/>
          <w:left w:val="none"/>
          <w:bottom w:val="none"/>
          <w:right w:val="none"/>
          <w:insideH w:val="none"/>
          <w:insideV w:val="none"/>
        </w:tblBorders>
      </w:tblPr>
      <w:tblGrid>
        <w:gridCol w:w="12094"/>
        <w:gridCol w:w="12094"/>
      </w:tblGrid>
      <w:tr>
        <w:trPr>
          <w:trHeight w:val="30" w:hRule="atLeast"/>
        </w:trPr>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За Правительство </w:t>
                  </w:r>
                  <w:r>
                    <w:br/>
                  </w:r>
                  <w:r>
                    <w:rPr>
                      <w:rFonts w:ascii="Times New Roman"/>
                      <w:b w:val="false"/>
                      <w:i/>
                      <w:color w:val="000000"/>
                      <w:sz w:val="20"/>
                    </w:rPr>
                    <w:t>Азербайджанской Республики</w:t>
                  </w:r>
                  <w:r>
                    <w:rPr>
                      <w:rFonts w:ascii="Times New Roman"/>
                      <w:b w:val="false"/>
                      <w:i w:val="false"/>
                      <w:color w:val="000000"/>
                      <w:sz w:val="20"/>
                    </w:rPr>
                    <w:t>
</w:t>
                  </w:r>
                </w:p>
              </w:tc>
            </w:tr>
          </w:tbl>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Правительство</w:t>
                  </w:r>
                  <w:r>
                    <w:br/>
                  </w:r>
                  <w:r>
                    <w:rPr>
                      <w:rFonts w:ascii="Times New Roman"/>
                      <w:b w:val="false"/>
                      <w:i/>
                      <w:color w:val="000000"/>
                      <w:sz w:val="20"/>
                    </w:rPr>
                    <w:t>Российской Федерации</w:t>
                  </w:r>
                  <w:r>
                    <w:rPr>
                      <w:rFonts w:ascii="Times New Roman"/>
                      <w:b w:val="false"/>
                      <w:i w:val="false"/>
                      <w:color w:val="000000"/>
                      <w:sz w:val="20"/>
                    </w:rPr>
                    <w:t>
</w:t>
                  </w:r>
                </w:p>
              </w:tc>
            </w:tr>
          </w:tbl>
          <w:p/>
        </w:tc>
      </w:tr>
      <w:tr>
        <w:trPr>
          <w:trHeight w:val="30" w:hRule="atLeast"/>
        </w:trPr>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Правительство</w:t>
                  </w:r>
                  <w:r>
                    <w:br/>
                  </w:r>
                  <w:r>
                    <w:rPr>
                      <w:rFonts w:ascii="Times New Roman"/>
                      <w:b w:val="false"/>
                      <w:i/>
                      <w:color w:val="000000"/>
                      <w:sz w:val="20"/>
                    </w:rPr>
                    <w:t>Республики Армения</w:t>
                  </w:r>
                  <w:r>
                    <w:rPr>
                      <w:rFonts w:ascii="Times New Roman"/>
                      <w:b w:val="false"/>
                      <w:i w:val="false"/>
                      <w:color w:val="000000"/>
                      <w:sz w:val="20"/>
                    </w:rPr>
                    <w:t>
</w:t>
                  </w:r>
                </w:p>
              </w:tc>
            </w:tr>
          </w:tbl>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Правительство</w:t>
                  </w:r>
                  <w:r>
                    <w:br/>
                  </w:r>
                  <w:r>
                    <w:rPr>
                      <w:rFonts w:ascii="Times New Roman"/>
                      <w:b w:val="false"/>
                      <w:i/>
                      <w:color w:val="000000"/>
                      <w:sz w:val="20"/>
                    </w:rPr>
                    <w:t>Республики Таджикистан</w:t>
                  </w:r>
                  <w:r>
                    <w:rPr>
                      <w:rFonts w:ascii="Times New Roman"/>
                      <w:b w:val="false"/>
                      <w:i w:val="false"/>
                      <w:color w:val="000000"/>
                      <w:sz w:val="20"/>
                    </w:rPr>
                    <w:t>
</w:t>
                  </w:r>
                </w:p>
              </w:tc>
            </w:tr>
          </w:tbl>
          <w:p/>
        </w:tc>
      </w:tr>
      <w:tr>
        <w:trPr>
          <w:trHeight w:val="30" w:hRule="atLeast"/>
        </w:trPr>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Правительство</w:t>
                  </w:r>
                  <w:r>
                    <w:br/>
                  </w:r>
                  <w:r>
                    <w:rPr>
                      <w:rFonts w:ascii="Times New Roman"/>
                      <w:b w:val="false"/>
                      <w:i/>
                      <w:color w:val="000000"/>
                      <w:sz w:val="20"/>
                    </w:rPr>
                    <w:t>Республики Беларусь</w:t>
                  </w:r>
                  <w:r>
                    <w:rPr>
                      <w:rFonts w:ascii="Times New Roman"/>
                      <w:b w:val="false"/>
                      <w:i w:val="false"/>
                      <w:color w:val="000000"/>
                      <w:sz w:val="20"/>
                    </w:rPr>
                    <w:t>
</w:t>
                  </w:r>
                </w:p>
              </w:tc>
            </w:tr>
          </w:tbl>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Правительство</w:t>
                  </w:r>
                  <w:r>
                    <w:br/>
                  </w:r>
                  <w:r>
                    <w:rPr>
                      <w:rFonts w:ascii="Times New Roman"/>
                      <w:b w:val="false"/>
                      <w:i/>
                      <w:color w:val="000000"/>
                      <w:sz w:val="20"/>
                    </w:rPr>
                    <w:t>Туркменистана</w:t>
                  </w:r>
                  <w:r>
                    <w:rPr>
                      <w:rFonts w:ascii="Times New Roman"/>
                      <w:b w:val="false"/>
                      <w:i w:val="false"/>
                      <w:color w:val="000000"/>
                      <w:sz w:val="20"/>
                    </w:rPr>
                    <w:t>
</w:t>
                  </w:r>
                </w:p>
              </w:tc>
            </w:tr>
          </w:tbl>
          <w:p/>
        </w:tc>
      </w:tr>
      <w:tr>
        <w:trPr>
          <w:trHeight w:val="30" w:hRule="atLeast"/>
        </w:trPr>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Правительство</w:t>
                  </w:r>
                  <w:r>
                    <w:br/>
                  </w:r>
                  <w:r>
                    <w:rPr>
                      <w:rFonts w:ascii="Times New Roman"/>
                      <w:b w:val="false"/>
                      <w:i/>
                      <w:color w:val="000000"/>
                      <w:sz w:val="20"/>
                    </w:rPr>
                    <w:t>Республики Казахстан</w:t>
                  </w:r>
                  <w:r>
                    <w:rPr>
                      <w:rFonts w:ascii="Times New Roman"/>
                      <w:b w:val="false"/>
                      <w:i w:val="false"/>
                      <w:color w:val="000000"/>
                      <w:sz w:val="20"/>
                    </w:rPr>
                    <w:t>
</w:t>
                  </w:r>
                </w:p>
              </w:tc>
            </w:tr>
          </w:tbl>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Правительство</w:t>
                  </w:r>
                  <w:r>
                    <w:br/>
                  </w:r>
                  <w:r>
                    <w:rPr>
                      <w:rFonts w:ascii="Times New Roman"/>
                      <w:b w:val="false"/>
                      <w:i/>
                      <w:color w:val="000000"/>
                      <w:sz w:val="20"/>
                    </w:rPr>
                    <w:t>Республики Узбекистан</w:t>
                  </w:r>
                  <w:r>
                    <w:rPr>
                      <w:rFonts w:ascii="Times New Roman"/>
                      <w:b w:val="false"/>
                      <w:i w:val="false"/>
                      <w:color w:val="000000"/>
                      <w:sz w:val="20"/>
                    </w:rPr>
                    <w:t>
</w:t>
                  </w:r>
                </w:p>
              </w:tc>
            </w:tr>
          </w:tbl>
          <w:p/>
        </w:tc>
      </w:tr>
      <w:tr>
        <w:trPr>
          <w:trHeight w:val="30" w:hRule="atLeast"/>
        </w:trPr>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Правительство</w:t>
                  </w:r>
                  <w:r>
                    <w:br/>
                  </w:r>
                  <w:r>
                    <w:rPr>
                      <w:rFonts w:ascii="Times New Roman"/>
                      <w:b w:val="false"/>
                      <w:i/>
                      <w:color w:val="000000"/>
                      <w:sz w:val="20"/>
                    </w:rPr>
                    <w:t>Кыргызской Республики</w:t>
                  </w:r>
                  <w:r>
                    <w:rPr>
                      <w:rFonts w:ascii="Times New Roman"/>
                      <w:b w:val="false"/>
                      <w:i w:val="false"/>
                      <w:color w:val="000000"/>
                      <w:sz w:val="20"/>
                    </w:rPr>
                    <w:t>
</w:t>
                  </w:r>
                </w:p>
              </w:tc>
            </w:tr>
          </w:tbl>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Правительство</w:t>
                  </w:r>
                  <w:r>
                    <w:br/>
                  </w:r>
                  <w:r>
                    <w:rPr>
                      <w:rFonts w:ascii="Times New Roman"/>
                      <w:b w:val="false"/>
                      <w:i/>
                      <w:color w:val="000000"/>
                      <w:sz w:val="20"/>
                    </w:rPr>
                    <w:t>Украины</w:t>
                  </w:r>
                  <w:r>
                    <w:rPr>
                      <w:rFonts w:ascii="Times New Roman"/>
                      <w:b w:val="false"/>
                      <w:i w:val="false"/>
                      <w:color w:val="000000"/>
                      <w:sz w:val="20"/>
                    </w:rPr>
                    <w:t>
</w:t>
                  </w:r>
                </w:p>
              </w:tc>
            </w:tr>
          </w:tbl>
          <w:p/>
        </w:tc>
      </w:tr>
      <w:tr>
        <w:trPr>
          <w:trHeight w:val="30" w:hRule="atLeast"/>
        </w:trPr>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Правительство</w:t>
                  </w:r>
                  <w:r>
                    <w:br/>
                  </w:r>
                  <w:r>
                    <w:rPr>
                      <w:rFonts w:ascii="Times New Roman"/>
                      <w:b w:val="false"/>
                      <w:i/>
                      <w:color w:val="000000"/>
                      <w:sz w:val="20"/>
                    </w:rPr>
                    <w:t>Республики Молдова</w:t>
                  </w:r>
                  <w:r>
                    <w:rPr>
                      <w:rFonts w:ascii="Times New Roman"/>
                      <w:b w:val="false"/>
                      <w:i w:val="false"/>
                      <w:color w:val="000000"/>
                      <w:sz w:val="20"/>
                    </w:rPr>
                    <w:t>
</w:t>
                  </w:r>
                </w:p>
              </w:tc>
            </w:tr>
          </w:tbl>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