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447880" w14:textId="044788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постановление Правительства Республики Казахстан от 18 июня 2014 года № 674 "Об утверждении Стратегии развития акционерного общества "Национальный управляющий холдинг "Байтерек" на 2014 - 2023 годы"</w:t>
      </w:r>
    </w:p>
    <w:p>
      <w:pPr>
        <w:spacing w:after="0"/>
        <w:ind w:left="0"/>
        <w:jc w:val="both"/>
      </w:pPr>
      <w:r>
        <w:rPr>
          <w:rFonts w:ascii="Times New Roman"/>
          <w:b w:val="false"/>
          <w:i w:val="false"/>
          <w:color w:val="000000"/>
          <w:sz w:val="28"/>
        </w:rPr>
        <w:t>Постановление Правительства Республики Казахстан от 1 июня 2017 года № 331.</w:t>
      </w:r>
    </w:p>
    <w:p>
      <w:pPr>
        <w:spacing w:after="0"/>
        <w:ind w:left="0"/>
        <w:jc w:val="both"/>
      </w:pPr>
      <w:bookmarkStart w:name="z3" w:id="0"/>
      <w:r>
        <w:rPr>
          <w:rFonts w:ascii="Times New Roman"/>
          <w:b w:val="false"/>
          <w:i w:val="false"/>
          <w:color w:val="000000"/>
          <w:sz w:val="28"/>
        </w:rPr>
        <w:t xml:space="preserve">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18 июня 2014 года № 674 "Об утверждении Стратегии развития акционерного общества "Национальный управляющий холдинг "Байтерек" на 2014 - 2023 годы"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Стратегию</w:t>
      </w:r>
      <w:r>
        <w:rPr>
          <w:rFonts w:ascii="Times New Roman"/>
          <w:b w:val="false"/>
          <w:i w:val="false"/>
          <w:color w:val="000000"/>
          <w:sz w:val="28"/>
        </w:rPr>
        <w:t xml:space="preserve"> развития акционерного общества "Национальный управляющий холдинг "Байтерек" на 2014 - 2023 годы, утвержденную указанным постановлением, изложить в новой редакции согласно приложению к настоящему постановлению.</w:t>
      </w:r>
    </w:p>
    <w:bookmarkStart w:name="z6"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постановлению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 июня 2017 года № 331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Утверждена</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18 июня 2014 года № 674</w:t>
            </w:r>
          </w:p>
        </w:tc>
      </w:tr>
    </w:tbl>
    <w:bookmarkStart w:name="z10" w:id="3"/>
    <w:p>
      <w:pPr>
        <w:spacing w:after="0"/>
        <w:ind w:left="0"/>
        <w:jc w:val="left"/>
      </w:pPr>
      <w:r>
        <w:rPr>
          <w:rFonts w:ascii="Times New Roman"/>
          <w:b/>
          <w:i w:val="false"/>
          <w:color w:val="000000"/>
        </w:rPr>
        <w:t xml:space="preserve"> Стратегия развития </w:t>
      </w:r>
      <w:r>
        <w:br/>
      </w:r>
      <w:r>
        <w:rPr>
          <w:rFonts w:ascii="Times New Roman"/>
          <w:b/>
          <w:i w:val="false"/>
          <w:color w:val="000000"/>
        </w:rPr>
        <w:t>акционерного общества "Национальный управляющий холдинг "Байтерек" на 2014 - 2023 годы</w:t>
      </w:r>
    </w:p>
    <w:bookmarkEnd w:id="3"/>
    <w:p>
      <w:pPr>
        <w:spacing w:after="0"/>
        <w:ind w:left="0"/>
        <w:jc w:val="both"/>
      </w:pPr>
      <w:r>
        <w:rPr>
          <w:rFonts w:ascii="Times New Roman"/>
          <w:b/>
          <w:i w:val="false"/>
          <w:color w:val="000000"/>
          <w:sz w:val="28"/>
        </w:rPr>
        <w:t>Введение</w:t>
      </w:r>
    </w:p>
    <w:bookmarkStart w:name="z12" w:id="4"/>
    <w:p>
      <w:pPr>
        <w:spacing w:after="0"/>
        <w:ind w:left="0"/>
        <w:jc w:val="both"/>
      </w:pPr>
      <w:r>
        <w:rPr>
          <w:rFonts w:ascii="Times New Roman"/>
          <w:b w:val="false"/>
          <w:i w:val="false"/>
          <w:color w:val="000000"/>
          <w:sz w:val="28"/>
        </w:rPr>
        <w:t xml:space="preserve">
      1. Анализ текущего состояния АО "НУХ "Байтерек": </w:t>
      </w:r>
      <w:r>
        <w:rPr>
          <w:rFonts w:ascii="Times New Roman"/>
          <w:b/>
          <w:i w:val="false"/>
          <w:color w:val="000000"/>
          <w:sz w:val="28"/>
        </w:rPr>
        <w:t>Анализ внешней среды</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Динамика индекса конкурентоспособности и ключевых субиндексов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Динамика макроэкономических факторов за трехлетний период в 2016 году и на момент создания АО "НУХ "Байтерек"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Основные направления государственной экономической политики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w:t>
      </w:r>
      <w:r>
        <w:rPr>
          <w:rFonts w:ascii="Times New Roman"/>
          <w:b w:val="false"/>
          <w:i w:val="false"/>
          <w:color w:val="000000"/>
          <w:sz w:val="28"/>
        </w:rPr>
        <w:t xml:space="preserve"> Утверждение Плана нации - 100 конкретных шагов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w:t>
      </w:r>
      <w:r>
        <w:rPr>
          <w:rFonts w:ascii="Times New Roman"/>
          <w:b w:val="false"/>
          <w:i w:val="false"/>
          <w:color w:val="000000"/>
          <w:sz w:val="28"/>
        </w:rPr>
        <w:t xml:space="preserve"> Новые государственные и правительственные программы – программы "Нұрлы жол" и "Нұрлы жер"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1.3.3</w:t>
      </w:r>
      <w:r>
        <w:rPr>
          <w:rFonts w:ascii="Times New Roman"/>
          <w:b w:val="false"/>
          <w:i w:val="false"/>
          <w:color w:val="000000"/>
          <w:sz w:val="28"/>
        </w:rPr>
        <w:t xml:space="preserve"> Уточненные государственные и правительственные программы - ГПИИР, Программа "ДКБ 2020"</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1.3.4</w:t>
      </w:r>
      <w:r>
        <w:rPr>
          <w:rFonts w:ascii="Times New Roman"/>
          <w:b w:val="false"/>
          <w:i w:val="false"/>
          <w:color w:val="000000"/>
          <w:sz w:val="28"/>
        </w:rPr>
        <w:t xml:space="preserve"> Комплексный план приватизации на 2016 - 2020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Анализ текущего состояния АО "НУХ "Байтерек": </w:t>
      </w:r>
      <w:r>
        <w:rPr>
          <w:rFonts w:ascii="Times New Roman"/>
          <w:b/>
          <w:i w:val="false"/>
          <w:color w:val="000000"/>
          <w:sz w:val="28"/>
        </w:rPr>
        <w:t>Анализ внутренней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Текущая структура АО "НУХ "Байтерек" и ДО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Анализ исполнения КПД и SWOT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i w:val="false"/>
          <w:color w:val="000000"/>
          <w:sz w:val="28"/>
        </w:rPr>
        <w:t>Миссия и видение АО "НУХ "Байтерек"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i w:val="false"/>
          <w:color w:val="000000"/>
          <w:sz w:val="28"/>
        </w:rPr>
        <w:t>Стратегические направления развития АО "НУХ "Байтерек"</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Стратегическое направление деятельности 1. Поддержка предпринимательства в сегменте крупного бизнеса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Стратегическое направление деятельности 2. Поддержка предпринимательства в сегменте малого и среднего бизнеса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Стратегическое направление деятельности 3. Обеспечение финансовой доступности жилья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Стратегическое направление деятельности 4. Повышение экспортного потенциала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Стратегическое направление деятельности 5. Трансферт и внедрение инноваций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Стратегические цели и задачи в рамках пяти направлений развития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4.6.1</w:t>
      </w:r>
      <w:r>
        <w:rPr>
          <w:rFonts w:ascii="Times New Roman"/>
          <w:b w:val="false"/>
          <w:i w:val="false"/>
          <w:color w:val="000000"/>
          <w:sz w:val="28"/>
        </w:rPr>
        <w:t xml:space="preserve"> Увеличение доли негосударственных источников финансирования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4.6.2</w:t>
      </w:r>
      <w:r>
        <w:rPr>
          <w:rFonts w:ascii="Times New Roman"/>
          <w:b w:val="false"/>
          <w:i w:val="false"/>
          <w:color w:val="000000"/>
          <w:sz w:val="28"/>
        </w:rPr>
        <w:t xml:space="preserve"> Пересмотр портфеля функций ДО (критерии)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4.6.3</w:t>
      </w:r>
      <w:r>
        <w:rPr>
          <w:rFonts w:ascii="Times New Roman"/>
          <w:b w:val="false"/>
          <w:i w:val="false"/>
          <w:color w:val="000000"/>
          <w:sz w:val="28"/>
        </w:rPr>
        <w:t xml:space="preserve"> Децентрализация функций управления с корпоративного центра на советы директоров и правления ДО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4.6.4</w:t>
      </w:r>
      <w:r>
        <w:rPr>
          <w:rFonts w:ascii="Times New Roman"/>
          <w:b w:val="false"/>
          <w:i w:val="false"/>
          <w:color w:val="000000"/>
          <w:sz w:val="28"/>
        </w:rPr>
        <w:t xml:space="preserve"> Построение новых компетенций и методов организации работы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i w:val="false"/>
          <w:color w:val="000000"/>
          <w:sz w:val="28"/>
        </w:rPr>
        <w:t>КПД АО "НУХ "Байтерек" до 2023 года и методология расчета показателей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w:t>
      </w:r>
    </w:p>
    <w:p>
      <w:pPr>
        <w:spacing w:after="0"/>
        <w:ind w:left="0"/>
        <w:jc w:val="both"/>
      </w:pPr>
      <w:r>
        <w:rPr>
          <w:rFonts w:ascii="Times New Roman"/>
          <w:b/>
          <w:i w:val="false"/>
          <w:color w:val="000000"/>
          <w:sz w:val="28"/>
        </w:rPr>
        <w:t>Введение</w:t>
      </w:r>
    </w:p>
    <w:bookmarkStart w:name="z38" w:id="5"/>
    <w:p>
      <w:pPr>
        <w:spacing w:after="0"/>
        <w:ind w:left="0"/>
        <w:jc w:val="both"/>
      </w:pPr>
      <w:r>
        <w:rPr>
          <w:rFonts w:ascii="Times New Roman"/>
          <w:b w:val="false"/>
          <w:i w:val="false"/>
          <w:color w:val="000000"/>
          <w:sz w:val="28"/>
        </w:rPr>
        <w:t xml:space="preserve">
      Акционерное общество "Национальный управляющий холдинг "Байтерек" (далее - АО "НУХ "Байтерек") создано в соответствии с </w:t>
      </w:r>
      <w:r>
        <w:rPr>
          <w:rFonts w:ascii="Times New Roman"/>
          <w:b w:val="false"/>
          <w:i w:val="false"/>
          <w:color w:val="000000"/>
          <w:sz w:val="28"/>
        </w:rPr>
        <w:t>Указом</w:t>
      </w:r>
      <w:r>
        <w:rPr>
          <w:rFonts w:ascii="Times New Roman"/>
          <w:b w:val="false"/>
          <w:i w:val="false"/>
          <w:color w:val="000000"/>
          <w:sz w:val="28"/>
        </w:rPr>
        <w:t xml:space="preserve"> Президента Республики Казахстан от 22 мая 2013 года № 571 "О некоторых мерах по оптимизации системы управления институтами развития</w:t>
      </w:r>
      <w:r>
        <w:rPr>
          <w:rFonts w:ascii="Times New Roman"/>
          <w:b w:val="false"/>
          <w:i w:val="false"/>
          <w:color w:val="000000"/>
          <w:vertAlign w:val="superscript"/>
        </w:rPr>
        <w:t>1</w:t>
      </w:r>
      <w:r>
        <w:rPr>
          <w:rFonts w:ascii="Times New Roman"/>
          <w:b w:val="false"/>
          <w:i w:val="false"/>
          <w:color w:val="000000"/>
          <w:sz w:val="28"/>
        </w:rPr>
        <w:t xml:space="preserve">, финансовыми организациями и развития национальной экономики" и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25 мая 2013 года № 516 "О мерах по реализации Указа Президента Республики Казахстан от 22 мая 2013 года № 571 "О некоторых мерах по оптимизации системы управления институтами развития, финансовыми организациями и развития национальной экономики".</w:t>
      </w:r>
    </w:p>
    <w:bookmarkEnd w:id="5"/>
    <w:bookmarkStart w:name="z39" w:id="6"/>
    <w:p>
      <w:pPr>
        <w:spacing w:after="0"/>
        <w:ind w:left="0"/>
        <w:jc w:val="both"/>
      </w:pPr>
      <w:r>
        <w:rPr>
          <w:rFonts w:ascii="Times New Roman"/>
          <w:b w:val="false"/>
          <w:i w:val="false"/>
          <w:color w:val="000000"/>
          <w:sz w:val="28"/>
        </w:rPr>
        <w:t>
      Единственным акционером АО "НУХ "Байтерек" является Правительство Республики Казахстан.</w:t>
      </w:r>
    </w:p>
    <w:bookmarkEnd w:id="6"/>
    <w:bookmarkStart w:name="z40" w:id="7"/>
    <w:p>
      <w:pPr>
        <w:spacing w:after="0"/>
        <w:ind w:left="0"/>
        <w:jc w:val="both"/>
      </w:pPr>
      <w:r>
        <w:rPr>
          <w:rFonts w:ascii="Times New Roman"/>
          <w:b w:val="false"/>
          <w:i w:val="false"/>
          <w:color w:val="000000"/>
          <w:sz w:val="28"/>
        </w:rPr>
        <w:t xml:space="preserve">
      Актуализация </w:t>
      </w:r>
      <w:r>
        <w:rPr>
          <w:rFonts w:ascii="Times New Roman"/>
          <w:b w:val="false"/>
          <w:i w:val="false"/>
          <w:color w:val="000000"/>
          <w:sz w:val="28"/>
        </w:rPr>
        <w:t>Стратегии</w:t>
      </w:r>
      <w:r>
        <w:rPr>
          <w:rFonts w:ascii="Times New Roman"/>
          <w:b w:val="false"/>
          <w:i w:val="false"/>
          <w:color w:val="000000"/>
          <w:sz w:val="28"/>
        </w:rPr>
        <w:t xml:space="preserve"> развития АО "НУХ "Байтерек" на 2014 - 2023 годы, утвержденной постановлением Правительства Республики Казахстан от 18 июня 2014 года № 674 (далее - Стратегия), проведена в 2017 году в связи с произошедшим в 2015 - 2016 годах рядом изменений в государственных программах, в реализации которых участвует АО "НУХ "Байтерек", а также рядом социально-экономических событий:</w:t>
      </w:r>
    </w:p>
    <w:bookmarkEnd w:id="7"/>
    <w:bookmarkStart w:name="z41" w:id="8"/>
    <w:p>
      <w:pPr>
        <w:spacing w:after="0"/>
        <w:ind w:left="0"/>
        <w:jc w:val="both"/>
      </w:pPr>
      <w:r>
        <w:rPr>
          <w:rFonts w:ascii="Times New Roman"/>
          <w:b w:val="false"/>
          <w:i w:val="false"/>
          <w:color w:val="000000"/>
          <w:sz w:val="28"/>
        </w:rPr>
        <w:t>
      1) замедление экономического роста: согласно действующей Стратегии развития рост реального валового внутреннего продукта Казахстана в 2016 году прогнозировался на уровне 5,8 % по сравнению с фактическим 1,0 %;</w:t>
      </w:r>
    </w:p>
    <w:bookmarkEnd w:id="8"/>
    <w:bookmarkStart w:name="z42" w:id="9"/>
    <w:p>
      <w:pPr>
        <w:spacing w:after="0"/>
        <w:ind w:left="0"/>
        <w:jc w:val="both"/>
      </w:pPr>
      <w:r>
        <w:rPr>
          <w:rFonts w:ascii="Times New Roman"/>
          <w:b w:val="false"/>
          <w:i w:val="false"/>
          <w:color w:val="000000"/>
          <w:sz w:val="28"/>
        </w:rPr>
        <w:t>
      2) завершение цикла высоких сырьевых цен, с ожиданием сохранения низкого уровня в перспективе 10-15 лет;</w:t>
      </w:r>
    </w:p>
    <w:bookmarkEnd w:id="9"/>
    <w:bookmarkStart w:name="z43" w:id="10"/>
    <w:p>
      <w:pPr>
        <w:spacing w:after="0"/>
        <w:ind w:left="0"/>
        <w:jc w:val="both"/>
      </w:pPr>
      <w:r>
        <w:rPr>
          <w:rFonts w:ascii="Times New Roman"/>
          <w:b w:val="false"/>
          <w:i w:val="false"/>
          <w:color w:val="000000"/>
          <w:sz w:val="28"/>
        </w:rPr>
        <w:t>
      3) участие в реализации посланий Главы государства, государственных и правительственных программ:</w:t>
      </w:r>
    </w:p>
    <w:bookmarkEnd w:id="10"/>
    <w:bookmarkStart w:name="z44" w:id="11"/>
    <w:p>
      <w:pPr>
        <w:spacing w:after="0"/>
        <w:ind w:left="0"/>
        <w:jc w:val="both"/>
      </w:pPr>
      <w:r>
        <w:rPr>
          <w:rFonts w:ascii="Times New Roman"/>
          <w:b w:val="false"/>
          <w:i w:val="false"/>
          <w:color w:val="000000"/>
          <w:sz w:val="28"/>
        </w:rPr>
        <w:t xml:space="preserve">
      3.1) </w:t>
      </w:r>
      <w:r>
        <w:rPr>
          <w:rFonts w:ascii="Times New Roman"/>
          <w:b w:val="false"/>
          <w:i w:val="false"/>
          <w:color w:val="000000"/>
          <w:sz w:val="28"/>
        </w:rPr>
        <w:t>Программа</w:t>
      </w:r>
      <w:r>
        <w:rPr>
          <w:rFonts w:ascii="Times New Roman"/>
          <w:b w:val="false"/>
          <w:i w:val="false"/>
          <w:color w:val="000000"/>
          <w:sz w:val="28"/>
        </w:rPr>
        <w:t xml:space="preserve"> Президента Республики Казахстан от 20 мая 2015 года "План нации - 100 конкретных шагов" (далее - План нации);</w:t>
      </w:r>
    </w:p>
    <w:bookmarkEnd w:id="11"/>
    <w:bookmarkStart w:name="z45" w:id="12"/>
    <w:p>
      <w:pPr>
        <w:spacing w:after="0"/>
        <w:ind w:left="0"/>
        <w:jc w:val="both"/>
      </w:pPr>
      <w:r>
        <w:rPr>
          <w:rFonts w:ascii="Times New Roman"/>
          <w:b w:val="false"/>
          <w:i w:val="false"/>
          <w:color w:val="000000"/>
          <w:sz w:val="28"/>
        </w:rPr>
        <w:t>
      3.2) Послание Главы государства от 31 января 2017 года "Третья модернизация Казахстана: глобальная конкурентоспособность";</w:t>
      </w:r>
    </w:p>
    <w:bookmarkEnd w:id="12"/>
    <w:bookmarkStart w:name="z46" w:id="13"/>
    <w:p>
      <w:pPr>
        <w:spacing w:after="0"/>
        <w:ind w:left="0"/>
        <w:jc w:val="both"/>
      </w:pPr>
      <w:r>
        <w:rPr>
          <w:rFonts w:ascii="Times New Roman"/>
          <w:b w:val="false"/>
          <w:i w:val="false"/>
          <w:color w:val="000000"/>
          <w:sz w:val="28"/>
        </w:rPr>
        <w:t xml:space="preserve">
      3.3) новые государственные программы: </w:t>
      </w:r>
      <w:r>
        <w:rPr>
          <w:rFonts w:ascii="Times New Roman"/>
          <w:b w:val="false"/>
          <w:i w:val="false"/>
          <w:color w:val="000000"/>
          <w:sz w:val="28"/>
        </w:rPr>
        <w:t>Государственная программа</w:t>
      </w:r>
      <w:r>
        <w:rPr>
          <w:rFonts w:ascii="Times New Roman"/>
          <w:b w:val="false"/>
          <w:i w:val="false"/>
          <w:color w:val="000000"/>
          <w:sz w:val="28"/>
        </w:rPr>
        <w:t xml:space="preserve"> инфраструктурного развития "Нұрлы жол" на 2015 - 2019 годы, утвержденная Указом Президента Республики Казахстан от 6 апреля 2015 года № 1030 (далее - Программа "Нұрлы жол"); </w:t>
      </w:r>
      <w:r>
        <w:rPr>
          <w:rFonts w:ascii="Times New Roman"/>
          <w:b w:val="false"/>
          <w:i w:val="false"/>
          <w:color w:val="000000"/>
          <w:sz w:val="28"/>
        </w:rPr>
        <w:t>Программа</w:t>
      </w:r>
      <w:r>
        <w:rPr>
          <w:rFonts w:ascii="Times New Roman"/>
          <w:b w:val="false"/>
          <w:i w:val="false"/>
          <w:color w:val="000000"/>
          <w:sz w:val="28"/>
        </w:rPr>
        <w:t xml:space="preserve"> жилищного строительства "Нұрлы жер", утвержденная постановлением Правительства Республики Казахстан от 31 декабря 2016 года № 922 (далее - Программа "Нұрлы жер");</w:t>
      </w:r>
    </w:p>
    <w:bookmarkEnd w:id="13"/>
    <w:bookmarkStart w:name="z47" w:id="14"/>
    <w:p>
      <w:pPr>
        <w:spacing w:after="0"/>
        <w:ind w:left="0"/>
        <w:jc w:val="both"/>
      </w:pPr>
      <w:r>
        <w:rPr>
          <w:rFonts w:ascii="Times New Roman"/>
          <w:b w:val="false"/>
          <w:i w:val="false"/>
          <w:color w:val="000000"/>
          <w:sz w:val="28"/>
        </w:rPr>
        <w:t xml:space="preserve">
      3.4) действующие и актуализированные программы: </w:t>
      </w:r>
      <w:r>
        <w:rPr>
          <w:rFonts w:ascii="Times New Roman"/>
          <w:b w:val="false"/>
          <w:i w:val="false"/>
          <w:color w:val="000000"/>
          <w:sz w:val="28"/>
        </w:rPr>
        <w:t>Государственная программа</w:t>
      </w:r>
      <w:r>
        <w:rPr>
          <w:rFonts w:ascii="Times New Roman"/>
          <w:b w:val="false"/>
          <w:i w:val="false"/>
          <w:color w:val="000000"/>
          <w:sz w:val="28"/>
        </w:rPr>
        <w:t xml:space="preserve"> индустриально-инновационного развития на 2015 - 2019 годы, утвержденная Указом Президента Республики Казахстан от 1 августа 2014 года № 874 (далее - ГПИИР); </w:t>
      </w:r>
      <w:r>
        <w:rPr>
          <w:rFonts w:ascii="Times New Roman"/>
          <w:b w:val="false"/>
          <w:i w:val="false"/>
          <w:color w:val="000000"/>
          <w:sz w:val="28"/>
        </w:rPr>
        <w:t>Единая программа</w:t>
      </w:r>
      <w:r>
        <w:rPr>
          <w:rFonts w:ascii="Times New Roman"/>
          <w:b w:val="false"/>
          <w:i w:val="false"/>
          <w:color w:val="000000"/>
          <w:sz w:val="28"/>
        </w:rPr>
        <w:t xml:space="preserve"> поддержки и развития бизнеса "Дорожная карта бизнеса 2020", утвержденная постановлением Правительства Республики Казахстан от 31 марта 2015 года № 168 (далее - Программа "ДКБ 2020");</w:t>
      </w:r>
    </w:p>
    <w:bookmarkEnd w:id="14"/>
    <w:bookmarkStart w:name="z48" w:id="15"/>
    <w:p>
      <w:pPr>
        <w:spacing w:after="0"/>
        <w:ind w:left="0"/>
        <w:jc w:val="both"/>
      </w:pPr>
      <w:r>
        <w:rPr>
          <w:rFonts w:ascii="Times New Roman"/>
          <w:b w:val="false"/>
          <w:i w:val="false"/>
          <w:color w:val="000000"/>
          <w:sz w:val="28"/>
        </w:rPr>
        <w:t>
      4) согласно Концепции формирования и использования средств Национального фонда Республики Казахстан от 8 декабря 2016 года запрещено приобретение ценных бумаг субъектов квазигосударственного сектора;</w:t>
      </w:r>
    </w:p>
    <w:bookmarkEnd w:id="15"/>
    <w:bookmarkStart w:name="z49" w:id="16"/>
    <w:p>
      <w:pPr>
        <w:spacing w:after="0"/>
        <w:ind w:left="0"/>
        <w:jc w:val="both"/>
      </w:pPr>
      <w:r>
        <w:rPr>
          <w:rFonts w:ascii="Times New Roman"/>
          <w:b w:val="false"/>
          <w:i w:val="false"/>
          <w:color w:val="000000"/>
          <w:sz w:val="28"/>
        </w:rPr>
        <w:t>
      5) задача по снижению государственного участия в экономике до уровня стран ОЭСР - 15 % к 2020 году.</w:t>
      </w:r>
    </w:p>
    <w:bookmarkEnd w:id="16"/>
    <w:bookmarkStart w:name="z50" w:id="17"/>
    <w:p>
      <w:pPr>
        <w:spacing w:after="0"/>
        <w:ind w:left="0"/>
        <w:jc w:val="both"/>
      </w:pPr>
      <w:r>
        <w:rPr>
          <w:rFonts w:ascii="Times New Roman"/>
          <w:b w:val="false"/>
          <w:i w:val="false"/>
          <w:color w:val="000000"/>
          <w:sz w:val="28"/>
        </w:rPr>
        <w:t>
      Помимо изменений в действующих и принятия новых государственных и правительственных программ развития экономики, необходимость актуализации Стратегии в 2017 году продиктована замедлением общего экономического роста на фоне завершения цикла высоких сырьевых цен и задачей по сокращению доли участия государства в экономике.</w:t>
      </w:r>
    </w:p>
    <w:bookmarkEnd w:id="17"/>
    <w:bookmarkStart w:name="z51" w:id="18"/>
    <w:p>
      <w:pPr>
        <w:spacing w:after="0"/>
        <w:ind w:left="0"/>
        <w:jc w:val="both"/>
      </w:pPr>
      <w:r>
        <w:rPr>
          <w:rFonts w:ascii="Times New Roman"/>
          <w:b w:val="false"/>
          <w:i w:val="false"/>
          <w:color w:val="000000"/>
          <w:sz w:val="28"/>
        </w:rPr>
        <w:t>
      Данный документ разработан с учетом основных направлений государственной политики в индустриально-инновационной, социально-экономической и иных сферах по направлениям деятельности АО "НУХ "Байтерек" и определяет его миссию, видение, стратегические направления, цели и задачи на 2014 - 2023 годы.</w:t>
      </w:r>
    </w:p>
    <w:bookmarkEnd w:id="18"/>
    <w:p>
      <w:pPr>
        <w:spacing w:after="0"/>
        <w:ind w:left="0"/>
        <w:jc w:val="both"/>
      </w:pPr>
      <w:r>
        <w:rPr>
          <w:rFonts w:ascii="Times New Roman"/>
          <w:b w:val="false"/>
          <w:i w:val="false"/>
          <w:color w:val="000000"/>
          <w:sz w:val="28"/>
        </w:rPr>
        <w:t>
      ______________________________</w:t>
      </w:r>
    </w:p>
    <w:bookmarkStart w:name="z52" w:id="19"/>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w:t>
      </w:r>
      <w:r>
        <w:rPr>
          <w:rFonts w:ascii="Times New Roman"/>
          <w:b w:val="false"/>
          <w:i w:val="false"/>
          <w:color w:val="000000"/>
          <w:sz w:val="28"/>
        </w:rPr>
        <w:t>Институты развития представляют собой специализированные банки развития, которые созданы для поддержки развития частного сектора в развивающихся странах. Данные институты, как правило, принадлежат правительству и финансируются из национальных или международных фондов развития или через использование государственных гарантий, обеспечивая их кредитоспособность и позволяя привлекать большие суммы денег на международных рынках капитала на очень выгодных условиях. Банки развития являются одним из инструментов государственной политики, стимулирующих рост экономики, инновационные процессы и развитие инфраструктуры, в том числе с использованием механизмов государственно-частного партнерства. Основная цель институтов развития – преодоление так называемых "провалов рынка" для решения задач, которые не могут быть оптимально реализованы рыночными механизмами, для обеспечения устойчивого экономического роста и диверсификации экономики. Институты развития выступают в качестве катализатора частных инвестиций в приоритетных секторах и отраслях экономики и создают условия для формирования инфраструктуры, обеспечивающей доступ предприятиям, функционирующим в приоритетных сферах экономики, к необходимым финансовым и информационным ресурсам. (Источник: ОБСЕ)1. Анализ текущего состояния АО "НУХ "Байтерек": Анализ внешней среды</w:t>
      </w:r>
    </w:p>
    <w:bookmarkEnd w:id="19"/>
    <w:p>
      <w:pPr>
        <w:spacing w:after="0"/>
        <w:ind w:left="0"/>
        <w:jc w:val="both"/>
      </w:pPr>
      <w:r>
        <w:rPr>
          <w:rFonts w:ascii="Times New Roman"/>
          <w:b/>
          <w:i w:val="false"/>
          <w:color w:val="000000"/>
          <w:sz w:val="28"/>
        </w:rPr>
        <w:t>1.1. Динамика индекса конкурентоспособности и ключевых субиндексов</w:t>
      </w:r>
    </w:p>
    <w:bookmarkStart w:name="z54" w:id="20"/>
    <w:p>
      <w:pPr>
        <w:spacing w:after="0"/>
        <w:ind w:left="0"/>
        <w:jc w:val="both"/>
      </w:pPr>
      <w:r>
        <w:rPr>
          <w:rFonts w:ascii="Times New Roman"/>
          <w:b w:val="false"/>
          <w:i w:val="false"/>
          <w:color w:val="000000"/>
          <w:sz w:val="28"/>
        </w:rPr>
        <w:t>
      Согласно Отчету о глобальной конкурентоспособности экономик Всемирного экономического форума (далее - ВЭФ) Казахстан занял в 2016 году 53-е место из 138 стран, потеряв за последний год 11 позиций в рейтинге. При рассмотрении десятилетнего периода видно, что конкурентоспособность экономики Казахстана относительно других стран мира принципиально не повысилась и продолжает демонстрировать высокую волатильность в зависимости от макроэкономических циклов:</w:t>
      </w:r>
    </w:p>
    <w:bookmarkEnd w:id="20"/>
    <w:bookmarkStart w:name="z55"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7978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978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2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w:t>
      </w:r>
      <w:r>
        <w:rPr>
          <w:rFonts w:ascii="Times New Roman"/>
          <w:b w:val="false"/>
          <w:i w:val="false"/>
          <w:color w:val="000000"/>
          <w:sz w:val="28"/>
        </w:rPr>
        <w:t xml:space="preserve">. Динамика рейтинга конкурентоспособности экономики Казахстана за период с 2006 по 2016 годы </w:t>
      </w:r>
    </w:p>
    <w:bookmarkEnd w:id="22"/>
    <w:bookmarkStart w:name="z57" w:id="23"/>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Отчеты о глобальной конкурентоспособности ВЭФ</w:t>
      </w:r>
    </w:p>
    <w:bookmarkEnd w:id="23"/>
    <w:bookmarkStart w:name="z58" w:id="24"/>
    <w:p>
      <w:pPr>
        <w:spacing w:after="0"/>
        <w:ind w:left="0"/>
        <w:jc w:val="both"/>
      </w:pPr>
      <w:r>
        <w:rPr>
          <w:rFonts w:ascii="Times New Roman"/>
          <w:b w:val="false"/>
          <w:i w:val="false"/>
          <w:color w:val="000000"/>
          <w:sz w:val="28"/>
        </w:rPr>
        <w:t>
      Отчет ВЭФ объясняет ослабление позиции Казахстана в 2016 году ухудшением положения государственных финансов, связанного с потерей доходов от экспорта нефти.</w:t>
      </w:r>
    </w:p>
    <w:bookmarkEnd w:id="24"/>
    <w:bookmarkStart w:name="z59" w:id="25"/>
    <w:p>
      <w:pPr>
        <w:spacing w:after="0"/>
        <w:ind w:left="0"/>
        <w:jc w:val="both"/>
      </w:pPr>
      <w:r>
        <w:rPr>
          <w:rFonts w:ascii="Times New Roman"/>
          <w:b w:val="false"/>
          <w:i w:val="false"/>
          <w:color w:val="000000"/>
          <w:sz w:val="28"/>
        </w:rPr>
        <w:t>
      По классификации авторов отчета Республика Казахстан наряду с 16 другими странами (Алжирская Народная Демократическая Республика, Азербайджанская Республика, Королевство Бутан, Многонациональное Государство Боливия, Республика Ботсвана, Государство Бруней-Даруссалам, Габонская Республика, Республика Гондурас, Государство Кувейт, Монголия, Федеративная Республика Нигерия, Республика Филиппины, Российская Федерация, Украина, Боливарианская Республика Венесуэла и Социалистическая Республика Вьетнам) определяется как экономика, которая находится в транзитном периоде развития между стадией 1 ("Ресурсоориентированная экономика") и стадией 2 ("Экономика с упором на эффективность"). К третьей стадии развития относятся экономики, ориентированные на инновации.</w:t>
      </w:r>
    </w:p>
    <w:bookmarkEnd w:id="25"/>
    <w:bookmarkStart w:name="z60" w:id="26"/>
    <w:p>
      <w:pPr>
        <w:spacing w:after="0"/>
        <w:ind w:left="0"/>
        <w:jc w:val="both"/>
      </w:pPr>
      <w:r>
        <w:rPr>
          <w:rFonts w:ascii="Times New Roman"/>
          <w:b w:val="false"/>
          <w:i w:val="false"/>
          <w:color w:val="000000"/>
          <w:sz w:val="28"/>
        </w:rPr>
        <w:t>
      Среди стран Содружества Независимых Государств (далее - СНГ) Республика Казахстан находится на третьем месте после Азербайджанской Республики (37 место) и Российской Федерации (43 место). Для экономики Республики Казахстан видно, что показатели значительно ухудшились за последний год в четырех направлениях:</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991"/>
        <w:gridCol w:w="991"/>
        <w:gridCol w:w="991"/>
        <w:gridCol w:w="991"/>
        <w:gridCol w:w="991"/>
        <w:gridCol w:w="992"/>
        <w:gridCol w:w="992"/>
        <w:gridCol w:w="992"/>
        <w:gridCol w:w="992"/>
        <w:gridCol w:w="992"/>
        <w:gridCol w:w="992"/>
        <w:gridCol w:w="813"/>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индекса за последний год</w:t>
            </w:r>
            <w:r>
              <w:rPr>
                <w:rFonts w:ascii="Times New Roman"/>
                <w:b w:val="false"/>
                <w:i w:val="false"/>
                <w:color w:val="000000"/>
                <w:vertAlign w:val="superscript"/>
              </w:rPr>
              <w:t>2</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27"/>
          <w:p>
            <w:pPr>
              <w:spacing w:after="20"/>
              <w:ind w:left="20"/>
              <w:jc w:val="both"/>
            </w:pPr>
            <w:r>
              <w:rPr>
                <w:rFonts w:ascii="Times New Roman"/>
                <w:b w:val="false"/>
                <w:i w:val="false"/>
                <w:color w:val="000000"/>
                <w:sz w:val="20"/>
              </w:rPr>
              <w:t>
</w:t>
            </w:r>
            <w:r>
              <w:rPr>
                <w:rFonts w:ascii="Times New Roman"/>
                <w:b/>
                <w:i w:val="false"/>
                <w:color w:val="000000"/>
                <w:sz w:val="20"/>
              </w:rPr>
              <w:t>A. Базовые параметры</w:t>
            </w:r>
          </w:p>
          <w:bookmarkEnd w:id="27"/>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 w:id="28"/>
          <w:p>
            <w:pPr>
              <w:spacing w:after="20"/>
              <w:ind w:left="20"/>
              <w:jc w:val="both"/>
            </w:pPr>
            <w:r>
              <w:rPr>
                <w:rFonts w:ascii="Times New Roman"/>
                <w:b w:val="false"/>
                <w:i w:val="false"/>
                <w:color w:val="000000"/>
                <w:sz w:val="20"/>
              </w:rPr>
              <w:t>
Институты развития</w:t>
            </w:r>
          </w:p>
          <w:bookmarkEnd w:id="28"/>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29"/>
          <w:p>
            <w:pPr>
              <w:spacing w:after="20"/>
              <w:ind w:left="20"/>
              <w:jc w:val="both"/>
            </w:pPr>
            <w:r>
              <w:rPr>
                <w:rFonts w:ascii="Times New Roman"/>
                <w:b w:val="false"/>
                <w:i w:val="false"/>
                <w:color w:val="000000"/>
                <w:sz w:val="20"/>
              </w:rPr>
              <w:t>
Инфраструктура</w:t>
            </w:r>
          </w:p>
          <w:bookmarkEnd w:id="29"/>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30"/>
          <w:p>
            <w:pPr>
              <w:spacing w:after="20"/>
              <w:ind w:left="20"/>
              <w:jc w:val="both"/>
            </w:pPr>
            <w:r>
              <w:rPr>
                <w:rFonts w:ascii="Times New Roman"/>
                <w:b w:val="false"/>
                <w:i w:val="false"/>
                <w:color w:val="000000"/>
                <w:sz w:val="20"/>
              </w:rPr>
              <w:t>
Макроэкономическая среда</w:t>
            </w:r>
          </w:p>
          <w:bookmarkEnd w:id="30"/>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31"/>
          <w:p>
            <w:pPr>
              <w:spacing w:after="20"/>
              <w:ind w:left="20"/>
              <w:jc w:val="both"/>
            </w:pPr>
            <w:r>
              <w:rPr>
                <w:rFonts w:ascii="Times New Roman"/>
                <w:b w:val="false"/>
                <w:i w:val="false"/>
                <w:color w:val="000000"/>
                <w:sz w:val="20"/>
              </w:rPr>
              <w:t>
Здоровье и начальное образование</w:t>
            </w:r>
          </w:p>
          <w:bookmarkEnd w:id="31"/>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 w:id="32"/>
          <w:p>
            <w:pPr>
              <w:spacing w:after="20"/>
              <w:ind w:left="20"/>
              <w:jc w:val="both"/>
            </w:pPr>
            <w:r>
              <w:rPr>
                <w:rFonts w:ascii="Times New Roman"/>
                <w:b w:val="false"/>
                <w:i w:val="false"/>
                <w:color w:val="000000"/>
                <w:sz w:val="20"/>
              </w:rPr>
              <w:t>
</w:t>
            </w:r>
            <w:r>
              <w:rPr>
                <w:rFonts w:ascii="Times New Roman"/>
                <w:b/>
                <w:i w:val="false"/>
                <w:color w:val="000000"/>
                <w:sz w:val="20"/>
              </w:rPr>
              <w:t>B. Элементы эффективности</w:t>
            </w:r>
          </w:p>
          <w:bookmarkEnd w:id="32"/>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 w:id="33"/>
          <w:p>
            <w:pPr>
              <w:spacing w:after="20"/>
              <w:ind w:left="20"/>
              <w:jc w:val="both"/>
            </w:pPr>
            <w:r>
              <w:rPr>
                <w:rFonts w:ascii="Times New Roman"/>
                <w:b w:val="false"/>
                <w:i w:val="false"/>
                <w:color w:val="000000"/>
                <w:sz w:val="20"/>
              </w:rPr>
              <w:t>
Высшее образование и профессиональная подготовка</w:t>
            </w:r>
          </w:p>
          <w:bookmarkEnd w:id="33"/>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 w:id="34"/>
          <w:p>
            <w:pPr>
              <w:spacing w:after="20"/>
              <w:ind w:left="20"/>
              <w:jc w:val="both"/>
            </w:pPr>
            <w:r>
              <w:rPr>
                <w:rFonts w:ascii="Times New Roman"/>
                <w:b w:val="false"/>
                <w:i w:val="false"/>
                <w:color w:val="000000"/>
                <w:sz w:val="20"/>
              </w:rPr>
              <w:t>
Эффективность рынка товаров и услуг</w:t>
            </w:r>
          </w:p>
          <w:bookmarkEnd w:id="34"/>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 w:id="35"/>
          <w:p>
            <w:pPr>
              <w:spacing w:after="20"/>
              <w:ind w:left="20"/>
              <w:jc w:val="both"/>
            </w:pPr>
            <w:r>
              <w:rPr>
                <w:rFonts w:ascii="Times New Roman"/>
                <w:b w:val="false"/>
                <w:i w:val="false"/>
                <w:color w:val="000000"/>
                <w:sz w:val="20"/>
              </w:rPr>
              <w:t>
Эффективность рынка труда</w:t>
            </w:r>
          </w:p>
          <w:bookmarkEnd w:id="35"/>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 w:id="36"/>
          <w:p>
            <w:pPr>
              <w:spacing w:after="20"/>
              <w:ind w:left="20"/>
              <w:jc w:val="both"/>
            </w:pPr>
            <w:r>
              <w:rPr>
                <w:rFonts w:ascii="Times New Roman"/>
                <w:b w:val="false"/>
                <w:i w:val="false"/>
                <w:color w:val="000000"/>
                <w:sz w:val="20"/>
              </w:rPr>
              <w:t>
Развитость финансового рынка</w:t>
            </w:r>
          </w:p>
          <w:bookmarkEnd w:id="36"/>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37"/>
          <w:p>
            <w:pPr>
              <w:spacing w:after="20"/>
              <w:ind w:left="20"/>
              <w:jc w:val="both"/>
            </w:pPr>
            <w:r>
              <w:rPr>
                <w:rFonts w:ascii="Times New Roman"/>
                <w:b w:val="false"/>
                <w:i w:val="false"/>
                <w:color w:val="000000"/>
                <w:sz w:val="20"/>
              </w:rPr>
              <w:t>
Технологическая готовность</w:t>
            </w:r>
          </w:p>
          <w:bookmarkEnd w:id="37"/>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38"/>
          <w:p>
            <w:pPr>
              <w:spacing w:after="20"/>
              <w:ind w:left="20"/>
              <w:jc w:val="both"/>
            </w:pPr>
            <w:r>
              <w:rPr>
                <w:rFonts w:ascii="Times New Roman"/>
                <w:b w:val="false"/>
                <w:i w:val="false"/>
                <w:color w:val="000000"/>
                <w:sz w:val="20"/>
              </w:rPr>
              <w:t>
Размер рынка</w:t>
            </w:r>
          </w:p>
          <w:bookmarkEnd w:id="38"/>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39"/>
          <w:p>
            <w:pPr>
              <w:spacing w:after="20"/>
              <w:ind w:left="20"/>
              <w:jc w:val="both"/>
            </w:pPr>
            <w:r>
              <w:rPr>
                <w:rFonts w:ascii="Times New Roman"/>
                <w:b w:val="false"/>
                <w:i w:val="false"/>
                <w:color w:val="000000"/>
                <w:sz w:val="20"/>
              </w:rPr>
              <w:t>
</w:t>
            </w:r>
            <w:r>
              <w:rPr>
                <w:rFonts w:ascii="Times New Roman"/>
                <w:b/>
                <w:i w:val="false"/>
                <w:color w:val="000000"/>
                <w:sz w:val="20"/>
              </w:rPr>
              <w:t>C. Инновации и конкурентоспособность</w:t>
            </w:r>
          </w:p>
          <w:bookmarkEnd w:id="39"/>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 w:id="40"/>
          <w:p>
            <w:pPr>
              <w:spacing w:after="20"/>
              <w:ind w:left="20"/>
              <w:jc w:val="both"/>
            </w:pPr>
            <w:r>
              <w:rPr>
                <w:rFonts w:ascii="Times New Roman"/>
                <w:b w:val="false"/>
                <w:i w:val="false"/>
                <w:color w:val="000000"/>
                <w:sz w:val="20"/>
              </w:rPr>
              <w:t>
Конкурентоспособность бизнеса</w:t>
            </w:r>
          </w:p>
          <w:bookmarkEnd w:id="40"/>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 w:id="41"/>
          <w:p>
            <w:pPr>
              <w:spacing w:after="20"/>
              <w:ind w:left="20"/>
              <w:jc w:val="both"/>
            </w:pPr>
            <w:r>
              <w:rPr>
                <w:rFonts w:ascii="Times New Roman"/>
                <w:b w:val="false"/>
                <w:i w:val="false"/>
                <w:color w:val="000000"/>
                <w:sz w:val="20"/>
              </w:rPr>
              <w:t>
Инновации</w:t>
            </w:r>
          </w:p>
          <w:bookmarkEnd w:id="41"/>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77" w:id="4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w:t>
      </w:r>
      <w:r>
        <w:rPr>
          <w:rFonts w:ascii="Times New Roman"/>
          <w:b w:val="false"/>
          <w:i w:val="false"/>
          <w:color w:val="000000"/>
          <w:sz w:val="28"/>
        </w:rPr>
        <w:t>. Динамика факторов конкурентоспособности Казахстана за период с 2006 по 2016 годы.</w:t>
      </w:r>
    </w:p>
    <w:bookmarkEnd w:id="42"/>
    <w:bookmarkStart w:name="z78" w:id="43"/>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Отчеты о глобальной конкурентоспособности ВЭФ</w:t>
      </w:r>
    </w:p>
    <w:bookmarkEnd w:id="43"/>
    <w:bookmarkStart w:name="z79" w:id="44"/>
    <w:p>
      <w:pPr>
        <w:spacing w:after="0"/>
        <w:ind w:left="0"/>
        <w:jc w:val="both"/>
      </w:pPr>
      <w:r>
        <w:rPr>
          <w:rFonts w:ascii="Times New Roman"/>
          <w:b w:val="false"/>
          <w:i w:val="false"/>
          <w:color w:val="000000"/>
          <w:sz w:val="28"/>
        </w:rPr>
        <w:t>
      Самое значительное ухудшение наблюдается в факторе "Макроэкономическая среда":</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8"/>
        <w:gridCol w:w="953"/>
        <w:gridCol w:w="953"/>
        <w:gridCol w:w="953"/>
        <w:gridCol w:w="953"/>
        <w:gridCol w:w="953"/>
        <w:gridCol w:w="953"/>
        <w:gridCol w:w="954"/>
        <w:gridCol w:w="954"/>
        <w:gridCol w:w="954"/>
        <w:gridCol w:w="954"/>
        <w:gridCol w:w="954"/>
        <w:gridCol w:w="724"/>
      </w:tblGrid>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2016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индекса за последний год</w:t>
            </w:r>
            <w:r>
              <w:rPr>
                <w:rFonts w:ascii="Times New Roman"/>
                <w:b w:val="false"/>
                <w:i w:val="false"/>
                <w:color w:val="000000"/>
                <w:vertAlign w:val="superscript"/>
              </w:rPr>
              <w:t>3</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45"/>
          <w:p>
            <w:pPr>
              <w:spacing w:after="20"/>
              <w:ind w:left="20"/>
              <w:jc w:val="both"/>
            </w:pPr>
            <w:r>
              <w:rPr>
                <w:rFonts w:ascii="Times New Roman"/>
                <w:b w:val="false"/>
                <w:i w:val="false"/>
                <w:color w:val="000000"/>
                <w:sz w:val="20"/>
              </w:rPr>
              <w:t>
Бюджетный баланс в % от ВВП</w:t>
            </w:r>
          </w:p>
          <w:bookmarkEnd w:id="45"/>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46"/>
          <w:p>
            <w:pPr>
              <w:spacing w:after="20"/>
              <w:ind w:left="20"/>
              <w:jc w:val="both"/>
            </w:pPr>
            <w:r>
              <w:rPr>
                <w:rFonts w:ascii="Times New Roman"/>
                <w:b w:val="false"/>
                <w:i w:val="false"/>
                <w:color w:val="000000"/>
                <w:sz w:val="20"/>
              </w:rPr>
              <w:t>
Валовые внутренние сбережения в % от ВВП</w:t>
            </w:r>
          </w:p>
          <w:bookmarkEnd w:id="46"/>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47"/>
          <w:p>
            <w:pPr>
              <w:spacing w:after="20"/>
              <w:ind w:left="20"/>
              <w:jc w:val="both"/>
            </w:pPr>
            <w:r>
              <w:rPr>
                <w:rFonts w:ascii="Times New Roman"/>
                <w:b w:val="false"/>
                <w:i w:val="false"/>
                <w:color w:val="000000"/>
                <w:sz w:val="20"/>
              </w:rPr>
              <w:t xml:space="preserve">
Инфляция, изменение в процентах </w:t>
            </w:r>
          </w:p>
          <w:bookmarkEnd w:id="47"/>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48"/>
          <w:p>
            <w:pPr>
              <w:spacing w:after="20"/>
              <w:ind w:left="20"/>
              <w:jc w:val="both"/>
            </w:pPr>
            <w:r>
              <w:rPr>
                <w:rFonts w:ascii="Times New Roman"/>
                <w:b w:val="false"/>
                <w:i w:val="false"/>
                <w:color w:val="000000"/>
                <w:sz w:val="20"/>
              </w:rPr>
              <w:t>
Государственный долг в % от ВВП</w:t>
            </w:r>
          </w:p>
          <w:bookmarkEnd w:id="48"/>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0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49"/>
          <w:p>
            <w:pPr>
              <w:spacing w:after="20"/>
              <w:ind w:left="20"/>
              <w:jc w:val="both"/>
            </w:pPr>
            <w:r>
              <w:rPr>
                <w:rFonts w:ascii="Times New Roman"/>
                <w:b w:val="false"/>
                <w:i w:val="false"/>
                <w:color w:val="000000"/>
                <w:sz w:val="20"/>
              </w:rPr>
              <w:t>
Кредитный рейтинг страны</w:t>
            </w:r>
          </w:p>
          <w:bookmarkEnd w:id="49"/>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86" w:id="5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w:t>
      </w:r>
      <w:r>
        <w:rPr>
          <w:rFonts w:ascii="Times New Roman"/>
          <w:b w:val="false"/>
          <w:i w:val="false"/>
          <w:color w:val="000000"/>
          <w:sz w:val="28"/>
        </w:rPr>
        <w:t>. Динамика индикаторов конкурентоспособности экономики Республики Казахстан по фактору "Макроэкономическая среда" за период с 2006 по 2016</w:t>
      </w:r>
      <w:r>
        <w:rPr>
          <w:rFonts w:ascii="Times New Roman"/>
          <w:b w:val="false"/>
          <w:i w:val="false"/>
          <w:color w:val="000000"/>
          <w:vertAlign w:val="superscript"/>
        </w:rPr>
        <w:t>4</w:t>
      </w:r>
      <w:r>
        <w:rPr>
          <w:rFonts w:ascii="Times New Roman"/>
          <w:b w:val="false"/>
          <w:i w:val="false"/>
          <w:color w:val="000000"/>
          <w:sz w:val="28"/>
        </w:rPr>
        <w:t xml:space="preserve"> годы.</w:t>
      </w:r>
    </w:p>
    <w:bookmarkEnd w:id="50"/>
    <w:bookmarkStart w:name="z87" w:id="51"/>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Отчеты о глобальной конкурентоспособности ВЭФ</w:t>
      </w:r>
    </w:p>
    <w:bookmarkEnd w:id="51"/>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w:t>
      </w:r>
      <w:r>
        <w:rPr>
          <w:rFonts w:ascii="Times New Roman"/>
          <w:b w:val="false"/>
          <w:i w:val="false"/>
          <w:color w:val="000000"/>
          <w:sz w:val="28"/>
        </w:rPr>
        <w:t xml:space="preserve"> "+" означает улучшение позиции в рейтинге, "-" - ухудшение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3</w:t>
      </w:r>
      <w:r>
        <w:rPr>
          <w:rFonts w:ascii="Times New Roman"/>
          <w:b w:val="false"/>
          <w:i w:val="false"/>
          <w:color w:val="000000"/>
          <w:sz w:val="28"/>
        </w:rPr>
        <w:t xml:space="preserve"> "+" означает улучшение позиции в рейтинге, "-" - ухудшение</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4</w:t>
      </w:r>
      <w:r>
        <w:rPr>
          <w:rFonts w:ascii="Times New Roman"/>
          <w:b w:val="false"/>
          <w:i w:val="false"/>
          <w:color w:val="000000"/>
          <w:sz w:val="28"/>
        </w:rPr>
        <w:t xml:space="preserve"> Индикаторы конкурентоспособности за определенный год основаны на фактических данных по показателям годом ранее. Так, для расчета индикатора "Бюджетный баланс в % от ВВП" 2016 года были использованы фактические данные по бюджетному балансу 2015 года, опубликованные в базе данных МВФ "Перспективы развития мировой экономики", датированной апрелем 2016 года.</w:t>
      </w:r>
    </w:p>
    <w:p>
      <w:pPr>
        <w:spacing w:after="0"/>
        <w:ind w:left="0"/>
        <w:jc w:val="both"/>
      </w:pPr>
      <w:r>
        <w:rPr>
          <w:rFonts w:ascii="Times New Roman"/>
          <w:b/>
          <w:i w:val="false"/>
          <w:color w:val="000000"/>
          <w:sz w:val="28"/>
        </w:rPr>
        <w:t>1) Бюджетный баланс в % от ВВП</w:t>
      </w:r>
    </w:p>
    <w:bookmarkStart w:name="z89"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5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4</w:t>
      </w:r>
      <w:r>
        <w:rPr>
          <w:rFonts w:ascii="Times New Roman"/>
          <w:b w:val="false"/>
          <w:i w:val="false"/>
          <w:color w:val="000000"/>
          <w:sz w:val="28"/>
        </w:rPr>
        <w:t>. Бюджетный баланс Республики Казахстан за период 2005 - 2016</w:t>
      </w:r>
      <w:r>
        <w:rPr>
          <w:rFonts w:ascii="Times New Roman"/>
          <w:b w:val="false"/>
          <w:i w:val="false"/>
          <w:color w:val="000000"/>
          <w:vertAlign w:val="superscript"/>
        </w:rPr>
        <w:t>5</w:t>
      </w:r>
      <w:r>
        <w:rPr>
          <w:rFonts w:ascii="Times New Roman"/>
          <w:b w:val="false"/>
          <w:i w:val="false"/>
          <w:color w:val="000000"/>
          <w:sz w:val="28"/>
        </w:rPr>
        <w:t xml:space="preserve"> годы в процентах к ВВП</w:t>
      </w:r>
    </w:p>
    <w:bookmarkEnd w:id="53"/>
    <w:bookmarkStart w:name="z91" w:id="54"/>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База данных Международного Валютного Фонда (далее - МВФ) "Перспективы развития мировой экономики"</w:t>
      </w:r>
    </w:p>
    <w:bookmarkEnd w:id="54"/>
    <w:bookmarkStart w:name="z92" w:id="55"/>
    <w:p>
      <w:pPr>
        <w:spacing w:after="0"/>
        <w:ind w:left="0"/>
        <w:jc w:val="both"/>
      </w:pPr>
      <w:r>
        <w:rPr>
          <w:rFonts w:ascii="Times New Roman"/>
          <w:b w:val="false"/>
          <w:i w:val="false"/>
          <w:color w:val="000000"/>
          <w:sz w:val="28"/>
        </w:rPr>
        <w:t>
      Ухудшение положения по данному индикатору в большей степени произошло из-за сокращения поступлений в Национальный фонд на 53 % в 2015 году по сравнению с 2014 годом в результате значительного снижения цен на сырьевые ресурсы. Низкие цены на сырьевые ресурсы привели к сокращению налоговых поступлений по корпоративному подоходному налогу с юридических лиц-организаций нефтяного сектора на 54 %, налогу на добычу полезных ископаемых от организаций нефтяного сектора на 52 %, рентного налога на экспортируемые сырую нефть, газовый конденсат от предприятий нефтяного сектора на 69 % и доли Республики Казахстан по разделу продуктов по заключенным контрактам от организаций нефтяного сектора на 27 %. Также произошло сокращение поступлений в государственный и местные бюджеты от налога на добавленную стоимость на 21 % и налога на международную торговлю и внешние операции на 17 %. В меньшей степени дефицит бюджета связан с увеличением государственных расходов, в том числе на социальную помощь и обеспечение, транспорт, коммуникации и обслуживание долга.</w:t>
      </w:r>
    </w:p>
    <w:bookmarkEnd w:id="55"/>
    <w:bookmarkStart w:name="z93" w:id="56"/>
    <w:p>
      <w:pPr>
        <w:spacing w:after="0"/>
        <w:ind w:left="0"/>
        <w:jc w:val="both"/>
      </w:pPr>
      <w:r>
        <w:rPr>
          <w:rFonts w:ascii="Times New Roman"/>
          <w:b w:val="false"/>
          <w:i w:val="false"/>
          <w:color w:val="000000"/>
          <w:sz w:val="28"/>
        </w:rPr>
        <w:t>
      При продолжении данного тренда (роста дефицита государственного бюджета и сокращения средств Национального фонда) потребуется существенное сокращение государственных расходов, в том числе на фондирование государственных программ через АО "НУХ "Байтерек" и его дочерние организации (далее - ДО). Если АО "НУХ "Байтерек" и его ДО не смогут заместить государственный источник фондирования деятельности альтернативными источниками фондирования с внутренних и внешних рынков капитала, то может произойти сокращение объема поддержки обрабатывающей промышленности, экспортеров и доступности жилья, что приведет к замедлению роста экономики. С 2011 по 2016 годы объем инвестиций в основной капитал несырьевых секторов экономики составлял в среднем 11-12 % к ВВП, порядка половины которых относится к государственным и квазигосударственным источникам финансирования. При снижении государственной поддержки инвестиции в экономику значительно сократятся, что приведет, в свою очередь, к сокращению ВВП страны.</w:t>
      </w:r>
    </w:p>
    <w:bookmarkEnd w:id="56"/>
    <w:p>
      <w:pPr>
        <w:spacing w:after="0"/>
        <w:ind w:left="0"/>
        <w:jc w:val="both"/>
      </w:pPr>
      <w:r>
        <w:rPr>
          <w:rFonts w:ascii="Times New Roman"/>
          <w:b w:val="false"/>
          <w:i w:val="false"/>
          <w:color w:val="000000"/>
          <w:sz w:val="28"/>
        </w:rPr>
        <w:t>
      _________________________</w:t>
      </w:r>
      <w:r>
        <w:br/>
      </w:r>
      <w:r>
        <w:rPr>
          <w:rFonts w:ascii="Times New Roman"/>
          <w:b w:val="false"/>
          <w:i w:val="false"/>
          <w:color w:val="000000"/>
          <w:vertAlign w:val="superscript"/>
        </w:rPr>
        <w:t>5</w:t>
      </w:r>
      <w:r>
        <w:rPr>
          <w:rFonts w:ascii="Times New Roman"/>
          <w:b w:val="false"/>
          <w:i w:val="false"/>
          <w:color w:val="000000"/>
          <w:sz w:val="28"/>
        </w:rPr>
        <w:t xml:space="preserve"> Прогнозные данные для 2016 года были взяты из базы данных МВФ "Перспективы развития мировой экономики", датированной октябрем 2016 года.</w:t>
      </w:r>
    </w:p>
    <w:p>
      <w:pPr>
        <w:spacing w:after="0"/>
        <w:ind w:left="0"/>
        <w:jc w:val="both"/>
      </w:pPr>
      <w:r>
        <w:rPr>
          <w:rFonts w:ascii="Times New Roman"/>
          <w:b/>
          <w:i w:val="false"/>
          <w:color w:val="000000"/>
          <w:sz w:val="28"/>
        </w:rPr>
        <w:t>2) Валовые внутренние сбережения в % от ВВП</w:t>
      </w:r>
    </w:p>
    <w:bookmarkStart w:name="z9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7112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120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 w:id="5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5</w:t>
      </w:r>
      <w:r>
        <w:rPr>
          <w:rFonts w:ascii="Times New Roman"/>
          <w:b w:val="false"/>
          <w:i w:val="false"/>
          <w:color w:val="000000"/>
          <w:sz w:val="28"/>
        </w:rPr>
        <w:t>. Валовые сбережения за период с 2005 по 2016</w:t>
      </w:r>
      <w:r>
        <w:rPr>
          <w:rFonts w:ascii="Times New Roman"/>
          <w:b w:val="false"/>
          <w:i w:val="false"/>
          <w:color w:val="000000"/>
          <w:vertAlign w:val="superscript"/>
        </w:rPr>
        <w:t>6</w:t>
      </w:r>
      <w:r>
        <w:rPr>
          <w:rFonts w:ascii="Times New Roman"/>
          <w:b w:val="false"/>
          <w:i w:val="false"/>
          <w:color w:val="000000"/>
          <w:sz w:val="28"/>
        </w:rPr>
        <w:t xml:space="preserve"> годы в процентах к ВВП</w:t>
      </w:r>
    </w:p>
    <w:bookmarkEnd w:id="58"/>
    <w:bookmarkStart w:name="z97" w:id="59"/>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База данных МВФ "Перспективы развития мировой экономики"</w:t>
      </w:r>
    </w:p>
    <w:bookmarkEnd w:id="59"/>
    <w:bookmarkStart w:name="z98" w:id="60"/>
    <w:p>
      <w:pPr>
        <w:spacing w:after="0"/>
        <w:ind w:left="0"/>
        <w:jc w:val="both"/>
      </w:pPr>
      <w:r>
        <w:rPr>
          <w:rFonts w:ascii="Times New Roman"/>
          <w:b w:val="false"/>
          <w:i w:val="false"/>
          <w:color w:val="000000"/>
          <w:sz w:val="28"/>
        </w:rPr>
        <w:t>
      Данный показатель уменьшился с 2014 по 2015 год в связи с сокращением доходов от нефтяного сектора экономики. В случае дальнейшего сокращения внутренних сбережений, рост экономики будет дополнительно ограничен из-за отсутствия внешних или государственных вливаний.</w:t>
      </w:r>
    </w:p>
    <w:bookmarkEnd w:id="60"/>
    <w:p>
      <w:pPr>
        <w:spacing w:after="0"/>
        <w:ind w:left="0"/>
        <w:jc w:val="both"/>
      </w:pPr>
      <w:r>
        <w:rPr>
          <w:rFonts w:ascii="Times New Roman"/>
          <w:b w:val="false"/>
          <w:i w:val="false"/>
          <w:color w:val="000000"/>
          <w:sz w:val="28"/>
        </w:rPr>
        <w:t>
      _________________________</w:t>
      </w:r>
      <w:r>
        <w:br/>
      </w:r>
      <w:r>
        <w:rPr>
          <w:rFonts w:ascii="Times New Roman"/>
          <w:b w:val="false"/>
          <w:i w:val="false"/>
          <w:color w:val="000000"/>
          <w:vertAlign w:val="superscript"/>
        </w:rPr>
        <w:t>6</w:t>
      </w:r>
      <w:r>
        <w:rPr>
          <w:rFonts w:ascii="Times New Roman"/>
          <w:b w:val="false"/>
          <w:i w:val="false"/>
          <w:color w:val="000000"/>
          <w:vertAlign w:val="superscript"/>
        </w:rPr>
        <w:t xml:space="preserve"> </w:t>
      </w:r>
      <w:r>
        <w:rPr>
          <w:rFonts w:ascii="Times New Roman"/>
          <w:b w:val="false"/>
          <w:i w:val="false"/>
          <w:color w:val="000000"/>
          <w:sz w:val="28"/>
        </w:rPr>
        <w:t>Прогнозные данные для 2016 года были взяты из базы данных МВФ "Перспективы развития мировой экономики", датированной октябрем 2016 года.</w:t>
      </w:r>
    </w:p>
    <w:p>
      <w:pPr>
        <w:spacing w:after="0"/>
        <w:ind w:left="0"/>
        <w:jc w:val="both"/>
      </w:pPr>
      <w:r>
        <w:rPr>
          <w:rFonts w:ascii="Times New Roman"/>
          <w:b/>
          <w:i w:val="false"/>
          <w:color w:val="000000"/>
          <w:sz w:val="28"/>
        </w:rPr>
        <w:t>3) Инфляция, изменения в %</w:t>
      </w:r>
    </w:p>
    <w:bookmarkStart w:name="z100" w:id="61"/>
    <w:p>
      <w:pPr>
        <w:spacing w:after="0"/>
        <w:ind w:left="0"/>
        <w:jc w:val="both"/>
      </w:pPr>
      <w:r>
        <w:rPr>
          <w:rFonts w:ascii="Times New Roman"/>
          <w:b w:val="false"/>
          <w:i w:val="false"/>
          <w:color w:val="000000"/>
          <w:sz w:val="28"/>
        </w:rPr>
        <w:t xml:space="preserve">
      </w:t>
      </w:r>
    </w:p>
    <w:bookmarkEnd w:id="61"/>
    <w:p>
      <w:pPr>
        <w:spacing w:after="0"/>
        <w:ind w:left="0"/>
        <w:jc w:val="both"/>
      </w:pPr>
      <w:r>
        <w:drawing>
          <wp:inline distT="0" distB="0" distL="0" distR="0">
            <wp:extent cx="7112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120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 w:id="6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6-a</w:t>
      </w:r>
      <w:r>
        <w:rPr>
          <w:rFonts w:ascii="Times New Roman"/>
          <w:b w:val="false"/>
          <w:i w:val="false"/>
          <w:color w:val="000000"/>
          <w:sz w:val="28"/>
        </w:rPr>
        <w:t>. Изменение уровня инфляции за период с 2005 по 2016</w:t>
      </w:r>
      <w:r>
        <w:rPr>
          <w:rFonts w:ascii="Times New Roman"/>
          <w:b w:val="false"/>
          <w:i w:val="false"/>
          <w:color w:val="000000"/>
          <w:vertAlign w:val="superscript"/>
        </w:rPr>
        <w:t>7</w:t>
      </w:r>
      <w:r>
        <w:rPr>
          <w:rFonts w:ascii="Times New Roman"/>
          <w:b w:val="false"/>
          <w:i w:val="false"/>
          <w:color w:val="000000"/>
          <w:sz w:val="28"/>
        </w:rPr>
        <w:t xml:space="preserve"> годы в процентах</w:t>
      </w:r>
    </w:p>
    <w:bookmarkEnd w:id="62"/>
    <w:bookmarkStart w:name="z102" w:id="63"/>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База данных МВФ "Перспективы развития мировой экономики"</w:t>
      </w:r>
    </w:p>
    <w:bookmarkEnd w:id="63"/>
    <w:bookmarkStart w:name="z103" w:id="64"/>
    <w:p>
      <w:pPr>
        <w:spacing w:after="0"/>
        <w:ind w:left="0"/>
        <w:jc w:val="both"/>
      </w:pPr>
      <w:r>
        <w:rPr>
          <w:rFonts w:ascii="Times New Roman"/>
          <w:b w:val="false"/>
          <w:i w:val="false"/>
          <w:color w:val="000000"/>
          <w:sz w:val="28"/>
        </w:rPr>
        <w:t>
      Среднегодовая инфляция в стране значительно не изменилась с 2014 по 2015 год несмотря на девальвацию национальной валюты, во многом из-за активного сдерживания государством роста цен на товары и услуги потребительской корзины.</w:t>
      </w:r>
    </w:p>
    <w:bookmarkEnd w:id="64"/>
    <w:bookmarkStart w:name="z104" w:id="65"/>
    <w:p>
      <w:pPr>
        <w:spacing w:after="0"/>
        <w:ind w:left="0"/>
        <w:jc w:val="both"/>
      </w:pPr>
      <w:r>
        <w:rPr>
          <w:rFonts w:ascii="Times New Roman"/>
          <w:b w:val="false"/>
          <w:i w:val="false"/>
          <w:color w:val="000000"/>
          <w:sz w:val="28"/>
        </w:rPr>
        <w:t>
      Высокая инфляция препятствует привлечению долевого и долгового иностранного финансирования в экономику Казахстана, замедляя темпы ее развития в случае отсутствия местного государственного и частного финансирования. Уровень инфляции 2016 года (прогнозное значение согласно МВФ - 13,1 %) может значительно ограничить привлечение иностранного финансирования в экономику Казахстана.</w:t>
      </w:r>
    </w:p>
    <w:bookmarkEnd w:id="65"/>
    <w:bookmarkStart w:name="z105" w:id="66"/>
    <w:p>
      <w:pPr>
        <w:spacing w:after="0"/>
        <w:ind w:left="0"/>
        <w:jc w:val="both"/>
      </w:pPr>
      <w:r>
        <w:rPr>
          <w:rFonts w:ascii="Times New Roman"/>
          <w:b w:val="false"/>
          <w:i w:val="false"/>
          <w:color w:val="000000"/>
          <w:sz w:val="28"/>
        </w:rPr>
        <w:t>
      Согласно данным Министерства национальной экономики Республики Казахстан (далее - МНЭ РК) инфляция в стране немного отличалась, пиковое значение произошло в 2015 году и в 2016 году не наблюдалось значительного отклонения от целевого значения в 6-8 %.</w:t>
      </w:r>
    </w:p>
    <w:bookmarkEnd w:id="66"/>
    <w:bookmarkStart w:name="z106" w:id="67"/>
    <w:p>
      <w:pPr>
        <w:spacing w:after="0"/>
        <w:ind w:left="0"/>
        <w:jc w:val="both"/>
      </w:pPr>
      <w:r>
        <w:rPr>
          <w:rFonts w:ascii="Times New Roman"/>
          <w:b w:val="false"/>
          <w:i w:val="false"/>
          <w:color w:val="000000"/>
          <w:sz w:val="28"/>
        </w:rPr>
        <w:t xml:space="preserve">
      </w:t>
      </w:r>
    </w:p>
    <w:bookmarkEnd w:id="67"/>
    <w:p>
      <w:pPr>
        <w:spacing w:after="0"/>
        <w:ind w:left="0"/>
        <w:jc w:val="both"/>
      </w:pPr>
      <w:r>
        <w:drawing>
          <wp:inline distT="0" distB="0" distL="0" distR="0">
            <wp:extent cx="71120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1120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6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6-б</w:t>
      </w:r>
      <w:r>
        <w:rPr>
          <w:rFonts w:ascii="Times New Roman"/>
          <w:b w:val="false"/>
          <w:i w:val="false"/>
          <w:color w:val="000000"/>
          <w:sz w:val="28"/>
        </w:rPr>
        <w:t>. Изменение уровня инфляции за период с 2005 по 2016</w:t>
      </w:r>
      <w:r>
        <w:rPr>
          <w:rFonts w:ascii="Times New Roman"/>
          <w:b w:val="false"/>
          <w:i w:val="false"/>
          <w:color w:val="000000"/>
          <w:vertAlign w:val="superscript"/>
        </w:rPr>
        <w:t>8</w:t>
      </w:r>
      <w:r>
        <w:rPr>
          <w:rFonts w:ascii="Times New Roman"/>
          <w:b w:val="false"/>
          <w:i w:val="false"/>
          <w:color w:val="000000"/>
          <w:sz w:val="28"/>
        </w:rPr>
        <w:t xml:space="preserve"> годы в процентах</w:t>
      </w:r>
    </w:p>
    <w:bookmarkEnd w:id="68"/>
    <w:bookmarkStart w:name="z108" w:id="69"/>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МНЭ РК</w:t>
      </w:r>
    </w:p>
    <w:bookmarkEnd w:id="69"/>
    <w:p>
      <w:pPr>
        <w:spacing w:after="0"/>
        <w:ind w:left="0"/>
        <w:jc w:val="both"/>
      </w:pPr>
      <w:r>
        <w:rPr>
          <w:rFonts w:ascii="Times New Roman"/>
          <w:b/>
          <w:i w:val="false"/>
          <w:color w:val="000000"/>
          <w:sz w:val="28"/>
        </w:rPr>
        <w:t>4) Государственный долг в % от ВВП</w:t>
      </w:r>
    </w:p>
    <w:bookmarkStart w:name="z110"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1120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1120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 w:id="7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7</w:t>
      </w:r>
      <w:r>
        <w:rPr>
          <w:rFonts w:ascii="Times New Roman"/>
          <w:b w:val="false"/>
          <w:i w:val="false"/>
          <w:color w:val="000000"/>
          <w:sz w:val="28"/>
        </w:rPr>
        <w:t>. Государственный долг в % от ВВП Республики Казахстан за период с 2005 по 2016</w:t>
      </w:r>
      <w:r>
        <w:rPr>
          <w:rFonts w:ascii="Times New Roman"/>
          <w:b w:val="false"/>
          <w:i w:val="false"/>
          <w:color w:val="000000"/>
          <w:vertAlign w:val="superscript"/>
        </w:rPr>
        <w:t>9</w:t>
      </w:r>
      <w:r>
        <w:rPr>
          <w:rFonts w:ascii="Times New Roman"/>
          <w:b w:val="false"/>
          <w:i w:val="false"/>
          <w:color w:val="000000"/>
          <w:sz w:val="28"/>
        </w:rPr>
        <w:t xml:space="preserve"> годы</w:t>
      </w:r>
    </w:p>
    <w:bookmarkEnd w:id="71"/>
    <w:bookmarkStart w:name="z112" w:id="72"/>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База данных МВФ "Перспективы развития мировой экономики"</w:t>
      </w:r>
    </w:p>
    <w:bookmarkEnd w:id="72"/>
    <w:bookmarkStart w:name="z113" w:id="73"/>
    <w:p>
      <w:pPr>
        <w:spacing w:after="0"/>
        <w:ind w:left="0"/>
        <w:jc w:val="both"/>
      </w:pPr>
      <w:r>
        <w:rPr>
          <w:rFonts w:ascii="Times New Roman"/>
          <w:b w:val="false"/>
          <w:i w:val="false"/>
          <w:color w:val="000000"/>
          <w:sz w:val="28"/>
        </w:rPr>
        <w:t>
      По субиндексу "Государственный долг" Казахстан занял 17-е место среди 138 стран и второе место среди стран СНГ после России, что свидетельствует об относительно здоровом уровне заимствований. Увеличение государственного долга с 2014 по 2015 год произошло, в основном, за счет увеличения суммы внешних заимствований Правительства Республики Казахстан. Часть увеличения объясняется девальвацией тенге в 2015 году и, соответственно, переоценкой внешних заимствований, деноминированных в иностранной валюте. Дальнейшее увеличение государственного долга может быть сопряжено с постепенным увеличением стоимости финансирования.</w:t>
      </w:r>
    </w:p>
    <w:bookmarkEnd w:id="73"/>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7</w:t>
      </w:r>
      <w:r>
        <w:rPr>
          <w:rFonts w:ascii="Times New Roman"/>
          <w:b w:val="false"/>
          <w:i w:val="false"/>
          <w:color w:val="000000"/>
          <w:vertAlign w:val="superscript"/>
        </w:rPr>
        <w:t xml:space="preserve"> </w:t>
      </w:r>
      <w:r>
        <w:rPr>
          <w:rFonts w:ascii="Times New Roman"/>
          <w:b w:val="false"/>
          <w:i w:val="false"/>
          <w:color w:val="000000"/>
          <w:sz w:val="28"/>
        </w:rPr>
        <w:t>Прогнозные данные для 2016 года были взяты из базы данных МВФ "Перспективы развития мировой экономики", датированной октябрем 2016 года.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8</w:t>
      </w:r>
      <w:r>
        <w:rPr>
          <w:rFonts w:ascii="Times New Roman"/>
          <w:b w:val="false"/>
          <w:i w:val="false"/>
          <w:color w:val="000000"/>
          <w:sz w:val="28"/>
        </w:rPr>
        <w:t xml:space="preserve"> Прогнозные данные согласно заявлению НБ РК.</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9</w:t>
      </w:r>
      <w:r>
        <w:rPr>
          <w:rFonts w:ascii="Times New Roman"/>
          <w:b w:val="false"/>
          <w:i w:val="false"/>
          <w:color w:val="000000"/>
          <w:sz w:val="28"/>
        </w:rPr>
        <w:t xml:space="preserve"> Прогнозные данные для 2016 года были взяты из базы данных МВФ "Перспективы развития мировой экономики", датированной октябрем 2016 года.</w:t>
      </w:r>
    </w:p>
    <w:p>
      <w:pPr>
        <w:spacing w:after="0"/>
        <w:ind w:left="0"/>
        <w:jc w:val="both"/>
      </w:pPr>
      <w:r>
        <w:rPr>
          <w:rFonts w:ascii="Times New Roman"/>
          <w:b/>
          <w:i w:val="false"/>
          <w:color w:val="000000"/>
          <w:sz w:val="28"/>
        </w:rPr>
        <w:t>5) Кредитный рейтинг страны</w:t>
      </w:r>
    </w:p>
    <w:bookmarkStart w:name="z115" w:id="74"/>
    <w:p>
      <w:pPr>
        <w:spacing w:after="0"/>
        <w:ind w:left="0"/>
        <w:jc w:val="both"/>
      </w:pPr>
      <w:r>
        <w:rPr>
          <w:rFonts w:ascii="Times New Roman"/>
          <w:b w:val="false"/>
          <w:i w:val="false"/>
          <w:color w:val="000000"/>
          <w:sz w:val="28"/>
        </w:rPr>
        <w:t>
      Индикатор кредитного рейтинга страны опустился на 8 позиций. Источником данных для этого индикатора является суверенный кредитный рейтинг от агентства "InstitutionalInvestor". Методика расчета кредитного рейтинга данного агентства защищена правом собственности и не раскрывается.</w:t>
      </w:r>
    </w:p>
    <w:bookmarkEnd w:id="74"/>
    <w:bookmarkStart w:name="z116" w:id="75"/>
    <w:p>
      <w:pPr>
        <w:spacing w:after="0"/>
        <w:ind w:left="0"/>
        <w:jc w:val="both"/>
      </w:pPr>
      <w:r>
        <w:rPr>
          <w:rFonts w:ascii="Times New Roman"/>
          <w:b w:val="false"/>
          <w:i w:val="false"/>
          <w:color w:val="000000"/>
          <w:sz w:val="28"/>
        </w:rPr>
        <w:t>
      Анализ суверенного кредитного рейтинга Казахстана от международных рейтинговых агентств в последние годы показывает тренд на снижение кредитоспособности страны. Рейтинговое агентство S&amp;P снизило долгосрочный рейтинг дефолта эмитента (РДЭ) Казахстана в иностранной валюте с "BBB+" в 2014 году до "BBB-" прогноз "негативный" в 2016 году (или на две ступени), Fitch Ratings снизило рейтинг с "BBB+" в 2014 году до "BBB" прогноз "стабильный" в 2016 году (на одну ступень).</w:t>
      </w:r>
    </w:p>
    <w:bookmarkEnd w:id="75"/>
    <w:bookmarkStart w:name="z117" w:id="76"/>
    <w:p>
      <w:pPr>
        <w:spacing w:after="0"/>
        <w:ind w:left="0"/>
        <w:jc w:val="both"/>
      </w:pPr>
      <w:r>
        <w:rPr>
          <w:rFonts w:ascii="Times New Roman"/>
          <w:b w:val="false"/>
          <w:i w:val="false"/>
          <w:color w:val="000000"/>
          <w:sz w:val="28"/>
        </w:rPr>
        <w:t>
      Суверенный рейтинг влияет на стоимость привлечения финансирования государством и, в случае значительного снижения, может существенно повлиять на увеличение процентной ставки по вновь привлекаемым финансовым средствам. Соотношение коэффициента обслуживания долга к государственным доходам в настоящий момент составляет ниже 10 % при пороговом уровне в 15 % и, если государственные расходы по обслуживанию долга увеличатся в условиях ограниченных государственных доходов, это значительно может повлиять на баланс бюджета и финансирование государственных программ развития экономики.</w:t>
      </w:r>
    </w:p>
    <w:bookmarkEnd w:id="76"/>
    <w:bookmarkStart w:name="z118" w:id="77"/>
    <w:p>
      <w:pPr>
        <w:spacing w:after="0"/>
        <w:ind w:left="0"/>
        <w:jc w:val="both"/>
      </w:pPr>
      <w:r>
        <w:rPr>
          <w:rFonts w:ascii="Times New Roman"/>
          <w:b w:val="false"/>
          <w:i w:val="false"/>
          <w:color w:val="000000"/>
          <w:sz w:val="28"/>
        </w:rPr>
        <w:t>
      Помимо ухудшения макроэкономической среды на понижение рейтинга конкурентоспособности экономики Казахстана в значительной степени повлияли такие факторы, как развитость финансового рынка и конкурентоспособность компаний.</w:t>
      </w:r>
    </w:p>
    <w:bookmarkEnd w:id="77"/>
    <w:bookmarkStart w:name="z119" w:id="78"/>
    <w:p>
      <w:pPr>
        <w:spacing w:after="0"/>
        <w:ind w:left="0"/>
        <w:jc w:val="both"/>
      </w:pPr>
      <w:r>
        <w:rPr>
          <w:rFonts w:ascii="Times New Roman"/>
          <w:b w:val="false"/>
          <w:i w:val="false"/>
          <w:color w:val="000000"/>
          <w:sz w:val="28"/>
        </w:rPr>
        <w:t>
      В 2016 году рейтинг страны по уровню развитости финансового рынка также снизился на 13 пунктов за счет ухудшения доступности финансовых услуг, в частности кредитования, доступности венчурного капитала, устойчивости банковской системы и эффективности регулирования фондовых бирж. Также по итогам опроса казахстанских предпринимателей на предмет выявления барьеров для ведения бизнеса 13,9 % респондентов определили доступ к финансированию как барьер, занимающий второе место после коррупции.</w:t>
      </w:r>
    </w:p>
    <w:bookmarkEnd w:id="78"/>
    <w:bookmarkStart w:name="z120" w:id="79"/>
    <w:p>
      <w:pPr>
        <w:spacing w:after="0"/>
        <w:ind w:left="0"/>
        <w:jc w:val="both"/>
      </w:pPr>
      <w:r>
        <w:rPr>
          <w:rFonts w:ascii="Times New Roman"/>
          <w:b w:val="false"/>
          <w:i w:val="false"/>
          <w:color w:val="000000"/>
          <w:sz w:val="28"/>
        </w:rPr>
        <w:t>
      В 2016 году рейтинг Казахстана по конкурентоспособности компаний ухудшился на 18 пунктов. Причиной снижения послужило ухудшение качественных показателей, таких как состояние развития кластеров, развитость процесса производства, размер создаваемой добавленной стоимости и контроль международной дистрибуции.</w:t>
      </w:r>
    </w:p>
    <w:bookmarkEnd w:id="79"/>
    <w:p>
      <w:pPr>
        <w:spacing w:after="0"/>
        <w:ind w:left="0"/>
        <w:jc w:val="both"/>
      </w:pPr>
      <w:r>
        <w:rPr>
          <w:rFonts w:ascii="Times New Roman"/>
          <w:b/>
          <w:i w:val="false"/>
          <w:color w:val="000000"/>
          <w:sz w:val="28"/>
        </w:rPr>
        <w:t>1.2 Динамика макроэкономических факторов за трехлетний период в 2016 году и на момент создания АО "НУХ "Байтерек"</w:t>
      </w:r>
    </w:p>
    <w:bookmarkStart w:name="z122" w:id="80"/>
    <w:p>
      <w:pPr>
        <w:spacing w:after="0"/>
        <w:ind w:left="0"/>
        <w:jc w:val="both"/>
      </w:pPr>
      <w:r>
        <w:rPr>
          <w:rFonts w:ascii="Times New Roman"/>
          <w:b w:val="false"/>
          <w:i w:val="false"/>
          <w:color w:val="000000"/>
          <w:sz w:val="28"/>
        </w:rPr>
        <w:t>
      Макроэкономическая ситуация (в перспективе трехлетнего периода) в Казахстане претерпела значительные изменения (рисунок 8 ниже) за последние годы, в частности:</w:t>
      </w:r>
    </w:p>
    <w:bookmarkEnd w:id="80"/>
    <w:bookmarkStart w:name="z123" w:id="81"/>
    <w:p>
      <w:pPr>
        <w:spacing w:after="0"/>
        <w:ind w:left="0"/>
        <w:jc w:val="both"/>
      </w:pPr>
      <w:r>
        <w:rPr>
          <w:rFonts w:ascii="Times New Roman"/>
          <w:b w:val="false"/>
          <w:i w:val="false"/>
          <w:color w:val="000000"/>
          <w:sz w:val="28"/>
        </w:rPr>
        <w:t xml:space="preserve">
      </w:t>
      </w:r>
      <w:r>
        <w:rPr>
          <w:rFonts w:ascii="Times New Roman"/>
          <w:b/>
          <w:i w:val="false"/>
          <w:color w:val="000000"/>
          <w:sz w:val="28"/>
        </w:rPr>
        <w:t>Темп роста реального ВВП</w:t>
      </w:r>
      <w:r>
        <w:rPr>
          <w:rFonts w:ascii="Times New Roman"/>
          <w:b w:val="false"/>
          <w:i w:val="false"/>
          <w:color w:val="000000"/>
          <w:sz w:val="28"/>
        </w:rPr>
        <w:t>: в результате завершения цикла высоких сырьевых цен с ожиданием сохранения низкого уровня в перспективе 10 - 15 лет произошло значительное замедление экономического роста.</w:t>
      </w:r>
    </w:p>
    <w:bookmarkEnd w:id="81"/>
    <w:bookmarkStart w:name="z124"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1501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1501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5" w:id="8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8.</w:t>
      </w:r>
      <w:r>
        <w:rPr>
          <w:rFonts w:ascii="Times New Roman"/>
          <w:b w:val="false"/>
          <w:i w:val="false"/>
          <w:color w:val="000000"/>
          <w:sz w:val="28"/>
        </w:rPr>
        <w:t xml:space="preserve"> Динамика темпов роста реального ВВП Казахстана, %</w:t>
      </w:r>
    </w:p>
    <w:bookmarkEnd w:id="83"/>
    <w:bookmarkStart w:name="z126" w:id="84"/>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статистике МНЭ РК</w:t>
      </w:r>
    </w:p>
    <w:bookmarkEnd w:id="84"/>
    <w:bookmarkStart w:name="z127" w:id="85"/>
    <w:p>
      <w:pPr>
        <w:spacing w:after="0"/>
        <w:ind w:left="0"/>
        <w:jc w:val="both"/>
      </w:pPr>
      <w:r>
        <w:rPr>
          <w:rFonts w:ascii="Times New Roman"/>
          <w:b w:val="false"/>
          <w:i w:val="false"/>
          <w:color w:val="000000"/>
          <w:sz w:val="28"/>
        </w:rPr>
        <w:t xml:space="preserve">
      Фактическая средняя "спот" цена на нефть марки Brent на конец 2016 года составила 53,3 долларов за баррель по сравнению с прогнозом на 2016 год, подготовленным МНЭ РК в рамках Прогноза социально-экономического развития (далее - ПСЭР) на 2014 - 2018 годы (протокол от 21 октября 2014 года № 46), - 90,0 долларов за баррель. </w:t>
      </w:r>
    </w:p>
    <w:bookmarkEnd w:id="85"/>
    <w:bookmarkStart w:name="z128" w:id="86"/>
    <w:p>
      <w:pPr>
        <w:spacing w:after="0"/>
        <w:ind w:left="0"/>
        <w:jc w:val="both"/>
      </w:pPr>
      <w:r>
        <w:rPr>
          <w:rFonts w:ascii="Times New Roman"/>
          <w:b w:val="false"/>
          <w:i w:val="false"/>
          <w:color w:val="000000"/>
          <w:sz w:val="28"/>
        </w:rPr>
        <w:t xml:space="preserve">
      </w:t>
      </w:r>
      <w:r>
        <w:rPr>
          <w:rFonts w:ascii="Times New Roman"/>
          <w:b/>
          <w:i w:val="false"/>
          <w:color w:val="000000"/>
          <w:sz w:val="28"/>
        </w:rPr>
        <w:t>Валютный курс</w:t>
      </w:r>
      <w:r>
        <w:rPr>
          <w:rFonts w:ascii="Times New Roman"/>
          <w:b w:val="false"/>
          <w:i w:val="false"/>
          <w:color w:val="000000"/>
          <w:sz w:val="28"/>
        </w:rPr>
        <w:t>: Национальный Банк Республики Казахстан принял решение с 20 августа 2015 года о переходе в режим свободно плавающего обменного курса, что в результате вызвало девальвацию национальной валюты.</w:t>
      </w:r>
    </w:p>
    <w:bookmarkEnd w:id="86"/>
    <w:bookmarkStart w:name="z129"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1120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112000" cy="147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 w:id="88"/>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9</w:t>
      </w:r>
      <w:r>
        <w:rPr>
          <w:rFonts w:ascii="Times New Roman"/>
          <w:b w:val="false"/>
          <w:i w:val="false"/>
          <w:color w:val="000000"/>
          <w:sz w:val="28"/>
        </w:rPr>
        <w:t>. Динамика обменного курса национальной валюты - тенге к доллару США.</w:t>
      </w:r>
    </w:p>
    <w:bookmarkEnd w:id="88"/>
    <w:bookmarkStart w:name="z131" w:id="89"/>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Официальный сайт Национального Банка Республики Казахстан</w:t>
      </w:r>
    </w:p>
    <w:bookmarkEnd w:id="89"/>
    <w:bookmarkStart w:name="z132" w:id="90"/>
    <w:p>
      <w:pPr>
        <w:spacing w:after="0"/>
        <w:ind w:left="0"/>
        <w:jc w:val="both"/>
      </w:pPr>
      <w:r>
        <w:rPr>
          <w:rFonts w:ascii="Times New Roman"/>
          <w:b w:val="false"/>
          <w:i w:val="false"/>
          <w:color w:val="000000"/>
          <w:sz w:val="28"/>
        </w:rPr>
        <w:t>
      Таким образом, обменный курс по отношению к доллару США по результатам 2016 года составил 342,2 тенге (в 2,2 раза выше обменного курса на конец 2013 года - 153,6 тенге).</w:t>
      </w:r>
    </w:p>
    <w:bookmarkEnd w:id="90"/>
    <w:bookmarkStart w:name="z133" w:id="91"/>
    <w:p>
      <w:pPr>
        <w:spacing w:after="0"/>
        <w:ind w:left="0"/>
        <w:jc w:val="both"/>
      </w:pPr>
      <w:r>
        <w:rPr>
          <w:rFonts w:ascii="Times New Roman"/>
          <w:b w:val="false"/>
          <w:i w:val="false"/>
          <w:color w:val="000000"/>
          <w:sz w:val="28"/>
        </w:rPr>
        <w:t xml:space="preserve">
      </w:t>
      </w:r>
      <w:r>
        <w:rPr>
          <w:rFonts w:ascii="Times New Roman"/>
          <w:b/>
          <w:i w:val="false"/>
          <w:color w:val="000000"/>
          <w:sz w:val="28"/>
        </w:rPr>
        <w:t>Доступность и стоимость кредитных ресурсов в экономике</w:t>
      </w:r>
      <w:r>
        <w:rPr>
          <w:rFonts w:ascii="Times New Roman"/>
          <w:b w:val="false"/>
          <w:i w:val="false"/>
          <w:color w:val="000000"/>
          <w:sz w:val="28"/>
        </w:rPr>
        <w:t>: в результате всех вышеизложенных факторов, а также в целях повышения привлекательности национальной валюты Национальный Банк Республики Казахстан установил базовую ставку как основной инструмент денежно-кредитной политики. В результате размер ставок по однодневным сделкам РЕПО</w:t>
      </w:r>
      <w:r>
        <w:rPr>
          <w:rFonts w:ascii="Times New Roman"/>
          <w:b w:val="false"/>
          <w:i w:val="false"/>
          <w:color w:val="000000"/>
          <w:vertAlign w:val="superscript"/>
        </w:rPr>
        <w:t>10</w:t>
      </w:r>
      <w:r>
        <w:rPr>
          <w:rFonts w:ascii="Times New Roman"/>
          <w:b w:val="false"/>
          <w:i w:val="false"/>
          <w:color w:val="000000"/>
          <w:sz w:val="28"/>
        </w:rPr>
        <w:t xml:space="preserve"> увеличился с 5,5 % в 2014 году до 12 % на конец 2016 года.</w:t>
      </w:r>
    </w:p>
    <w:bookmarkEnd w:id="91"/>
    <w:bookmarkStart w:name="z134"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048500" cy="129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048500" cy="129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9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10</w:t>
      </w:r>
      <w:r>
        <w:rPr>
          <w:rFonts w:ascii="Times New Roman"/>
          <w:b w:val="false"/>
          <w:i w:val="false"/>
          <w:color w:val="000000"/>
          <w:sz w:val="28"/>
        </w:rPr>
        <w:t>. Динамика ключевой ставки Национального Банка Республики Казахстан по операциям "РЕПО", в процентах.</w:t>
      </w:r>
    </w:p>
    <w:bookmarkEnd w:id="93"/>
    <w:bookmarkStart w:name="z136" w:id="94"/>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Официальный сайт Национального Банка Республики Казахстан</w:t>
      </w:r>
    </w:p>
    <w:bookmarkEnd w:id="94"/>
    <w:bookmarkStart w:name="z137" w:id="95"/>
    <w:p>
      <w:pPr>
        <w:spacing w:after="0"/>
        <w:ind w:left="0"/>
        <w:jc w:val="both"/>
      </w:pPr>
      <w:r>
        <w:rPr>
          <w:rFonts w:ascii="Times New Roman"/>
          <w:b w:val="false"/>
          <w:i w:val="false"/>
          <w:color w:val="000000"/>
          <w:sz w:val="28"/>
        </w:rPr>
        <w:t>
      Повышение базовой ставки Национальным Банком Республики Казахстан повлияло на сокращение ликвидности в тенге и объемов кредитования экономики коммерческими банками (далее - БВУ). В результате, финансирование несырьевых отраслей экономики осуществлялось преимущественно через государственные институты развития и по состоянию на конец 2016 года соотношение долгосрочного кредитного портфеля АО "НУХ "Байтерек" к БВУ в несырьевом секторе экономики составила 81 %.</w:t>
      </w:r>
    </w:p>
    <w:bookmarkEnd w:id="95"/>
    <w:p>
      <w:pPr>
        <w:spacing w:after="0"/>
        <w:ind w:left="0"/>
        <w:jc w:val="both"/>
      </w:pPr>
      <w:r>
        <w:rPr>
          <w:rFonts w:ascii="Times New Roman"/>
          <w:b w:val="false"/>
          <w:i w:val="false"/>
          <w:color w:val="000000"/>
          <w:sz w:val="28"/>
        </w:rPr>
        <w:t>
      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10</w:t>
      </w:r>
      <w:r>
        <w:rPr>
          <w:rFonts w:ascii="Times New Roman"/>
          <w:b w:val="false"/>
          <w:i w:val="false"/>
          <w:color w:val="000000"/>
          <w:sz w:val="28"/>
        </w:rPr>
        <w:t xml:space="preserve"> Сделка РЕПО - сделка покупки ценной бумаги с обязательством обратной продажи через определенный срок по заранее определенной цене.</w:t>
      </w:r>
    </w:p>
    <w:p>
      <w:pPr>
        <w:spacing w:after="0"/>
        <w:ind w:left="0"/>
        <w:jc w:val="both"/>
      </w:pPr>
      <w:r>
        <w:rPr>
          <w:rFonts w:ascii="Times New Roman"/>
          <w:b/>
          <w:i w:val="false"/>
          <w:color w:val="000000"/>
          <w:sz w:val="28"/>
        </w:rPr>
        <w:t>1.3 Основные направления государственной экономической политики</w:t>
      </w:r>
    </w:p>
    <w:bookmarkStart w:name="z139" w:id="96"/>
    <w:p>
      <w:pPr>
        <w:spacing w:after="0"/>
        <w:ind w:left="0"/>
        <w:jc w:val="both"/>
      </w:pPr>
      <w:r>
        <w:rPr>
          <w:rFonts w:ascii="Times New Roman"/>
          <w:b w:val="false"/>
          <w:i w:val="false"/>
          <w:color w:val="000000"/>
          <w:sz w:val="28"/>
        </w:rPr>
        <w:t>
      АО "НУХ "Байтерек" в своей деятельности руководствуется основными направлениями государственной политики в сфере индустриально- инновационного развития, продвижения экспорта национальной продукции, развития малого и среднего предпринимательства, реализации задач в жилищно-строительном секторе и повышения уровня благосостояния населения, а также другими задачами, поставленными Президентом и Правительством Республики Казахстан</w:t>
      </w:r>
      <w:r>
        <w:rPr>
          <w:rFonts w:ascii="Times New Roman"/>
          <w:b w:val="false"/>
          <w:i w:val="false"/>
          <w:color w:val="000000"/>
          <w:vertAlign w:val="superscript"/>
        </w:rPr>
        <w:t>10</w:t>
      </w:r>
      <w:r>
        <w:rPr>
          <w:rFonts w:ascii="Times New Roman"/>
          <w:b w:val="false"/>
          <w:i w:val="false"/>
          <w:color w:val="000000"/>
          <w:sz w:val="28"/>
        </w:rPr>
        <w:t>.</w:t>
      </w:r>
    </w:p>
    <w:bookmarkEnd w:id="96"/>
    <w:bookmarkStart w:name="z140" w:id="97"/>
    <w:p>
      <w:pPr>
        <w:spacing w:after="0"/>
        <w:ind w:left="0"/>
        <w:jc w:val="both"/>
      </w:pPr>
      <w:r>
        <w:rPr>
          <w:rFonts w:ascii="Times New Roman"/>
          <w:b w:val="false"/>
          <w:i w:val="false"/>
          <w:color w:val="000000"/>
          <w:sz w:val="28"/>
        </w:rPr>
        <w:t xml:space="preserve">
      В целях определения основных векторов развития государства в </w:t>
      </w:r>
      <w:r>
        <w:rPr>
          <w:rFonts w:ascii="Times New Roman"/>
          <w:b w:val="false"/>
          <w:i w:val="false"/>
          <w:color w:val="000000"/>
          <w:sz w:val="28"/>
        </w:rPr>
        <w:t>Послании</w:t>
      </w:r>
      <w:r>
        <w:rPr>
          <w:rFonts w:ascii="Times New Roman"/>
          <w:b w:val="false"/>
          <w:i w:val="false"/>
          <w:color w:val="000000"/>
          <w:sz w:val="28"/>
        </w:rPr>
        <w:t xml:space="preserve"> народу Казахстана от 17 января 2014 года "Казахстанский путь - 2050: Единая цель, единые интересы, единое будущее", а также Концепции вхождения в число 30-ти самых развитых государств мира Глава государства Нурсултан Назарбаев обозначил пять стратегических направлений, реализация которых будет способствовать вхождению Казахстана в число самых развитых стран мира:</w:t>
      </w:r>
    </w:p>
    <w:bookmarkEnd w:id="97"/>
    <w:bookmarkStart w:name="z141" w:id="98"/>
    <w:p>
      <w:pPr>
        <w:spacing w:after="0"/>
        <w:ind w:left="0"/>
        <w:jc w:val="both"/>
      </w:pPr>
      <w:r>
        <w:rPr>
          <w:rFonts w:ascii="Times New Roman"/>
          <w:b w:val="false"/>
          <w:i w:val="false"/>
          <w:color w:val="000000"/>
          <w:sz w:val="28"/>
        </w:rPr>
        <w:t>
      1) развитие человеческого капитала - главного двигателя инноваций;</w:t>
      </w:r>
    </w:p>
    <w:bookmarkEnd w:id="98"/>
    <w:bookmarkStart w:name="z142" w:id="99"/>
    <w:p>
      <w:pPr>
        <w:spacing w:after="0"/>
        <w:ind w:left="0"/>
        <w:jc w:val="both"/>
      </w:pPr>
      <w:r>
        <w:rPr>
          <w:rFonts w:ascii="Times New Roman"/>
          <w:b w:val="false"/>
          <w:i w:val="false"/>
          <w:color w:val="000000"/>
          <w:sz w:val="28"/>
        </w:rPr>
        <w:t>
      2) совершенствование институциональной среды, обеспечивающей благоприятные условия для развития бизнеса и предпринимательских инициатив;</w:t>
      </w:r>
    </w:p>
    <w:bookmarkEnd w:id="99"/>
    <w:bookmarkStart w:name="z143" w:id="100"/>
    <w:p>
      <w:pPr>
        <w:spacing w:after="0"/>
        <w:ind w:left="0"/>
        <w:jc w:val="both"/>
      </w:pPr>
      <w:r>
        <w:rPr>
          <w:rFonts w:ascii="Times New Roman"/>
          <w:b w:val="false"/>
          <w:i w:val="false"/>
          <w:color w:val="000000"/>
          <w:sz w:val="28"/>
        </w:rPr>
        <w:t>
      3) развитие отраслей наукоемкой экономики путем принятия поэтапного подхода, основанного на формировании необходимой отраслевой базы для перехода к наукоемкой экономике в долгосрочной перспективе;</w:t>
      </w:r>
    </w:p>
    <w:bookmarkEnd w:id="100"/>
    <w:bookmarkStart w:name="z144" w:id="101"/>
    <w:p>
      <w:pPr>
        <w:spacing w:after="0"/>
        <w:ind w:left="0"/>
        <w:jc w:val="both"/>
      </w:pPr>
      <w:r>
        <w:rPr>
          <w:rFonts w:ascii="Times New Roman"/>
          <w:b w:val="false"/>
          <w:i w:val="false"/>
          <w:color w:val="000000"/>
          <w:sz w:val="28"/>
        </w:rPr>
        <w:t>
      4) ускоренное формирование инфраструктуры, поддерживающей создание наукоемкой экономики через создание национальной инновационной системы, модернизацию инфраструктуры и повышение энергоэффективности;</w:t>
      </w:r>
    </w:p>
    <w:bookmarkEnd w:id="101"/>
    <w:bookmarkStart w:name="z145" w:id="102"/>
    <w:p>
      <w:pPr>
        <w:spacing w:after="0"/>
        <w:ind w:left="0"/>
        <w:jc w:val="both"/>
      </w:pPr>
      <w:r>
        <w:rPr>
          <w:rFonts w:ascii="Times New Roman"/>
          <w:b w:val="false"/>
          <w:i w:val="false"/>
          <w:color w:val="000000"/>
          <w:sz w:val="28"/>
        </w:rPr>
        <w:t>
      5) углубление интеграции в систему международных отношений.</w:t>
      </w:r>
    </w:p>
    <w:bookmarkEnd w:id="102"/>
    <w:bookmarkStart w:name="z146" w:id="103"/>
    <w:p>
      <w:pPr>
        <w:spacing w:after="0"/>
        <w:ind w:left="0"/>
        <w:jc w:val="both"/>
      </w:pPr>
      <w:r>
        <w:rPr>
          <w:rFonts w:ascii="Times New Roman"/>
          <w:b w:val="false"/>
          <w:i w:val="false"/>
          <w:color w:val="000000"/>
          <w:sz w:val="28"/>
        </w:rPr>
        <w:t>
      В Концепции вхождения в число 30-ти самых развитых государств мира были определены главные элементы наукоемкой экономики - инновации, инвестиции и предпринимательство.</w:t>
      </w:r>
    </w:p>
    <w:bookmarkEnd w:id="103"/>
    <w:bookmarkStart w:name="z147" w:id="104"/>
    <w:p>
      <w:pPr>
        <w:spacing w:after="0"/>
        <w:ind w:left="0"/>
        <w:jc w:val="both"/>
      </w:pPr>
      <w:r>
        <w:rPr>
          <w:rFonts w:ascii="Times New Roman"/>
          <w:b w:val="false"/>
          <w:i w:val="false"/>
          <w:color w:val="000000"/>
          <w:sz w:val="28"/>
        </w:rPr>
        <w:t xml:space="preserve">
      Основой для экономического роста должны стать долгосрочный рост производительности труда, развитие инноваций, диверсификация производства и экспорта, а также развитие бизнес-секторов страны за счет привлечения внешних и активного использования внутренних ресурсов. </w:t>
      </w:r>
    </w:p>
    <w:bookmarkEnd w:id="104"/>
    <w:bookmarkStart w:name="z148" w:id="105"/>
    <w:p>
      <w:pPr>
        <w:spacing w:after="0"/>
        <w:ind w:left="0"/>
        <w:jc w:val="both"/>
      </w:pPr>
      <w:r>
        <w:rPr>
          <w:rFonts w:ascii="Times New Roman"/>
          <w:b w:val="false"/>
          <w:i w:val="false"/>
          <w:color w:val="000000"/>
          <w:sz w:val="28"/>
        </w:rPr>
        <w:t xml:space="preserve">
      На основе </w:t>
      </w:r>
      <w:r>
        <w:rPr>
          <w:rFonts w:ascii="Times New Roman"/>
          <w:b w:val="false"/>
          <w:i w:val="false"/>
          <w:color w:val="000000"/>
          <w:sz w:val="28"/>
        </w:rPr>
        <w:t>Послания</w:t>
      </w:r>
      <w:r>
        <w:rPr>
          <w:rFonts w:ascii="Times New Roman"/>
          <w:b w:val="false"/>
          <w:i w:val="false"/>
          <w:color w:val="000000"/>
          <w:sz w:val="28"/>
        </w:rPr>
        <w:t xml:space="preserve"> народу Казахстана "Казахстанский путь - 2050" и Концепции по вхождению Казахстана в число 30-ти самых развитых государств мира были разработаны государственные и правительственные программы, направленные на достижение поставленных целей. С момента утверждения Стратегии произошли значительные изменения в государственных и правительственных программах. Были разработаны </w:t>
      </w:r>
      <w:r>
        <w:rPr>
          <w:rFonts w:ascii="Times New Roman"/>
          <w:b w:val="false"/>
          <w:i w:val="false"/>
          <w:color w:val="000000"/>
          <w:sz w:val="28"/>
        </w:rPr>
        <w:t>Программа</w:t>
      </w:r>
      <w:r>
        <w:rPr>
          <w:rFonts w:ascii="Times New Roman"/>
          <w:b w:val="false"/>
          <w:i w:val="false"/>
          <w:color w:val="000000"/>
          <w:sz w:val="28"/>
        </w:rPr>
        <w:t xml:space="preserve"> "Нұрлы жол" (актуализирована 11 мая 2016 года) и </w:t>
      </w:r>
      <w:r>
        <w:rPr>
          <w:rFonts w:ascii="Times New Roman"/>
          <w:b w:val="false"/>
          <w:i w:val="false"/>
          <w:color w:val="000000"/>
          <w:sz w:val="28"/>
        </w:rPr>
        <w:t>Программа</w:t>
      </w:r>
      <w:r>
        <w:rPr>
          <w:rFonts w:ascii="Times New Roman"/>
          <w:b w:val="false"/>
          <w:i w:val="false"/>
          <w:color w:val="000000"/>
          <w:sz w:val="28"/>
        </w:rPr>
        <w:t xml:space="preserve"> "Нұрлы жер". ГПИИР была актуализирована 6 сентября 2016 года в связи с изменением макроэкономической ситуации. </w:t>
      </w:r>
      <w:r>
        <w:rPr>
          <w:rFonts w:ascii="Times New Roman"/>
          <w:b w:val="false"/>
          <w:i w:val="false"/>
          <w:color w:val="000000"/>
          <w:sz w:val="28"/>
        </w:rPr>
        <w:t>Программа</w:t>
      </w:r>
      <w:r>
        <w:rPr>
          <w:rFonts w:ascii="Times New Roman"/>
          <w:b w:val="false"/>
          <w:i w:val="false"/>
          <w:color w:val="000000"/>
          <w:sz w:val="28"/>
        </w:rPr>
        <w:t xml:space="preserve"> "ДКБ 2020" была актуализирована 31 марта 2015 года в связи с завершением первого этапа реализации. Упомянутые изменения в государственных и правительственных программах учтены при актуализации задач АО "НУХ "Байтерек" по реализации данных программ в первом квартале 2017 года.</w:t>
      </w:r>
    </w:p>
    <w:bookmarkEnd w:id="105"/>
    <w:bookmarkStart w:name="z149" w:id="106"/>
    <w:p>
      <w:pPr>
        <w:spacing w:after="0"/>
        <w:ind w:left="0"/>
        <w:jc w:val="both"/>
      </w:pPr>
      <w:r>
        <w:rPr>
          <w:rFonts w:ascii="Times New Roman"/>
          <w:b w:val="false"/>
          <w:i w:val="false"/>
          <w:color w:val="000000"/>
          <w:sz w:val="28"/>
        </w:rPr>
        <w:t>
      Согласно Посланию Президента Республики Казахстан от 31 января 2017 года реорганизации необходимо подвергнуть АО "НУХ "Байтерек", который должен стать оператором по реализации государственных программ развития. При этом функции АО "НУХ "Байтерек" необходимо оптимизировать в части передачи бизнесу функций, которые может осуществлять частный сектор. Также АО "НУХ "Байтерек" следует заниматься заимствованием из негосударственных источников на реализацию программ.</w:t>
      </w:r>
    </w:p>
    <w:bookmarkEnd w:id="106"/>
    <w:p>
      <w:pPr>
        <w:spacing w:after="0"/>
        <w:ind w:left="0"/>
        <w:jc w:val="both"/>
      </w:pPr>
      <w:r>
        <w:rPr>
          <w:rFonts w:ascii="Times New Roman"/>
          <w:b/>
          <w:i w:val="false"/>
          <w:color w:val="000000"/>
          <w:sz w:val="28"/>
        </w:rPr>
        <w:t>1.3.1 Утверждение Плана нации - 100 конкретных шагов</w:t>
      </w:r>
    </w:p>
    <w:bookmarkStart w:name="z151" w:id="107"/>
    <w:p>
      <w:pPr>
        <w:spacing w:after="0"/>
        <w:ind w:left="0"/>
        <w:jc w:val="both"/>
      </w:pPr>
      <w:r>
        <w:rPr>
          <w:rFonts w:ascii="Times New Roman"/>
          <w:b w:val="false"/>
          <w:i w:val="false"/>
          <w:color w:val="000000"/>
          <w:sz w:val="28"/>
        </w:rPr>
        <w:t>
      В мае 2015 года Президент Республики Казахстан анонсировал План нации.</w:t>
      </w:r>
    </w:p>
    <w:bookmarkEnd w:id="107"/>
    <w:bookmarkStart w:name="z152" w:id="108"/>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Планом</w:t>
      </w:r>
      <w:r>
        <w:rPr>
          <w:rFonts w:ascii="Times New Roman"/>
          <w:b w:val="false"/>
          <w:i w:val="false"/>
          <w:color w:val="000000"/>
          <w:sz w:val="28"/>
        </w:rPr>
        <w:t xml:space="preserve"> нации АО "НУХ "Байтерек" участвует в исполнении </w:t>
      </w:r>
      <w:r>
        <w:rPr>
          <w:rFonts w:ascii="Times New Roman"/>
          <w:b w:val="false"/>
          <w:i w:val="false"/>
          <w:color w:val="000000"/>
          <w:sz w:val="28"/>
        </w:rPr>
        <w:t>шага 62</w:t>
      </w:r>
      <w:r>
        <w:rPr>
          <w:rFonts w:ascii="Times New Roman"/>
          <w:b w:val="false"/>
          <w:i w:val="false"/>
          <w:color w:val="000000"/>
          <w:sz w:val="28"/>
        </w:rPr>
        <w:t xml:space="preserve"> по реализации инициативы "Лидеры конкурентоспособности - национальные чемпионы" (далее - инициатива) с ориентацией на поддержку лидеров среднего бизнеса в несырьевых отраслях экономики.</w:t>
      </w:r>
    </w:p>
    <w:bookmarkEnd w:id="108"/>
    <w:bookmarkStart w:name="z153" w:id="109"/>
    <w:p>
      <w:pPr>
        <w:spacing w:after="0"/>
        <w:ind w:left="0"/>
        <w:jc w:val="both"/>
      </w:pPr>
      <w:r>
        <w:rPr>
          <w:rFonts w:ascii="Times New Roman"/>
          <w:b w:val="false"/>
          <w:i w:val="false"/>
          <w:color w:val="000000"/>
          <w:sz w:val="28"/>
        </w:rPr>
        <w:t>
      Инициатива направлена на выявление успешных компаний отечественного бизнеса с перспективами роста, которые могут стать лидерами конкурентоспособности на территории Республики Казахстан, а также на региональном и международном уровнях.</w:t>
      </w:r>
    </w:p>
    <w:bookmarkEnd w:id="109"/>
    <w:bookmarkStart w:name="z154" w:id="110"/>
    <w:p>
      <w:pPr>
        <w:spacing w:after="0"/>
        <w:ind w:left="0"/>
        <w:jc w:val="both"/>
      </w:pPr>
      <w:r>
        <w:rPr>
          <w:rFonts w:ascii="Times New Roman"/>
          <w:b w:val="false"/>
          <w:i w:val="false"/>
          <w:color w:val="000000"/>
          <w:sz w:val="28"/>
        </w:rPr>
        <w:t>
      Меры поддержки состоят из трех основных направлений: финансовая поддержка, консалтинговое сопровождение и институциональная поддержка (координация работы по взаимодействию с государственными органами).</w:t>
      </w:r>
    </w:p>
    <w:bookmarkEnd w:id="110"/>
    <w:bookmarkStart w:name="z155" w:id="111"/>
    <w:p>
      <w:pPr>
        <w:spacing w:after="0"/>
        <w:ind w:left="0"/>
        <w:jc w:val="both"/>
      </w:pPr>
      <w:r>
        <w:rPr>
          <w:rFonts w:ascii="Times New Roman"/>
          <w:b w:val="false"/>
          <w:i w:val="false"/>
          <w:color w:val="000000"/>
          <w:sz w:val="28"/>
        </w:rPr>
        <w:t>
      В рамках финансовой поддержки участникам инициативы предоставляется доступ к финансовым инструментам ДО АО "НУХ "Байтерек" в соответствии с их внутренними документами.</w:t>
      </w:r>
    </w:p>
    <w:bookmarkEnd w:id="111"/>
    <w:bookmarkStart w:name="z156" w:id="112"/>
    <w:p>
      <w:pPr>
        <w:spacing w:after="0"/>
        <w:ind w:left="0"/>
        <w:jc w:val="both"/>
      </w:pPr>
      <w:r>
        <w:rPr>
          <w:rFonts w:ascii="Times New Roman"/>
          <w:b w:val="false"/>
          <w:i w:val="false"/>
          <w:color w:val="000000"/>
          <w:sz w:val="28"/>
        </w:rPr>
        <w:t>
      В рамках консультационного сопровождения оказывается поддержка по обеспечению доступа к передовому опыту в области управления и повышения эффективности деятельности с привлечением консалтинговых компаний.</w:t>
      </w:r>
    </w:p>
    <w:bookmarkEnd w:id="112"/>
    <w:bookmarkStart w:name="z157" w:id="113"/>
    <w:p>
      <w:pPr>
        <w:spacing w:after="0"/>
        <w:ind w:left="0"/>
        <w:jc w:val="both"/>
      </w:pPr>
      <w:r>
        <w:rPr>
          <w:rFonts w:ascii="Times New Roman"/>
          <w:b w:val="false"/>
          <w:i w:val="false"/>
          <w:color w:val="000000"/>
          <w:sz w:val="28"/>
        </w:rPr>
        <w:t>
      Институциональная поддержка направлена на инициирование эффективного диалога между компаниями-участницами инициативы и государственными органами для устранения общеотраслевых барьеров.</w:t>
      </w:r>
    </w:p>
    <w:bookmarkEnd w:id="113"/>
    <w:p>
      <w:pPr>
        <w:spacing w:after="0"/>
        <w:ind w:left="0"/>
        <w:jc w:val="both"/>
      </w:pPr>
      <w:r>
        <w:rPr>
          <w:rFonts w:ascii="Times New Roman"/>
          <w:b/>
          <w:i w:val="false"/>
          <w:color w:val="000000"/>
          <w:sz w:val="28"/>
        </w:rPr>
        <w:t>1.3.2 Новые государственные и правительственные программы - программы "Нұрлы жол" и "Нұрлы жер"</w:t>
      </w:r>
    </w:p>
    <w:bookmarkStart w:name="z159" w:id="114"/>
    <w:p>
      <w:pPr>
        <w:spacing w:after="0"/>
        <w:ind w:left="0"/>
        <w:jc w:val="both"/>
      </w:pPr>
      <w:r>
        <w:rPr>
          <w:rFonts w:ascii="Times New Roman"/>
          <w:b w:val="false"/>
          <w:i w:val="false"/>
          <w:color w:val="000000"/>
          <w:sz w:val="28"/>
        </w:rPr>
        <w:t>
      Государственная программа инфраструктурного развития "Нұрлы жол" на 2015 - 2019 годы</w:t>
      </w:r>
    </w:p>
    <w:bookmarkEnd w:id="114"/>
    <w:bookmarkStart w:name="z160" w:id="115"/>
    <w:p>
      <w:pPr>
        <w:spacing w:after="0"/>
        <w:ind w:left="0"/>
        <w:jc w:val="both"/>
      </w:pPr>
      <w:r>
        <w:rPr>
          <w:rFonts w:ascii="Times New Roman"/>
          <w:b w:val="false"/>
          <w:i w:val="false"/>
          <w:color w:val="000000"/>
          <w:sz w:val="28"/>
        </w:rPr>
        <w:t>
      Одним из приоритетных направлений Программы "Нұрлы жол" является повышение доступности финансирования для субъектов малого и среднего бизнеса (далее - МСБ) и крупного предпринимательства в сфере обрабатывающей промышленности.</w:t>
      </w:r>
    </w:p>
    <w:bookmarkEnd w:id="115"/>
    <w:bookmarkStart w:name="z161" w:id="116"/>
    <w:p>
      <w:pPr>
        <w:spacing w:after="0"/>
        <w:ind w:left="0"/>
        <w:jc w:val="both"/>
      </w:pPr>
      <w:r>
        <w:rPr>
          <w:rFonts w:ascii="Times New Roman"/>
          <w:b w:val="false"/>
          <w:i w:val="false"/>
          <w:color w:val="000000"/>
          <w:sz w:val="28"/>
        </w:rPr>
        <w:t>
      АО "НУХ "Байтерек" и его ДО вовлечены или могут быть вовлечены в реализацию следующих ключевых задач в рамках Программы "Нұрлы жол":</w:t>
      </w:r>
    </w:p>
    <w:bookmarkEnd w:id="116"/>
    <w:bookmarkStart w:name="z162" w:id="117"/>
    <w:p>
      <w:pPr>
        <w:spacing w:after="0"/>
        <w:ind w:left="0"/>
        <w:jc w:val="both"/>
      </w:pPr>
      <w:r>
        <w:rPr>
          <w:rFonts w:ascii="Times New Roman"/>
          <w:b w:val="false"/>
          <w:i w:val="false"/>
          <w:color w:val="000000"/>
          <w:sz w:val="28"/>
        </w:rPr>
        <w:t>
      1) в рамках задач по созданию эффективной транспортно-логистической инфраструктуры ТОО "Kazakhstan Project Preparation Fund" (далее - KPPF) будет оказывать содействие достижению задачи через подготовку проектной документации, сопровождение и консультирование проектов государственно-частного партнерства;</w:t>
      </w:r>
    </w:p>
    <w:bookmarkEnd w:id="117"/>
    <w:bookmarkStart w:name="z163" w:id="118"/>
    <w:p>
      <w:pPr>
        <w:spacing w:after="0"/>
        <w:ind w:left="0"/>
        <w:jc w:val="both"/>
      </w:pPr>
      <w:r>
        <w:rPr>
          <w:rFonts w:ascii="Times New Roman"/>
          <w:b w:val="false"/>
          <w:i w:val="false"/>
          <w:color w:val="000000"/>
          <w:sz w:val="28"/>
        </w:rPr>
        <w:t xml:space="preserve">
      2) в рамках задачи по повышению конкурентоспособности субъектов предпринимательства задействованы ресурсы акционерного общества "Фонд развития предпринимательства "Даму" (далее - Даму) в части поддержки субъектов МСБ и акционерное общество "Банк Развития Казахстана" (далее - БРК) в части поддержки субъектов крупного предпринимательства; </w:t>
      </w:r>
    </w:p>
    <w:bookmarkEnd w:id="118"/>
    <w:bookmarkStart w:name="z164" w:id="119"/>
    <w:p>
      <w:pPr>
        <w:spacing w:after="0"/>
        <w:ind w:left="0"/>
        <w:jc w:val="both"/>
      </w:pPr>
      <w:r>
        <w:rPr>
          <w:rFonts w:ascii="Times New Roman"/>
          <w:b w:val="false"/>
          <w:i w:val="false"/>
          <w:color w:val="000000"/>
          <w:sz w:val="28"/>
        </w:rPr>
        <w:t>
      3) в рамках задачи по поддержке экспорта задействованы ресурсы БРК и акционерного общества "Экспортная страховая компания "KazakhExport" (далее - КазахЭкспорт);</w:t>
      </w:r>
    </w:p>
    <w:bookmarkEnd w:id="119"/>
    <w:bookmarkStart w:name="z165" w:id="120"/>
    <w:p>
      <w:pPr>
        <w:spacing w:after="0"/>
        <w:ind w:left="0"/>
        <w:jc w:val="both"/>
      </w:pPr>
      <w:r>
        <w:rPr>
          <w:rFonts w:ascii="Times New Roman"/>
          <w:b w:val="false"/>
          <w:i w:val="false"/>
          <w:color w:val="000000"/>
          <w:sz w:val="28"/>
        </w:rPr>
        <w:t>
      4) в рамках задачи по поддержке отечественного машиностроения задействованы ресурсы дочерней организации БРК акционерного общества "БРК-Лизинг" (далее - БРК-Лизинг), осуществляющей лизинговое финансирование отечественных производителей автомобилей, вертолетов и железнодорожных вагонов.</w:t>
      </w:r>
    </w:p>
    <w:bookmarkEnd w:id="120"/>
    <w:bookmarkStart w:name="z166" w:id="121"/>
    <w:p>
      <w:pPr>
        <w:spacing w:after="0"/>
        <w:ind w:left="0"/>
        <w:jc w:val="both"/>
      </w:pPr>
      <w:r>
        <w:rPr>
          <w:rFonts w:ascii="Times New Roman"/>
          <w:b w:val="false"/>
          <w:i w:val="false"/>
          <w:color w:val="000000"/>
          <w:sz w:val="28"/>
        </w:rPr>
        <w:t>
      Программа жилищного строительства "Нұрлы жер"</w:t>
      </w:r>
    </w:p>
    <w:bookmarkEnd w:id="121"/>
    <w:bookmarkStart w:name="z167" w:id="122"/>
    <w:p>
      <w:pPr>
        <w:spacing w:after="0"/>
        <w:ind w:left="0"/>
        <w:jc w:val="both"/>
      </w:pPr>
      <w:r>
        <w:rPr>
          <w:rFonts w:ascii="Times New Roman"/>
          <w:b w:val="false"/>
          <w:i w:val="false"/>
          <w:color w:val="000000"/>
          <w:sz w:val="28"/>
        </w:rPr>
        <w:t xml:space="preserve">
      В связи с высокой потребностью населения в жилье была разработана </w:t>
      </w:r>
      <w:r>
        <w:rPr>
          <w:rFonts w:ascii="Times New Roman"/>
          <w:b w:val="false"/>
          <w:i w:val="false"/>
          <w:color w:val="000000"/>
          <w:sz w:val="28"/>
        </w:rPr>
        <w:t>Программа</w:t>
      </w:r>
      <w:r>
        <w:rPr>
          <w:rFonts w:ascii="Times New Roman"/>
          <w:b w:val="false"/>
          <w:i w:val="false"/>
          <w:color w:val="000000"/>
          <w:sz w:val="28"/>
        </w:rPr>
        <w:t xml:space="preserve"> "Нұрлы жер". Основное внимание акцентировано на вопросах подготовки инженерно-социальной инфраструктуры, финансового стимулирования частных застройщиков, эффективного использования системы жилищно-строительных сбережений и перевода строительства кредитного жилья на внебюджетное финансирование. </w:t>
      </w:r>
    </w:p>
    <w:bookmarkEnd w:id="122"/>
    <w:bookmarkStart w:name="z168" w:id="123"/>
    <w:p>
      <w:pPr>
        <w:spacing w:after="0"/>
        <w:ind w:left="0"/>
        <w:jc w:val="both"/>
      </w:pPr>
      <w:r>
        <w:rPr>
          <w:rFonts w:ascii="Times New Roman"/>
          <w:b w:val="false"/>
          <w:i w:val="false"/>
          <w:color w:val="000000"/>
          <w:sz w:val="28"/>
        </w:rPr>
        <w:t>
      Одним из пяти стратегических направлений деятельности АО "НУХ "Байтерек" и его ДО является повышение доступности жилья. В реализацию Программы "Нұрлы жер" будут задействованы ресурсы акционерного общества "Жилстройсбербанк Казахстана" (далее - ЖССБК), акционерного общества "Ипотечная компания "Казахстанская Ипотечная Компания" (далее - КИК), акционерного общества "Байтерек девелопмент" (далее - БД), акционерного общества "Фонд гарантирование жилищного строительства" (далее - ФГЖС) и Даму по следующим задачам:</w:t>
      </w:r>
    </w:p>
    <w:bookmarkEnd w:id="123"/>
    <w:bookmarkStart w:name="z169" w:id="124"/>
    <w:p>
      <w:pPr>
        <w:spacing w:after="0"/>
        <w:ind w:left="0"/>
        <w:jc w:val="both"/>
      </w:pPr>
      <w:r>
        <w:rPr>
          <w:rFonts w:ascii="Times New Roman"/>
          <w:b w:val="false"/>
          <w:i w:val="false"/>
          <w:color w:val="000000"/>
          <w:sz w:val="28"/>
        </w:rPr>
        <w:t>
      1) повышение доступности ипотечного кредитования - начиная с 2017 года из республиканского бюджета ежегодно будут выделяться субсидии до 7 % годовых от суммы ипотечного кредита, которые будут направляться через финансового агента КИК;</w:t>
      </w:r>
    </w:p>
    <w:bookmarkEnd w:id="124"/>
    <w:bookmarkStart w:name="z170" w:id="125"/>
    <w:p>
      <w:pPr>
        <w:spacing w:after="0"/>
        <w:ind w:left="0"/>
        <w:jc w:val="both"/>
      </w:pPr>
      <w:r>
        <w:rPr>
          <w:rFonts w:ascii="Times New Roman"/>
          <w:b w:val="false"/>
          <w:i w:val="false"/>
          <w:color w:val="000000"/>
          <w:sz w:val="28"/>
        </w:rPr>
        <w:t>
      2) стимулирование строительства жилья частными застройщиками - начиная с 2017 года из республиканского бюджета ежегодно будут выделяться субсидии 7 % годовых от ставки кредитования, которые будут направляться через финансового агента Даму;</w:t>
      </w:r>
    </w:p>
    <w:bookmarkEnd w:id="125"/>
    <w:bookmarkStart w:name="z171" w:id="126"/>
    <w:p>
      <w:pPr>
        <w:spacing w:after="0"/>
        <w:ind w:left="0"/>
        <w:jc w:val="both"/>
      </w:pPr>
      <w:r>
        <w:rPr>
          <w:rFonts w:ascii="Times New Roman"/>
          <w:b w:val="false"/>
          <w:i w:val="false"/>
          <w:color w:val="000000"/>
          <w:sz w:val="28"/>
        </w:rPr>
        <w:t>
      3) строительство кредитного жилья через систему жилстройсбережений путем приобретения БД ценных бумаг местных исполнительных органов и размещения обусловленных вкладов в БВУ - для обеспечения оборачиваемости средств, направляемых на строительство кредитного жилья, с 2017 года с целью кредитования вкладчиков будут ежегодно дополнительно выделяться ЖССБК 120 млрд. тенге в течение 5 лет;</w:t>
      </w:r>
    </w:p>
    <w:bookmarkEnd w:id="126"/>
    <w:bookmarkStart w:name="z172" w:id="127"/>
    <w:p>
      <w:pPr>
        <w:spacing w:after="0"/>
        <w:ind w:left="0"/>
        <w:jc w:val="both"/>
      </w:pPr>
      <w:r>
        <w:rPr>
          <w:rFonts w:ascii="Times New Roman"/>
          <w:b w:val="false"/>
          <w:i w:val="false"/>
          <w:color w:val="000000"/>
          <w:sz w:val="28"/>
        </w:rPr>
        <w:t>
      4) обеспечение населения арендным жильем - в рамках ранее принятых государственных и правительственных программ в 2017 - 2018 годы продолжается строительство арендного жилья через КИК;</w:t>
      </w:r>
    </w:p>
    <w:bookmarkEnd w:id="127"/>
    <w:bookmarkStart w:name="z173" w:id="128"/>
    <w:p>
      <w:pPr>
        <w:spacing w:after="0"/>
        <w:ind w:left="0"/>
        <w:jc w:val="both"/>
      </w:pPr>
      <w:r>
        <w:rPr>
          <w:rFonts w:ascii="Times New Roman"/>
          <w:b w:val="false"/>
          <w:i w:val="false"/>
          <w:color w:val="000000"/>
          <w:sz w:val="28"/>
        </w:rPr>
        <w:t>
      5) реализация механизма защиты долевых вкладов с участием ФГЖС.</w:t>
      </w:r>
    </w:p>
    <w:bookmarkEnd w:id="128"/>
    <w:p>
      <w:pPr>
        <w:spacing w:after="0"/>
        <w:ind w:left="0"/>
        <w:jc w:val="both"/>
      </w:pPr>
      <w:r>
        <w:rPr>
          <w:rFonts w:ascii="Times New Roman"/>
          <w:b/>
          <w:i w:val="false"/>
          <w:color w:val="000000"/>
          <w:sz w:val="28"/>
        </w:rPr>
        <w:t>1.3.3 Уточненные государственные и правительственные программы - ГПИИР, Программа ДКБ 2020</w:t>
      </w:r>
    </w:p>
    <w:bookmarkStart w:name="z175" w:id="129"/>
    <w:p>
      <w:pPr>
        <w:spacing w:after="0"/>
        <w:ind w:left="0"/>
        <w:jc w:val="both"/>
      </w:pPr>
      <w:r>
        <w:rPr>
          <w:rFonts w:ascii="Times New Roman"/>
          <w:b w:val="false"/>
          <w:i w:val="false"/>
          <w:color w:val="000000"/>
          <w:sz w:val="28"/>
        </w:rPr>
        <w:t>
      Государственная программа индустриально-инновационного развития Республики Казахстан на 2015 - 2019 годы</w:t>
      </w:r>
    </w:p>
    <w:bookmarkEnd w:id="129"/>
    <w:bookmarkStart w:name="z176" w:id="130"/>
    <w:p>
      <w:pPr>
        <w:spacing w:after="0"/>
        <w:ind w:left="0"/>
        <w:jc w:val="both"/>
      </w:pPr>
      <w:r>
        <w:rPr>
          <w:rFonts w:ascii="Times New Roman"/>
          <w:b w:val="false"/>
          <w:i w:val="false"/>
          <w:color w:val="000000"/>
          <w:sz w:val="28"/>
        </w:rPr>
        <w:t xml:space="preserve">
      Основной целью ГПИИР является акцентированное стимулирование конкурентоспособности обрабатывающей промышленности, направленное на повышение производительности труда и увеличение объемов экспорта обработанных товаров. </w:t>
      </w:r>
    </w:p>
    <w:bookmarkEnd w:id="130"/>
    <w:bookmarkStart w:name="z177" w:id="131"/>
    <w:p>
      <w:pPr>
        <w:spacing w:after="0"/>
        <w:ind w:left="0"/>
        <w:jc w:val="both"/>
      </w:pPr>
      <w:r>
        <w:rPr>
          <w:rFonts w:ascii="Times New Roman"/>
          <w:b w:val="false"/>
          <w:i w:val="false"/>
          <w:color w:val="000000"/>
          <w:sz w:val="28"/>
        </w:rPr>
        <w:t>
      АО "НУХ "Байтерек" является одним из основных операторов программы ГПИИР и вовлекается в реализацию всех ключевых задач программы:</w:t>
      </w:r>
    </w:p>
    <w:bookmarkEnd w:id="131"/>
    <w:bookmarkStart w:name="z178" w:id="132"/>
    <w:p>
      <w:pPr>
        <w:spacing w:after="0"/>
        <w:ind w:left="0"/>
        <w:jc w:val="both"/>
      </w:pPr>
      <w:r>
        <w:rPr>
          <w:rFonts w:ascii="Times New Roman"/>
          <w:b w:val="false"/>
          <w:i w:val="false"/>
          <w:color w:val="000000"/>
          <w:sz w:val="28"/>
        </w:rPr>
        <w:t>
      1) в рамках задачи по созданию эффективной базовой индустрии, БРК, БРК-Лизинг и Даму обеспечивают финансирование проектов по модернизации и расширению действующих производств;</w:t>
      </w:r>
    </w:p>
    <w:bookmarkEnd w:id="132"/>
    <w:bookmarkStart w:name="z179" w:id="133"/>
    <w:p>
      <w:pPr>
        <w:spacing w:after="0"/>
        <w:ind w:left="0"/>
        <w:jc w:val="both"/>
      </w:pPr>
      <w:r>
        <w:rPr>
          <w:rFonts w:ascii="Times New Roman"/>
          <w:b w:val="false"/>
          <w:i w:val="false"/>
          <w:color w:val="000000"/>
          <w:sz w:val="28"/>
        </w:rPr>
        <w:t>
      2) в рамках задачи по созданию новых точек индустриального роста БРК осуществляет финансирование крупных проектов;</w:t>
      </w:r>
    </w:p>
    <w:bookmarkEnd w:id="133"/>
    <w:bookmarkStart w:name="z180" w:id="134"/>
    <w:p>
      <w:pPr>
        <w:spacing w:after="0"/>
        <w:ind w:left="0"/>
        <w:jc w:val="both"/>
      </w:pPr>
      <w:r>
        <w:rPr>
          <w:rFonts w:ascii="Times New Roman"/>
          <w:b w:val="false"/>
          <w:i w:val="false"/>
          <w:color w:val="000000"/>
          <w:sz w:val="28"/>
        </w:rPr>
        <w:t>
      3) для достижения задачи по обеспечению условий для появления высокоэффективного индустриального предпринимательства АО "НУХ "Байтерек", БРК, БРК-Лизинг, Даму и КазахЭкспорт поддерживают повышение производительности предприятий обрабатывающей промышленности;</w:t>
      </w:r>
    </w:p>
    <w:bookmarkEnd w:id="134"/>
    <w:bookmarkStart w:name="z181" w:id="135"/>
    <w:p>
      <w:pPr>
        <w:spacing w:after="0"/>
        <w:ind w:left="0"/>
        <w:jc w:val="both"/>
      </w:pPr>
      <w:r>
        <w:rPr>
          <w:rFonts w:ascii="Times New Roman"/>
          <w:b w:val="false"/>
          <w:i w:val="false"/>
          <w:color w:val="000000"/>
          <w:sz w:val="28"/>
        </w:rPr>
        <w:t>
      4) основным исполнителем ключевой задачи по созданию предпосылок для появления критической массы инновационно-активного бизнеса является акционерное общество "Национальное агентство по технологическому развитию" (далее - НАТР).</w:t>
      </w:r>
    </w:p>
    <w:bookmarkEnd w:id="135"/>
    <w:bookmarkStart w:name="z182" w:id="136"/>
    <w:p>
      <w:pPr>
        <w:spacing w:after="0"/>
        <w:ind w:left="0"/>
        <w:jc w:val="both"/>
      </w:pPr>
      <w:r>
        <w:rPr>
          <w:rFonts w:ascii="Times New Roman"/>
          <w:b w:val="false"/>
          <w:i w:val="false"/>
          <w:color w:val="000000"/>
          <w:sz w:val="28"/>
        </w:rPr>
        <w:t>
      Единая программа поддержки и развития бизнеса "Дорожная карта бизнеса 2020"</w:t>
      </w:r>
    </w:p>
    <w:bookmarkEnd w:id="136"/>
    <w:bookmarkStart w:name="z183" w:id="137"/>
    <w:p>
      <w:pPr>
        <w:spacing w:after="0"/>
        <w:ind w:left="0"/>
        <w:jc w:val="both"/>
      </w:pPr>
      <w:r>
        <w:rPr>
          <w:rFonts w:ascii="Times New Roman"/>
          <w:b w:val="false"/>
          <w:i w:val="false"/>
          <w:color w:val="000000"/>
          <w:sz w:val="28"/>
        </w:rPr>
        <w:t xml:space="preserve">
      Даму является финансовым оператором </w:t>
      </w:r>
      <w:r>
        <w:rPr>
          <w:rFonts w:ascii="Times New Roman"/>
          <w:b w:val="false"/>
          <w:i w:val="false"/>
          <w:color w:val="000000"/>
          <w:sz w:val="28"/>
        </w:rPr>
        <w:t>Программы</w:t>
      </w:r>
      <w:r>
        <w:rPr>
          <w:rFonts w:ascii="Times New Roman"/>
          <w:b w:val="false"/>
          <w:i w:val="false"/>
          <w:color w:val="000000"/>
          <w:sz w:val="28"/>
        </w:rPr>
        <w:t xml:space="preserve"> "ДКБ 2020" и осуществляет поддержку субъектам МСБ путем субсидирования ставок вознаграждения по кредитам и гарантирования кредитов БВУ в рамках трех направлений:</w:t>
      </w:r>
    </w:p>
    <w:bookmarkEnd w:id="137"/>
    <w:bookmarkStart w:name="z184" w:id="138"/>
    <w:p>
      <w:pPr>
        <w:spacing w:after="0"/>
        <w:ind w:left="0"/>
        <w:jc w:val="both"/>
      </w:pPr>
      <w:r>
        <w:rPr>
          <w:rFonts w:ascii="Times New Roman"/>
          <w:b w:val="false"/>
          <w:i w:val="false"/>
          <w:color w:val="000000"/>
          <w:sz w:val="28"/>
        </w:rPr>
        <w:t>
      1) поддержка новых бизнес-инициатив предпринимателей моногородов, малых городов и сельских населенных пунктов;</w:t>
      </w:r>
    </w:p>
    <w:bookmarkEnd w:id="138"/>
    <w:bookmarkStart w:name="z185" w:id="139"/>
    <w:p>
      <w:pPr>
        <w:spacing w:after="0"/>
        <w:ind w:left="0"/>
        <w:jc w:val="both"/>
      </w:pPr>
      <w:r>
        <w:rPr>
          <w:rFonts w:ascii="Times New Roman"/>
          <w:b w:val="false"/>
          <w:i w:val="false"/>
          <w:color w:val="000000"/>
          <w:sz w:val="28"/>
        </w:rPr>
        <w:t>
      2) отраслевая поддержка предпринимателей, осуществляющих деятельность в приоритетных секторах экономики;</w:t>
      </w:r>
    </w:p>
    <w:bookmarkEnd w:id="139"/>
    <w:bookmarkStart w:name="z186" w:id="140"/>
    <w:p>
      <w:pPr>
        <w:spacing w:after="0"/>
        <w:ind w:left="0"/>
        <w:jc w:val="both"/>
      </w:pPr>
      <w:r>
        <w:rPr>
          <w:rFonts w:ascii="Times New Roman"/>
          <w:b w:val="false"/>
          <w:i w:val="false"/>
          <w:color w:val="000000"/>
          <w:sz w:val="28"/>
        </w:rPr>
        <w:t xml:space="preserve">
      3) снижение валютных рисков предпринимателей. </w:t>
      </w:r>
    </w:p>
    <w:bookmarkEnd w:id="140"/>
    <w:p>
      <w:pPr>
        <w:spacing w:after="0"/>
        <w:ind w:left="0"/>
        <w:jc w:val="both"/>
      </w:pPr>
      <w:r>
        <w:rPr>
          <w:rFonts w:ascii="Times New Roman"/>
          <w:b/>
          <w:i w:val="false"/>
          <w:color w:val="000000"/>
          <w:sz w:val="28"/>
        </w:rPr>
        <w:t>1.3.4 Комплексный план приватизации на 2016 - 2020 годы</w:t>
      </w:r>
    </w:p>
    <w:bookmarkStart w:name="z188" w:id="141"/>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30 декабря 2015 года № 1141 "О некоторых вопросах приватизации на 2016 - 2020 годы" утвержден Комплексный план приватизации на 2016 - 2020 годы. В рамках данного постановления планируется передача в конкурентную среду долей в трех ДО АО "НУХ "Байтерек" и восьми проектах акционерного общества "Инвестиционный фонд Казахстана" (далее - ИФК), в частности:</w:t>
      </w:r>
    </w:p>
    <w:bookmarkEnd w:id="141"/>
    <w:bookmarkStart w:name="z189" w:id="142"/>
    <w:p>
      <w:pPr>
        <w:spacing w:after="0"/>
        <w:ind w:left="0"/>
        <w:jc w:val="both"/>
      </w:pPr>
      <w:r>
        <w:rPr>
          <w:rFonts w:ascii="Times New Roman"/>
          <w:b w:val="false"/>
          <w:i w:val="false"/>
          <w:color w:val="000000"/>
          <w:sz w:val="28"/>
        </w:rPr>
        <w:t>
      1) ЖССБК, КазахЭкспорт и НАТР</w:t>
      </w:r>
      <w:r>
        <w:rPr>
          <w:rFonts w:ascii="Times New Roman"/>
          <w:b w:val="false"/>
          <w:i w:val="false"/>
          <w:color w:val="000000"/>
          <w:vertAlign w:val="superscript"/>
        </w:rPr>
        <w:t>11</w:t>
      </w:r>
      <w:r>
        <w:rPr>
          <w:rFonts w:ascii="Times New Roman"/>
          <w:b w:val="false"/>
          <w:i w:val="false"/>
          <w:color w:val="000000"/>
          <w:sz w:val="28"/>
        </w:rPr>
        <w:t>: планируется реализация стратегическому или квалифицированному инвестору, который имеет профессиональные навыки в соответствующей сфере деятельности;</w:t>
      </w:r>
    </w:p>
    <w:bookmarkEnd w:id="142"/>
    <w:bookmarkStart w:name="z190" w:id="143"/>
    <w:p>
      <w:pPr>
        <w:spacing w:after="0"/>
        <w:ind w:left="0"/>
        <w:jc w:val="both"/>
      </w:pPr>
      <w:r>
        <w:rPr>
          <w:rFonts w:ascii="Times New Roman"/>
          <w:b w:val="false"/>
          <w:i w:val="false"/>
          <w:color w:val="000000"/>
          <w:sz w:val="28"/>
        </w:rPr>
        <w:t>
      2) ИФК: рассматривается реализация в полном объеме долей участия в отношении 8 проектов</w:t>
      </w:r>
      <w:r>
        <w:rPr>
          <w:rFonts w:ascii="Times New Roman"/>
          <w:b w:val="false"/>
          <w:i w:val="false"/>
          <w:color w:val="000000"/>
          <w:vertAlign w:val="superscript"/>
        </w:rPr>
        <w:t>12</w:t>
      </w:r>
      <w:r>
        <w:rPr>
          <w:rFonts w:ascii="Times New Roman"/>
          <w:b w:val="false"/>
          <w:i w:val="false"/>
          <w:color w:val="000000"/>
          <w:sz w:val="28"/>
        </w:rPr>
        <w:t xml:space="preserve"> в срок до 2018 года.</w:t>
      </w:r>
    </w:p>
    <w:bookmarkEnd w:id="143"/>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11</w:t>
      </w:r>
      <w:r>
        <w:rPr>
          <w:rFonts w:ascii="Times New Roman"/>
          <w:b w:val="false"/>
          <w:i w:val="false"/>
          <w:color w:val="000000"/>
          <w:sz w:val="28"/>
        </w:rPr>
        <w:t xml:space="preserve"> Включая приватизацию долей в 7 ДО НАТР: ТОО "Технопарк "Алгоритм", ТОО "Технопарк Сары-Арка", ТОО "Технопарк КазНТУ имени К.И. Сатпаева", ТОО "Восточно-Казахстанский региональный технопарк "Алтай", ТОО "Конструкторское бюро горно-металлургического оборудования", ТОО "Конструкторское бюро транспортного машиностроения", ТОО "Конструкторское бюро нефтегазового оборудования".</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12</w:t>
      </w:r>
      <w:r>
        <w:rPr>
          <w:rFonts w:ascii="Times New Roman"/>
          <w:b w:val="false"/>
          <w:i w:val="false"/>
          <w:color w:val="000000"/>
          <w:sz w:val="28"/>
        </w:rPr>
        <w:t xml:space="preserve"> Список приватизируемых проектов ИФК: АО "Уральский завод металлоконструкций и цинкования", АО "Досжан темир жолы", АО "WhiteFishofKazakhstan", АО "МырзАбеК — АЛТЫН ТАС групп", АО "Раннила Казахстан", АО "Иртышский Химико-Металлургический Завод", АО "Pams Pipe", ТОО "А-КБК".</w:t>
      </w:r>
    </w:p>
    <w:p>
      <w:pPr>
        <w:spacing w:after="0"/>
        <w:ind w:left="0"/>
        <w:jc w:val="both"/>
      </w:pPr>
      <w:r>
        <w:rPr>
          <w:rFonts w:ascii="Times New Roman"/>
          <w:b/>
          <w:i w:val="false"/>
          <w:color w:val="000000"/>
          <w:sz w:val="28"/>
        </w:rPr>
        <w:t>2. Анализ текущего состояния АО "НУХ "Байтерек": Анализ внутренней среды</w:t>
      </w:r>
    </w:p>
    <w:p>
      <w:pPr>
        <w:spacing w:after="0"/>
        <w:ind w:left="0"/>
        <w:jc w:val="both"/>
      </w:pPr>
      <w:r>
        <w:rPr>
          <w:rFonts w:ascii="Times New Roman"/>
          <w:b/>
          <w:i w:val="false"/>
          <w:color w:val="000000"/>
          <w:sz w:val="28"/>
        </w:rPr>
        <w:t>2.1 Текущая структура АО "НУХ "Байтерек" и ДО</w:t>
      </w:r>
    </w:p>
    <w:bookmarkStart w:name="z193" w:id="144"/>
    <w:p>
      <w:pPr>
        <w:spacing w:after="0"/>
        <w:ind w:left="0"/>
        <w:jc w:val="both"/>
      </w:pPr>
      <w:r>
        <w:rPr>
          <w:rFonts w:ascii="Times New Roman"/>
          <w:b w:val="false"/>
          <w:i w:val="false"/>
          <w:color w:val="000000"/>
          <w:sz w:val="28"/>
        </w:rPr>
        <w:t>
      В состав АО "НУХ "Байтерек" входят 11 ДО (приложение к настоящей Стратегии), которые в прошлом находились под управлением различных государственных органов и/или субъектов квазигосударственного сектора.</w:t>
      </w:r>
    </w:p>
    <w:bookmarkEnd w:id="144"/>
    <w:bookmarkStart w:name="z194" w:id="145"/>
    <w:p>
      <w:pPr>
        <w:spacing w:after="0"/>
        <w:ind w:left="0"/>
        <w:jc w:val="both"/>
      </w:pPr>
      <w:r>
        <w:rPr>
          <w:rFonts w:ascii="Times New Roman"/>
          <w:b w:val="false"/>
          <w:i w:val="false"/>
          <w:color w:val="000000"/>
          <w:sz w:val="28"/>
        </w:rPr>
        <w:t xml:space="preserve">
      ДО АО "НУХ "Байтерек" осуществляют содействие развитию экономики Казахстана посредством предоставления различных инструментов поддержки. Все существующие в ДО АО "НУХ "Байтерек" инструменты поддержки (как финансовые, так и нефинансовые) можно условно разбить на пять направлений деятельности: поддержка предпринимательства в сегменте крупного бизнеса, поддержка предпринимательства в сегменте МСБ, повышение доступности жилья, повышение экспортного потенциала, а также трансферт и внедрение технологий (см. рисунок 11 ниже). </w:t>
      </w:r>
    </w:p>
    <w:bookmarkEnd w:id="145"/>
    <w:bookmarkStart w:name="z195"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14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11</w:t>
      </w:r>
      <w:r>
        <w:rPr>
          <w:rFonts w:ascii="Times New Roman"/>
          <w:b w:val="false"/>
          <w:i w:val="false"/>
          <w:color w:val="000000"/>
          <w:sz w:val="28"/>
        </w:rPr>
        <w:t>. Матрица инструментов поддержки развития экономики в ДО АО "НУХ "Байтерек" в разрезе пяти направлений деятельности.</w:t>
      </w:r>
    </w:p>
    <w:bookmarkEnd w:id="147"/>
    <w:bookmarkStart w:name="z197" w:id="148"/>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годовые отчеты ДО (2015); финансовые отчеты ДО (2015)</w:t>
      </w:r>
    </w:p>
    <w:bookmarkEnd w:id="148"/>
    <w:bookmarkStart w:name="z198" w:id="149"/>
    <w:p>
      <w:pPr>
        <w:spacing w:after="0"/>
        <w:ind w:left="0"/>
        <w:jc w:val="both"/>
      </w:pPr>
      <w:r>
        <w:rPr>
          <w:rFonts w:ascii="Times New Roman"/>
          <w:b w:val="false"/>
          <w:i w:val="false"/>
          <w:color w:val="000000"/>
          <w:sz w:val="28"/>
        </w:rPr>
        <w:t>
      Пять упомянутых направлений сильно отличаются друг от друга по ряду характеристик, таких как:</w:t>
      </w:r>
    </w:p>
    <w:bookmarkEnd w:id="149"/>
    <w:bookmarkStart w:name="z199" w:id="150"/>
    <w:p>
      <w:pPr>
        <w:spacing w:after="0"/>
        <w:ind w:left="0"/>
        <w:jc w:val="both"/>
      </w:pPr>
      <w:r>
        <w:rPr>
          <w:rFonts w:ascii="Times New Roman"/>
          <w:b w:val="false"/>
          <w:i w:val="false"/>
          <w:color w:val="000000"/>
          <w:sz w:val="28"/>
        </w:rPr>
        <w:t>
      1) доля в портфеле активов АО "НУХ "Байтерек";</w:t>
      </w:r>
    </w:p>
    <w:bookmarkEnd w:id="150"/>
    <w:bookmarkStart w:name="z200" w:id="151"/>
    <w:p>
      <w:pPr>
        <w:spacing w:after="0"/>
        <w:ind w:left="0"/>
        <w:jc w:val="both"/>
      </w:pPr>
      <w:r>
        <w:rPr>
          <w:rFonts w:ascii="Times New Roman"/>
          <w:b w:val="false"/>
          <w:i w:val="false"/>
          <w:color w:val="000000"/>
          <w:sz w:val="28"/>
        </w:rPr>
        <w:t>
      2) уровень доходности активов;</w:t>
      </w:r>
    </w:p>
    <w:bookmarkEnd w:id="151"/>
    <w:bookmarkStart w:name="z201" w:id="152"/>
    <w:p>
      <w:pPr>
        <w:spacing w:after="0"/>
        <w:ind w:left="0"/>
        <w:jc w:val="both"/>
      </w:pPr>
      <w:r>
        <w:rPr>
          <w:rFonts w:ascii="Times New Roman"/>
          <w:b w:val="false"/>
          <w:i w:val="false"/>
          <w:color w:val="000000"/>
          <w:sz w:val="28"/>
        </w:rPr>
        <w:t>
      3) количество обслуживаемых клиентов;</w:t>
      </w:r>
    </w:p>
    <w:bookmarkEnd w:id="152"/>
    <w:bookmarkStart w:name="z202" w:id="153"/>
    <w:p>
      <w:pPr>
        <w:spacing w:after="0"/>
        <w:ind w:left="0"/>
        <w:jc w:val="both"/>
      </w:pPr>
      <w:r>
        <w:rPr>
          <w:rFonts w:ascii="Times New Roman"/>
          <w:b w:val="false"/>
          <w:i w:val="false"/>
          <w:color w:val="000000"/>
          <w:sz w:val="28"/>
        </w:rPr>
        <w:t>
      4) горизонт инвестирования/поддержки;</w:t>
      </w:r>
    </w:p>
    <w:bookmarkEnd w:id="153"/>
    <w:bookmarkStart w:name="z203" w:id="154"/>
    <w:p>
      <w:pPr>
        <w:spacing w:after="0"/>
        <w:ind w:left="0"/>
        <w:jc w:val="both"/>
      </w:pPr>
      <w:r>
        <w:rPr>
          <w:rFonts w:ascii="Times New Roman"/>
          <w:b w:val="false"/>
          <w:i w:val="false"/>
          <w:color w:val="000000"/>
          <w:sz w:val="28"/>
        </w:rPr>
        <w:t>
      5) типичная структура фондирования;</w:t>
      </w:r>
    </w:p>
    <w:bookmarkEnd w:id="154"/>
    <w:bookmarkStart w:name="z204" w:id="155"/>
    <w:p>
      <w:pPr>
        <w:spacing w:after="0"/>
        <w:ind w:left="0"/>
        <w:jc w:val="both"/>
      </w:pPr>
      <w:r>
        <w:rPr>
          <w:rFonts w:ascii="Times New Roman"/>
          <w:b w:val="false"/>
          <w:i w:val="false"/>
          <w:color w:val="000000"/>
          <w:sz w:val="28"/>
        </w:rPr>
        <w:t>
      6) качество кредитного портфеля;</w:t>
      </w:r>
    </w:p>
    <w:bookmarkEnd w:id="155"/>
    <w:bookmarkStart w:name="z205" w:id="156"/>
    <w:p>
      <w:pPr>
        <w:spacing w:after="0"/>
        <w:ind w:left="0"/>
        <w:jc w:val="both"/>
      </w:pPr>
      <w:r>
        <w:rPr>
          <w:rFonts w:ascii="Times New Roman"/>
          <w:b w:val="false"/>
          <w:i w:val="false"/>
          <w:color w:val="000000"/>
          <w:sz w:val="28"/>
        </w:rPr>
        <w:t>
      7) операционные расходы на управление активами.</w:t>
      </w:r>
    </w:p>
    <w:bookmarkEnd w:id="156"/>
    <w:bookmarkStart w:name="z206" w:id="157"/>
    <w:p>
      <w:pPr>
        <w:spacing w:after="0"/>
        <w:ind w:left="0"/>
        <w:jc w:val="both"/>
      </w:pPr>
      <w:r>
        <w:rPr>
          <w:rFonts w:ascii="Times New Roman"/>
          <w:b w:val="false"/>
          <w:i w:val="false"/>
          <w:color w:val="000000"/>
          <w:sz w:val="28"/>
        </w:rPr>
        <w:t>
      Более того, пять направлений деятельности АО "НУХ "Байтерек" реализуются в рамках связанных государственных и правительственных программ развития экономики (см. рисунок 12 ниже).</w:t>
      </w:r>
    </w:p>
    <w:bookmarkEnd w:id="157"/>
    <w:bookmarkStart w:name="z207"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5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12</w:t>
      </w:r>
      <w:r>
        <w:rPr>
          <w:rFonts w:ascii="Times New Roman"/>
          <w:b w:val="false"/>
          <w:i w:val="false"/>
          <w:color w:val="000000"/>
          <w:sz w:val="28"/>
        </w:rPr>
        <w:t>. Сравнение пяти направлений деятельности АО "НУХ "Байтерек" по ряду характеристик</w:t>
      </w:r>
    </w:p>
    <w:bookmarkEnd w:id="159"/>
    <w:bookmarkStart w:name="z209" w:id="160"/>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данные ДО (2016)</w:t>
      </w:r>
    </w:p>
    <w:bookmarkEnd w:id="160"/>
    <w:bookmarkStart w:name="z210" w:id="161"/>
    <w:p>
      <w:pPr>
        <w:spacing w:after="0"/>
        <w:ind w:left="0"/>
        <w:jc w:val="both"/>
      </w:pPr>
      <w:r>
        <w:rPr>
          <w:rFonts w:ascii="Times New Roman"/>
          <w:b w:val="false"/>
          <w:i w:val="false"/>
          <w:color w:val="000000"/>
          <w:sz w:val="28"/>
        </w:rPr>
        <w:t>
      Сравнительный анализ международной практики указывает, что в результате объединения пяти специфичных направлений деятельности, АО "НУХ "Байтерек" является уникальным институтом развития, не имеющим аналогов (см. рисунок 13 ниже). Проведенный анализ указывает, что государственная поддержка пяти направлений деятельности, реализуемых в АО "НУХ "Байтерек", не консолидируется в одном институте развития, а разделена между несколькими институтами развития с соответствующей специализацией.</w:t>
      </w:r>
    </w:p>
    <w:bookmarkEnd w:id="161"/>
    <w:bookmarkStart w:name="z211" w:id="162"/>
    <w:p>
      <w:pPr>
        <w:spacing w:after="0"/>
        <w:ind w:left="0"/>
        <w:jc w:val="both"/>
      </w:pPr>
      <w:r>
        <w:rPr>
          <w:rFonts w:ascii="Times New Roman"/>
          <w:b w:val="false"/>
          <w:i w:val="false"/>
          <w:color w:val="000000"/>
          <w:sz w:val="28"/>
        </w:rPr>
        <w:t>
      Учитывая существенные различия в характеристиках пяти направлений деятельности и результаты сравнительного анализа, деятельность АО "НУХ "Байтерек" следует планировать, анализировать и оценивать в контексте указанных пяти направлений.</w:t>
      </w:r>
    </w:p>
    <w:bookmarkEnd w:id="162"/>
    <w:bookmarkStart w:name="z212"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45974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5974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6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13</w:t>
      </w:r>
      <w:r>
        <w:rPr>
          <w:rFonts w:ascii="Times New Roman"/>
          <w:b w:val="false"/>
          <w:i w:val="false"/>
          <w:color w:val="000000"/>
          <w:sz w:val="28"/>
        </w:rPr>
        <w:t>. Международная практика реализации пяти направлений деятельности через институты развития экономики.</w:t>
      </w:r>
    </w:p>
    <w:bookmarkEnd w:id="164"/>
    <w:bookmarkStart w:name="z214" w:id="165"/>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годовые отчеты АО "НУХ "Байтерек", KfW, BNDES, CDB; анализ рабочей группы</w:t>
      </w:r>
    </w:p>
    <w:bookmarkEnd w:id="165"/>
    <w:p>
      <w:pPr>
        <w:spacing w:after="0"/>
        <w:ind w:left="0"/>
        <w:jc w:val="both"/>
      </w:pPr>
      <w:r>
        <w:rPr>
          <w:rFonts w:ascii="Times New Roman"/>
          <w:b/>
          <w:i w:val="false"/>
          <w:color w:val="000000"/>
          <w:sz w:val="28"/>
        </w:rPr>
        <w:t>2.2 Анализ исполнения КПД и SWOT</w:t>
      </w:r>
    </w:p>
    <w:bookmarkStart w:name="z216" w:id="166"/>
    <w:p>
      <w:pPr>
        <w:spacing w:after="0"/>
        <w:ind w:left="0"/>
        <w:jc w:val="both"/>
      </w:pPr>
      <w:r>
        <w:rPr>
          <w:rFonts w:ascii="Times New Roman"/>
          <w:b w:val="false"/>
          <w:i w:val="false"/>
          <w:color w:val="000000"/>
          <w:sz w:val="28"/>
        </w:rPr>
        <w:t xml:space="preserve">
      Ранее Стратегия определяла 28 ключевых показателей деятельности для выполнения задачи становления АО "НУХ "Байтерек" как интегрированного института развития и реализации пяти стратегических направлений деятельности. </w:t>
      </w:r>
    </w:p>
    <w:bookmarkEnd w:id="166"/>
    <w:bookmarkStart w:name="z217" w:id="167"/>
    <w:p>
      <w:pPr>
        <w:spacing w:after="0"/>
        <w:ind w:left="0"/>
        <w:jc w:val="both"/>
      </w:pPr>
      <w:r>
        <w:rPr>
          <w:rFonts w:ascii="Times New Roman"/>
          <w:b w:val="false"/>
          <w:i w:val="false"/>
          <w:color w:val="000000"/>
          <w:sz w:val="28"/>
        </w:rPr>
        <w:t>
      Согласно отчету по исполнению Плана мероприятий на 2014 - 2016 годы по реализации Стратегии по итогам 2014 и 2015 годов большинство стратегических ключевых показателей деятельности (далее - КПД) были выполнены:</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47"/>
        <w:gridCol w:w="4099"/>
        <w:gridCol w:w="3627"/>
        <w:gridCol w:w="3627"/>
      </w:tblGrid>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68"/>
          <w:p>
            <w:pPr>
              <w:spacing w:after="20"/>
              <w:ind w:left="20"/>
              <w:jc w:val="both"/>
            </w:pPr>
            <w:r>
              <w:rPr>
                <w:rFonts w:ascii="Times New Roman"/>
                <w:b w:val="false"/>
                <w:i w:val="false"/>
                <w:color w:val="000000"/>
                <w:sz w:val="20"/>
              </w:rPr>
              <w:t>
№ п/п</w:t>
            </w:r>
          </w:p>
          <w:bookmarkEnd w:id="168"/>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значения</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значения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69"/>
          <w:p>
            <w:pPr>
              <w:spacing w:after="20"/>
              <w:ind w:left="20"/>
              <w:jc w:val="both"/>
            </w:pPr>
            <w:r>
              <w:rPr>
                <w:rFonts w:ascii="Times New Roman"/>
                <w:b w:val="false"/>
                <w:i w:val="false"/>
                <w:color w:val="000000"/>
                <w:sz w:val="20"/>
              </w:rPr>
              <w:t xml:space="preserve">
Задачи для становления АО "НУХ "Байтерек" как интегрированного института развития </w:t>
            </w:r>
          </w:p>
          <w:bookmarkEnd w:id="169"/>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70"/>
          <w:p>
            <w:pPr>
              <w:spacing w:after="20"/>
              <w:ind w:left="20"/>
              <w:jc w:val="both"/>
            </w:pPr>
            <w:r>
              <w:rPr>
                <w:rFonts w:ascii="Times New Roman"/>
                <w:b w:val="false"/>
                <w:i w:val="false"/>
                <w:color w:val="000000"/>
                <w:sz w:val="20"/>
              </w:rPr>
              <w:t>
1.</w:t>
            </w:r>
          </w:p>
          <w:bookmarkEnd w:id="170"/>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ROE, %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2014 - 0,2</w:t>
            </w:r>
            <w:r>
              <w:br/>
            </w:r>
            <w:r>
              <w:rPr>
                <w:rFonts w:ascii="Times New Roman"/>
                <w:b w:val="false"/>
                <w:i w:val="false"/>
                <w:color w:val="000000"/>
                <w:sz w:val="20"/>
              </w:rPr>
              <w:t>
2015 - 2,2</w:t>
            </w:r>
            <w:r>
              <w:br/>
            </w:r>
            <w:r>
              <w:rPr>
                <w:rFonts w:ascii="Times New Roman"/>
                <w:b w:val="false"/>
                <w:i w:val="false"/>
                <w:color w:val="000000"/>
                <w:sz w:val="20"/>
              </w:rPr>
              <w:t>
2016 - 2,4</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2014 - 5,7</w:t>
            </w:r>
            <w:r>
              <w:br/>
            </w:r>
            <w:r>
              <w:rPr>
                <w:rFonts w:ascii="Times New Roman"/>
                <w:b w:val="false"/>
                <w:i w:val="false"/>
                <w:color w:val="000000"/>
                <w:sz w:val="20"/>
              </w:rPr>
              <w:t>
2015 - 5,9</w:t>
            </w:r>
            <w:r>
              <w:br/>
            </w:r>
            <w:r>
              <w:rPr>
                <w:rFonts w:ascii="Times New Roman"/>
                <w:b w:val="false"/>
                <w:i w:val="false"/>
                <w:color w:val="000000"/>
                <w:sz w:val="20"/>
              </w:rPr>
              <w:t>
2016 - 5,4</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71"/>
          <w:p>
            <w:pPr>
              <w:spacing w:after="20"/>
              <w:ind w:left="20"/>
              <w:jc w:val="both"/>
            </w:pPr>
            <w:r>
              <w:rPr>
                <w:rFonts w:ascii="Times New Roman"/>
                <w:b w:val="false"/>
                <w:i w:val="false"/>
                <w:color w:val="000000"/>
                <w:sz w:val="20"/>
              </w:rPr>
              <w:t>
2.</w:t>
            </w:r>
          </w:p>
          <w:bookmarkEnd w:id="171"/>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ROA, %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2014 - 0,1</w:t>
            </w:r>
            <w:r>
              <w:br/>
            </w:r>
            <w:r>
              <w:rPr>
                <w:rFonts w:ascii="Times New Roman"/>
                <w:b w:val="false"/>
                <w:i w:val="false"/>
                <w:color w:val="000000"/>
                <w:sz w:val="20"/>
              </w:rPr>
              <w:t>
2015 - 0,7</w:t>
            </w:r>
            <w:r>
              <w:br/>
            </w:r>
            <w:r>
              <w:rPr>
                <w:rFonts w:ascii="Times New Roman"/>
                <w:b w:val="false"/>
                <w:i w:val="false"/>
                <w:color w:val="000000"/>
                <w:sz w:val="20"/>
              </w:rPr>
              <w:t>
2016 - 0,6</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2014 - 2</w:t>
            </w:r>
            <w:r>
              <w:br/>
            </w:r>
            <w:r>
              <w:rPr>
                <w:rFonts w:ascii="Times New Roman"/>
                <w:b w:val="false"/>
                <w:i w:val="false"/>
                <w:color w:val="000000"/>
                <w:sz w:val="20"/>
              </w:rPr>
              <w:t>
2015 - 1,7</w:t>
            </w:r>
            <w:r>
              <w:br/>
            </w:r>
            <w:r>
              <w:rPr>
                <w:rFonts w:ascii="Times New Roman"/>
                <w:b w:val="false"/>
                <w:i w:val="false"/>
                <w:color w:val="000000"/>
                <w:sz w:val="20"/>
              </w:rPr>
              <w:t>
2016 - 1,3</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72"/>
          <w:p>
            <w:pPr>
              <w:spacing w:after="20"/>
              <w:ind w:left="20"/>
              <w:jc w:val="both"/>
            </w:pPr>
            <w:r>
              <w:rPr>
                <w:rFonts w:ascii="Times New Roman"/>
                <w:b w:val="false"/>
                <w:i w:val="false"/>
                <w:color w:val="000000"/>
                <w:sz w:val="20"/>
              </w:rPr>
              <w:t>
3.</w:t>
            </w:r>
          </w:p>
          <w:bookmarkEnd w:id="172"/>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Кредитный рейтинг АО "НУХ "Байтерек"</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ниже суверенного</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соответствует:</w:t>
            </w:r>
            <w:r>
              <w:br/>
            </w:r>
            <w:r>
              <w:rPr>
                <w:rFonts w:ascii="Times New Roman"/>
                <w:b w:val="false"/>
                <w:i w:val="false"/>
                <w:color w:val="000000"/>
                <w:sz w:val="20"/>
              </w:rPr>
              <w:t>
FitchBBB+</w:t>
            </w:r>
            <w:r>
              <w:br/>
            </w:r>
            <w:r>
              <w:rPr>
                <w:rFonts w:ascii="Times New Roman"/>
                <w:b w:val="false"/>
                <w:i w:val="false"/>
                <w:color w:val="000000"/>
                <w:sz w:val="20"/>
              </w:rPr>
              <w:t>
S&amp;PBBB+</w:t>
            </w:r>
            <w:r>
              <w:br/>
            </w:r>
            <w:r>
              <w:rPr>
                <w:rFonts w:ascii="Times New Roman"/>
                <w:b w:val="false"/>
                <w:i w:val="false"/>
                <w:color w:val="000000"/>
                <w:sz w:val="20"/>
              </w:rPr>
              <w:t xml:space="preserve">
2015 </w:t>
            </w:r>
            <w:r>
              <w:br/>
            </w:r>
            <w:r>
              <w:rPr>
                <w:rFonts w:ascii="Times New Roman"/>
                <w:b w:val="false"/>
                <w:i w:val="false"/>
                <w:color w:val="000000"/>
                <w:sz w:val="20"/>
              </w:rPr>
              <w:t>
FitchBBB+</w:t>
            </w:r>
            <w:r>
              <w:br/>
            </w:r>
            <w:r>
              <w:rPr>
                <w:rFonts w:ascii="Times New Roman"/>
                <w:b w:val="false"/>
                <w:i w:val="false"/>
                <w:color w:val="000000"/>
                <w:sz w:val="20"/>
              </w:rPr>
              <w:t>
соответствует</w:t>
            </w:r>
            <w:r>
              <w:br/>
            </w:r>
            <w:r>
              <w:rPr>
                <w:rFonts w:ascii="Times New Roman"/>
                <w:b w:val="false"/>
                <w:i w:val="false"/>
                <w:color w:val="000000"/>
                <w:sz w:val="20"/>
              </w:rPr>
              <w:t>
S&amp;PBBB-</w:t>
            </w:r>
            <w:r>
              <w:br/>
            </w:r>
            <w:r>
              <w:rPr>
                <w:rFonts w:ascii="Times New Roman"/>
                <w:b w:val="false"/>
                <w:i w:val="false"/>
                <w:color w:val="000000"/>
                <w:sz w:val="20"/>
              </w:rPr>
              <w:t>
не соответствует</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 w:id="173"/>
          <w:p>
            <w:pPr>
              <w:spacing w:after="20"/>
              <w:ind w:left="20"/>
              <w:jc w:val="both"/>
            </w:pPr>
            <w:r>
              <w:rPr>
                <w:rFonts w:ascii="Times New Roman"/>
                <w:b w:val="false"/>
                <w:i w:val="false"/>
                <w:color w:val="000000"/>
                <w:sz w:val="20"/>
              </w:rPr>
              <w:t>
4.</w:t>
            </w:r>
          </w:p>
          <w:bookmarkEnd w:id="173"/>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Долг/капитал</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выше 7</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2014 - 1,5</w:t>
            </w:r>
            <w:r>
              <w:br/>
            </w:r>
            <w:r>
              <w:rPr>
                <w:rFonts w:ascii="Times New Roman"/>
                <w:b w:val="false"/>
                <w:i w:val="false"/>
                <w:color w:val="000000"/>
                <w:sz w:val="20"/>
              </w:rPr>
              <w:t>
2015 - 3</w:t>
            </w:r>
            <w:r>
              <w:br/>
            </w:r>
            <w:r>
              <w:rPr>
                <w:rFonts w:ascii="Times New Roman"/>
                <w:b w:val="false"/>
                <w:i w:val="false"/>
                <w:color w:val="000000"/>
                <w:sz w:val="20"/>
              </w:rPr>
              <w:t>
2016 - 3,3</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 w:id="174"/>
          <w:p>
            <w:pPr>
              <w:spacing w:after="20"/>
              <w:ind w:left="20"/>
              <w:jc w:val="both"/>
            </w:pPr>
            <w:r>
              <w:rPr>
                <w:rFonts w:ascii="Times New Roman"/>
                <w:b w:val="false"/>
                <w:i w:val="false"/>
                <w:color w:val="000000"/>
                <w:sz w:val="20"/>
              </w:rPr>
              <w:t>
5.</w:t>
            </w:r>
          </w:p>
          <w:bookmarkEnd w:id="174"/>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ссудного портфеля (уровень провизий к ссудному портфелю)</w:t>
            </w:r>
            <w:r>
              <w:rPr>
                <w:rFonts w:ascii="Times New Roman"/>
                <w:b w:val="false"/>
                <w:i w:val="false"/>
                <w:color w:val="000000"/>
                <w:vertAlign w:val="superscript"/>
              </w:rPr>
              <w:t>13</w:t>
            </w:r>
            <w:r>
              <w:rPr>
                <w:rFonts w:ascii="Times New Roman"/>
                <w:b w:val="false"/>
                <w:i w:val="false"/>
                <w:color w:val="000000"/>
                <w:sz w:val="20"/>
              </w:rPr>
              <w:t xml:space="preserve">, %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2014 - 10</w:t>
            </w:r>
            <w:r>
              <w:br/>
            </w:r>
            <w:r>
              <w:rPr>
                <w:rFonts w:ascii="Times New Roman"/>
                <w:b w:val="false"/>
                <w:i w:val="false"/>
                <w:color w:val="000000"/>
                <w:sz w:val="20"/>
              </w:rPr>
              <w:t>
2015 - 10</w:t>
            </w:r>
            <w:r>
              <w:br/>
            </w:r>
            <w:r>
              <w:rPr>
                <w:rFonts w:ascii="Times New Roman"/>
                <w:b w:val="false"/>
                <w:i w:val="false"/>
                <w:color w:val="000000"/>
                <w:sz w:val="20"/>
              </w:rPr>
              <w:t>
2016 - 9</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2014 - 3</w:t>
            </w:r>
            <w:r>
              <w:br/>
            </w:r>
            <w:r>
              <w:rPr>
                <w:rFonts w:ascii="Times New Roman"/>
                <w:b w:val="false"/>
                <w:i w:val="false"/>
                <w:color w:val="000000"/>
                <w:sz w:val="20"/>
              </w:rPr>
              <w:t>
2015 - 1,5</w:t>
            </w:r>
            <w:r>
              <w:br/>
            </w:r>
            <w:r>
              <w:rPr>
                <w:rFonts w:ascii="Times New Roman"/>
                <w:b w:val="false"/>
                <w:i w:val="false"/>
                <w:color w:val="000000"/>
                <w:sz w:val="20"/>
              </w:rPr>
              <w:t>
2016 - 2,6</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75"/>
          <w:p>
            <w:pPr>
              <w:spacing w:after="20"/>
              <w:ind w:left="20"/>
              <w:jc w:val="both"/>
            </w:pPr>
            <w:r>
              <w:rPr>
                <w:rFonts w:ascii="Times New Roman"/>
                <w:b w:val="false"/>
                <w:i w:val="false"/>
                <w:color w:val="000000"/>
                <w:sz w:val="20"/>
              </w:rPr>
              <w:t>
6.</w:t>
            </w:r>
          </w:p>
          <w:bookmarkEnd w:id="175"/>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Производительность труда (валовый доход на сотрудника), млн. тенге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2014 - 65</w:t>
            </w:r>
            <w:r>
              <w:br/>
            </w:r>
            <w:r>
              <w:rPr>
                <w:rFonts w:ascii="Times New Roman"/>
                <w:b w:val="false"/>
                <w:i w:val="false"/>
                <w:color w:val="000000"/>
                <w:sz w:val="20"/>
              </w:rPr>
              <w:t>
2015 - 71</w:t>
            </w:r>
            <w:r>
              <w:br/>
            </w:r>
            <w:r>
              <w:rPr>
                <w:rFonts w:ascii="Times New Roman"/>
                <w:b w:val="false"/>
                <w:i w:val="false"/>
                <w:color w:val="000000"/>
                <w:sz w:val="20"/>
              </w:rPr>
              <w:t>
2016 - 102</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2014 - 71,6</w:t>
            </w:r>
            <w:r>
              <w:br/>
            </w:r>
            <w:r>
              <w:rPr>
                <w:rFonts w:ascii="Times New Roman"/>
                <w:b w:val="false"/>
                <w:i w:val="false"/>
                <w:color w:val="000000"/>
                <w:sz w:val="20"/>
              </w:rPr>
              <w:t>
2015 - 116,1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76"/>
          <w:p>
            <w:pPr>
              <w:spacing w:after="20"/>
              <w:ind w:left="20"/>
              <w:jc w:val="both"/>
            </w:pPr>
            <w:r>
              <w:rPr>
                <w:rFonts w:ascii="Times New Roman"/>
                <w:b w:val="false"/>
                <w:i w:val="false"/>
                <w:color w:val="000000"/>
                <w:sz w:val="20"/>
              </w:rPr>
              <w:t>
Стратегическое направление деятельности 1: Содействие устойчивому развитию экономики Республики Казахстан посредством оказания финансовой поддержки приоритетным секторам экономики</w:t>
            </w:r>
          </w:p>
          <w:bookmarkEnd w:id="176"/>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77"/>
          <w:p>
            <w:pPr>
              <w:spacing w:after="20"/>
              <w:ind w:left="20"/>
              <w:jc w:val="both"/>
            </w:pPr>
            <w:r>
              <w:rPr>
                <w:rFonts w:ascii="Times New Roman"/>
                <w:b w:val="false"/>
                <w:i w:val="false"/>
                <w:color w:val="000000"/>
                <w:sz w:val="20"/>
              </w:rPr>
              <w:t>
1.1 Обеспечение финансирования экономики через механизмы кредитования и инвестиций</w:t>
            </w:r>
          </w:p>
          <w:bookmarkEnd w:id="177"/>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78"/>
          <w:p>
            <w:pPr>
              <w:spacing w:after="20"/>
              <w:ind w:left="20"/>
              <w:jc w:val="both"/>
            </w:pPr>
            <w:r>
              <w:rPr>
                <w:rFonts w:ascii="Times New Roman"/>
                <w:b w:val="false"/>
                <w:i w:val="false"/>
                <w:color w:val="000000"/>
                <w:sz w:val="20"/>
              </w:rPr>
              <w:t>
7.</w:t>
            </w:r>
          </w:p>
          <w:bookmarkEnd w:id="178"/>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активов к ВВП,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2014 - 6</w:t>
            </w:r>
            <w:r>
              <w:br/>
            </w:r>
            <w:r>
              <w:rPr>
                <w:rFonts w:ascii="Times New Roman"/>
                <w:b w:val="false"/>
                <w:i w:val="false"/>
                <w:color w:val="000000"/>
                <w:sz w:val="20"/>
              </w:rPr>
              <w:t>
2015 - 6</w:t>
            </w:r>
            <w:r>
              <w:br/>
            </w:r>
            <w:r>
              <w:rPr>
                <w:rFonts w:ascii="Times New Roman"/>
                <w:b w:val="false"/>
                <w:i w:val="false"/>
                <w:color w:val="000000"/>
                <w:sz w:val="20"/>
              </w:rPr>
              <w:t>
2016 - 6</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2014 - 6</w:t>
            </w:r>
            <w:r>
              <w:br/>
            </w:r>
            <w:r>
              <w:rPr>
                <w:rFonts w:ascii="Times New Roman"/>
                <w:b w:val="false"/>
                <w:i w:val="false"/>
                <w:color w:val="000000"/>
                <w:sz w:val="20"/>
              </w:rPr>
              <w:t>
2015 - 8,4</w:t>
            </w:r>
            <w:r>
              <w:br/>
            </w:r>
            <w:r>
              <w:rPr>
                <w:rFonts w:ascii="Times New Roman"/>
                <w:b w:val="false"/>
                <w:i w:val="false"/>
                <w:color w:val="000000"/>
                <w:sz w:val="20"/>
              </w:rPr>
              <w:t>
2016 - 9,0</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79"/>
          <w:p>
            <w:pPr>
              <w:spacing w:after="20"/>
              <w:ind w:left="20"/>
              <w:jc w:val="both"/>
            </w:pPr>
            <w:r>
              <w:rPr>
                <w:rFonts w:ascii="Times New Roman"/>
                <w:b w:val="false"/>
                <w:i w:val="false"/>
                <w:color w:val="000000"/>
                <w:sz w:val="20"/>
              </w:rPr>
              <w:t>
8.</w:t>
            </w:r>
          </w:p>
          <w:bookmarkEnd w:id="179"/>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Кредитный портфель</w:t>
            </w:r>
            <w:r>
              <w:rPr>
                <w:rFonts w:ascii="Times New Roman"/>
                <w:b w:val="false"/>
                <w:i w:val="false"/>
                <w:color w:val="000000"/>
                <w:vertAlign w:val="superscript"/>
              </w:rPr>
              <w:t>14</w:t>
            </w:r>
            <w:r>
              <w:rPr>
                <w:rFonts w:ascii="Times New Roman"/>
                <w:b w:val="false"/>
                <w:i w:val="false"/>
                <w:color w:val="000000"/>
                <w:sz w:val="20"/>
              </w:rPr>
              <w:t>, млрд. тенге</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2014 - 1 321</w:t>
            </w:r>
            <w:r>
              <w:br/>
            </w:r>
            <w:r>
              <w:rPr>
                <w:rFonts w:ascii="Times New Roman"/>
                <w:b w:val="false"/>
                <w:i w:val="false"/>
                <w:color w:val="000000"/>
                <w:sz w:val="20"/>
              </w:rPr>
              <w:t>
2015 - 1 948</w:t>
            </w:r>
            <w:r>
              <w:br/>
            </w:r>
            <w:r>
              <w:rPr>
                <w:rFonts w:ascii="Times New Roman"/>
                <w:b w:val="false"/>
                <w:i w:val="false"/>
                <w:color w:val="000000"/>
                <w:sz w:val="20"/>
              </w:rPr>
              <w:t>
2016 - 2 403</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2014 - 1 415</w:t>
            </w:r>
            <w:r>
              <w:br/>
            </w:r>
            <w:r>
              <w:rPr>
                <w:rFonts w:ascii="Times New Roman"/>
                <w:b w:val="false"/>
                <w:i w:val="false"/>
                <w:color w:val="000000"/>
                <w:sz w:val="20"/>
              </w:rPr>
              <w:t>
2015 - 2 126</w:t>
            </w:r>
            <w:r>
              <w:br/>
            </w:r>
            <w:r>
              <w:rPr>
                <w:rFonts w:ascii="Times New Roman"/>
                <w:b w:val="false"/>
                <w:i w:val="false"/>
                <w:color w:val="000000"/>
                <w:sz w:val="20"/>
              </w:rPr>
              <w:t>
</w:t>
            </w:r>
            <w:r>
              <w:rPr>
                <w:rFonts w:ascii="Times New Roman"/>
                <w:b/>
                <w:i w:val="false"/>
                <w:color w:val="000000"/>
                <w:sz w:val="20"/>
              </w:rPr>
              <w:t xml:space="preserve">2016 </w:t>
            </w:r>
            <w:r>
              <w:rPr>
                <w:rFonts w:ascii="Times New Roman"/>
                <w:b/>
                <w:i w:val="false"/>
                <w:color w:val="000000"/>
                <w:sz w:val="20"/>
              </w:rPr>
              <w:t>-</w:t>
            </w:r>
            <w:r>
              <w:rPr>
                <w:rFonts w:ascii="Times New Roman"/>
                <w:b/>
                <w:i w:val="false"/>
                <w:color w:val="000000"/>
                <w:sz w:val="20"/>
              </w:rPr>
              <w:t xml:space="preserve"> 2 331</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80"/>
          <w:p>
            <w:pPr>
              <w:spacing w:after="20"/>
              <w:ind w:left="20"/>
              <w:jc w:val="both"/>
            </w:pPr>
            <w:r>
              <w:rPr>
                <w:rFonts w:ascii="Times New Roman"/>
                <w:b w:val="false"/>
                <w:i w:val="false"/>
                <w:color w:val="000000"/>
                <w:sz w:val="20"/>
              </w:rPr>
              <w:t>
9.</w:t>
            </w:r>
          </w:p>
          <w:bookmarkEnd w:id="180"/>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Инвестиционный портфель</w:t>
            </w:r>
            <w:r>
              <w:rPr>
                <w:rFonts w:ascii="Times New Roman"/>
                <w:b w:val="false"/>
                <w:i w:val="false"/>
                <w:color w:val="000000"/>
                <w:vertAlign w:val="superscript"/>
              </w:rPr>
              <w:t>15</w:t>
            </w:r>
            <w:r>
              <w:rPr>
                <w:rFonts w:ascii="Times New Roman"/>
                <w:b w:val="false"/>
                <w:i w:val="false"/>
                <w:color w:val="000000"/>
                <w:sz w:val="20"/>
              </w:rPr>
              <w:t xml:space="preserve"> (за исключением казначейских операций), млрд. тенге</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2014 - 50</w:t>
            </w:r>
            <w:r>
              <w:br/>
            </w:r>
            <w:r>
              <w:rPr>
                <w:rFonts w:ascii="Times New Roman"/>
                <w:b w:val="false"/>
                <w:i w:val="false"/>
                <w:color w:val="000000"/>
                <w:sz w:val="20"/>
              </w:rPr>
              <w:t>
2015 - 138</w:t>
            </w:r>
            <w:r>
              <w:br/>
            </w:r>
            <w:r>
              <w:rPr>
                <w:rFonts w:ascii="Times New Roman"/>
                <w:b w:val="false"/>
                <w:i w:val="false"/>
                <w:color w:val="000000"/>
                <w:sz w:val="20"/>
              </w:rPr>
              <w:t>
2016 - 278</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2014 </w:t>
            </w:r>
            <w:r>
              <w:rPr>
                <w:rFonts w:ascii="Times New Roman"/>
                <w:b/>
                <w:i w:val="false"/>
                <w:color w:val="000000"/>
                <w:sz w:val="20"/>
              </w:rPr>
              <w:t>-</w:t>
            </w:r>
            <w:r>
              <w:rPr>
                <w:rFonts w:ascii="Times New Roman"/>
                <w:b/>
                <w:i w:val="false"/>
                <w:color w:val="000000"/>
                <w:sz w:val="20"/>
              </w:rPr>
              <w:t xml:space="preserve"> 47,9 </w:t>
            </w:r>
            <w:r>
              <w:br/>
            </w:r>
            <w:r>
              <w:rPr>
                <w:rFonts w:ascii="Times New Roman"/>
                <w:b w:val="false"/>
                <w:i w:val="false"/>
                <w:color w:val="000000"/>
                <w:sz w:val="20"/>
              </w:rPr>
              <w:t>
2015 - 138,7</w:t>
            </w:r>
            <w:r>
              <w:br/>
            </w:r>
            <w:r>
              <w:rPr>
                <w:rFonts w:ascii="Times New Roman"/>
                <w:b w:val="false"/>
                <w:i w:val="false"/>
                <w:color w:val="000000"/>
                <w:sz w:val="20"/>
              </w:rPr>
              <w:t>
</w:t>
            </w:r>
            <w:r>
              <w:rPr>
                <w:rFonts w:ascii="Times New Roman"/>
                <w:b/>
                <w:i w:val="false"/>
                <w:color w:val="000000"/>
                <w:sz w:val="20"/>
              </w:rPr>
              <w:t xml:space="preserve">2016 </w:t>
            </w:r>
            <w:r>
              <w:rPr>
                <w:rFonts w:ascii="Times New Roman"/>
                <w:b/>
                <w:i w:val="false"/>
                <w:color w:val="000000"/>
                <w:sz w:val="20"/>
              </w:rPr>
              <w:t>-</w:t>
            </w:r>
            <w:r>
              <w:rPr>
                <w:rFonts w:ascii="Times New Roman"/>
                <w:b/>
                <w:i w:val="false"/>
                <w:color w:val="000000"/>
                <w:sz w:val="20"/>
              </w:rPr>
              <w:t xml:space="preserve"> 235</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81"/>
          <w:p>
            <w:pPr>
              <w:spacing w:after="20"/>
              <w:ind w:left="20"/>
              <w:jc w:val="both"/>
            </w:pPr>
            <w:r>
              <w:rPr>
                <w:rFonts w:ascii="Times New Roman"/>
                <w:b w:val="false"/>
                <w:i w:val="false"/>
                <w:color w:val="000000"/>
                <w:sz w:val="20"/>
              </w:rPr>
              <w:t>
10.</w:t>
            </w:r>
          </w:p>
          <w:bookmarkEnd w:id="181"/>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 эффекта развития проектов (по БРК)</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2014 - 62</w:t>
            </w:r>
            <w:r>
              <w:br/>
            </w:r>
            <w:r>
              <w:rPr>
                <w:rFonts w:ascii="Times New Roman"/>
                <w:b w:val="false"/>
                <w:i w:val="false"/>
                <w:color w:val="000000"/>
                <w:sz w:val="20"/>
              </w:rPr>
              <w:t>
2015 - 63</w:t>
            </w:r>
            <w:r>
              <w:br/>
            </w:r>
            <w:r>
              <w:rPr>
                <w:rFonts w:ascii="Times New Roman"/>
                <w:b w:val="false"/>
                <w:i w:val="false"/>
                <w:color w:val="000000"/>
                <w:sz w:val="20"/>
              </w:rPr>
              <w:t>
2016 - 64</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2014 - 62</w:t>
            </w:r>
            <w:r>
              <w:br/>
            </w:r>
            <w:r>
              <w:rPr>
                <w:rFonts w:ascii="Times New Roman"/>
                <w:b w:val="false"/>
                <w:i w:val="false"/>
                <w:color w:val="000000"/>
                <w:sz w:val="20"/>
              </w:rPr>
              <w:t>
2015 - 63</w:t>
            </w:r>
            <w:r>
              <w:br/>
            </w:r>
            <w:r>
              <w:rPr>
                <w:rFonts w:ascii="Times New Roman"/>
                <w:b w:val="false"/>
                <w:i w:val="false"/>
                <w:color w:val="000000"/>
                <w:sz w:val="20"/>
              </w:rPr>
              <w:t>
2016 - 65</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82"/>
          <w:p>
            <w:pPr>
              <w:spacing w:after="20"/>
              <w:ind w:left="20"/>
              <w:jc w:val="both"/>
            </w:pPr>
            <w:r>
              <w:rPr>
                <w:rFonts w:ascii="Times New Roman"/>
                <w:b w:val="false"/>
                <w:i w:val="false"/>
                <w:color w:val="000000"/>
                <w:sz w:val="20"/>
              </w:rPr>
              <w:t>
11.</w:t>
            </w:r>
          </w:p>
          <w:bookmarkEnd w:id="182"/>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кредитного и инвестиционного портфеля от общих активов АО "НУХ "Байтерек" (за исключением казначейских операций),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2014 - 56</w:t>
            </w:r>
            <w:r>
              <w:br/>
            </w:r>
            <w:r>
              <w:rPr>
                <w:rFonts w:ascii="Times New Roman"/>
                <w:b w:val="false"/>
                <w:i w:val="false"/>
                <w:color w:val="000000"/>
                <w:sz w:val="20"/>
              </w:rPr>
              <w:t>
2015 - 68</w:t>
            </w:r>
            <w:r>
              <w:br/>
            </w:r>
            <w:r>
              <w:rPr>
                <w:rFonts w:ascii="Times New Roman"/>
                <w:b w:val="false"/>
                <w:i w:val="false"/>
                <w:color w:val="000000"/>
                <w:sz w:val="20"/>
              </w:rPr>
              <w:t>
2016 - 65</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2014 - 60</w:t>
            </w:r>
            <w:r>
              <w:br/>
            </w:r>
            <w:r>
              <w:rPr>
                <w:rFonts w:ascii="Times New Roman"/>
                <w:b w:val="false"/>
                <w:i w:val="false"/>
                <w:color w:val="000000"/>
                <w:sz w:val="20"/>
              </w:rPr>
              <w:t>
</w:t>
            </w:r>
            <w:r>
              <w:rPr>
                <w:rFonts w:ascii="Times New Roman"/>
                <w:b/>
                <w:i w:val="false"/>
                <w:color w:val="000000"/>
                <w:sz w:val="20"/>
              </w:rPr>
              <w:t xml:space="preserve">2015 </w:t>
            </w:r>
            <w:r>
              <w:rPr>
                <w:rFonts w:ascii="Times New Roman"/>
                <w:b/>
                <w:i w:val="false"/>
                <w:color w:val="000000"/>
                <w:sz w:val="20"/>
              </w:rPr>
              <w:t>-</w:t>
            </w:r>
            <w:r>
              <w:rPr>
                <w:rFonts w:ascii="Times New Roman"/>
                <w:b/>
                <w:i w:val="false"/>
                <w:color w:val="000000"/>
                <w:sz w:val="20"/>
              </w:rPr>
              <w:t xml:space="preserve"> 65,5</w:t>
            </w:r>
            <w:r>
              <w:br/>
            </w:r>
            <w:r>
              <w:rPr>
                <w:rFonts w:ascii="Times New Roman"/>
                <w:b w:val="false"/>
                <w:i w:val="false"/>
                <w:color w:val="000000"/>
                <w:sz w:val="20"/>
              </w:rPr>
              <w:t>
</w:t>
            </w:r>
            <w:r>
              <w:rPr>
                <w:rFonts w:ascii="Times New Roman"/>
                <w:b/>
                <w:i w:val="false"/>
                <w:color w:val="000000"/>
                <w:sz w:val="20"/>
              </w:rPr>
              <w:t xml:space="preserve">2016 </w:t>
            </w:r>
            <w:r>
              <w:rPr>
                <w:rFonts w:ascii="Times New Roman"/>
                <w:b/>
                <w:i w:val="false"/>
                <w:color w:val="000000"/>
                <w:sz w:val="20"/>
              </w:rPr>
              <w:t>-</w:t>
            </w:r>
            <w:r>
              <w:rPr>
                <w:rFonts w:ascii="Times New Roman"/>
                <w:b/>
                <w:i w:val="false"/>
                <w:color w:val="000000"/>
                <w:sz w:val="20"/>
              </w:rPr>
              <w:t xml:space="preserve"> 62,5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83"/>
          <w:p>
            <w:pPr>
              <w:spacing w:after="20"/>
              <w:ind w:left="20"/>
              <w:jc w:val="both"/>
            </w:pPr>
            <w:r>
              <w:rPr>
                <w:rFonts w:ascii="Times New Roman"/>
                <w:b w:val="false"/>
                <w:i w:val="false"/>
                <w:color w:val="000000"/>
                <w:sz w:val="20"/>
              </w:rPr>
              <w:t>
1.2 Обеспечение структурирования и финансирования инфраструктурных проектов, в том числе проектов ГЧП</w:t>
            </w:r>
          </w:p>
          <w:bookmarkEnd w:id="183"/>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84"/>
          <w:p>
            <w:pPr>
              <w:spacing w:after="20"/>
              <w:ind w:left="20"/>
              <w:jc w:val="both"/>
            </w:pPr>
            <w:r>
              <w:rPr>
                <w:rFonts w:ascii="Times New Roman"/>
                <w:b w:val="false"/>
                <w:i w:val="false"/>
                <w:color w:val="000000"/>
                <w:sz w:val="20"/>
              </w:rPr>
              <w:t>
12.</w:t>
            </w:r>
          </w:p>
          <w:bookmarkEnd w:id="184"/>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Накопленный объем средств, инвестированных в инфраструктурные проекты</w:t>
            </w:r>
            <w:r>
              <w:rPr>
                <w:rFonts w:ascii="Times New Roman"/>
                <w:b w:val="false"/>
                <w:i w:val="false"/>
                <w:color w:val="000000"/>
                <w:vertAlign w:val="superscript"/>
              </w:rPr>
              <w:t>16</w:t>
            </w:r>
            <w:r>
              <w:rPr>
                <w:rFonts w:ascii="Times New Roman"/>
                <w:b w:val="false"/>
                <w:i w:val="false"/>
                <w:color w:val="000000"/>
                <w:sz w:val="20"/>
              </w:rPr>
              <w:t>, млрд. тенге</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не установлено</w:t>
            </w:r>
            <w:r>
              <w:br/>
            </w:r>
            <w:r>
              <w:rPr>
                <w:rFonts w:ascii="Times New Roman"/>
                <w:b w:val="false"/>
                <w:i w:val="false"/>
                <w:color w:val="000000"/>
                <w:sz w:val="20"/>
              </w:rPr>
              <w:t>
2015 - 4,6</w:t>
            </w:r>
            <w:r>
              <w:br/>
            </w:r>
            <w:r>
              <w:rPr>
                <w:rFonts w:ascii="Times New Roman"/>
                <w:b w:val="false"/>
                <w:i w:val="false"/>
                <w:color w:val="000000"/>
                <w:sz w:val="20"/>
              </w:rPr>
              <w:t>
2016 - 15,3</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 нет данных </w:t>
            </w:r>
            <w:r>
              <w:br/>
            </w:r>
            <w:r>
              <w:rPr>
                <w:rFonts w:ascii="Times New Roman"/>
                <w:b w:val="false"/>
                <w:i w:val="false"/>
                <w:color w:val="000000"/>
                <w:sz w:val="20"/>
              </w:rPr>
              <w:t>
2015 - 13,6</w:t>
            </w:r>
            <w:r>
              <w:br/>
            </w:r>
            <w:r>
              <w:rPr>
                <w:rFonts w:ascii="Times New Roman"/>
                <w:b w:val="false"/>
                <w:i w:val="false"/>
                <w:color w:val="000000"/>
                <w:sz w:val="20"/>
              </w:rPr>
              <w:t>
2016 - 16,4</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85"/>
          <w:p>
            <w:pPr>
              <w:spacing w:after="20"/>
              <w:ind w:left="20"/>
              <w:jc w:val="both"/>
            </w:pPr>
            <w:r>
              <w:rPr>
                <w:rFonts w:ascii="Times New Roman"/>
                <w:b w:val="false"/>
                <w:i w:val="false"/>
                <w:color w:val="000000"/>
                <w:sz w:val="20"/>
              </w:rPr>
              <w:t>
13.</w:t>
            </w:r>
          </w:p>
          <w:bookmarkEnd w:id="185"/>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Кумулятивное количество инфраструктурных проектов, в том числе проектов ГЧП, по которым оказаны услуги по консультативному сопровождению</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2014 - 3</w:t>
            </w:r>
            <w:r>
              <w:br/>
            </w:r>
            <w:r>
              <w:rPr>
                <w:rFonts w:ascii="Times New Roman"/>
                <w:b w:val="false"/>
                <w:i w:val="false"/>
                <w:color w:val="000000"/>
                <w:sz w:val="20"/>
              </w:rPr>
              <w:t>
2015 - 6</w:t>
            </w:r>
            <w:r>
              <w:br/>
            </w:r>
            <w:r>
              <w:rPr>
                <w:rFonts w:ascii="Times New Roman"/>
                <w:b w:val="false"/>
                <w:i w:val="false"/>
                <w:color w:val="000000"/>
                <w:sz w:val="20"/>
              </w:rPr>
              <w:t>
2016 - 15</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2014 </w:t>
            </w:r>
            <w:r>
              <w:rPr>
                <w:rFonts w:ascii="Times New Roman"/>
                <w:b/>
                <w:i w:val="false"/>
                <w:color w:val="000000"/>
                <w:sz w:val="20"/>
              </w:rPr>
              <w:t>-</w:t>
            </w:r>
            <w:r>
              <w:rPr>
                <w:rFonts w:ascii="Times New Roman"/>
                <w:b/>
                <w:i w:val="false"/>
                <w:color w:val="000000"/>
                <w:sz w:val="20"/>
              </w:rPr>
              <w:t xml:space="preserve"> 1</w:t>
            </w:r>
            <w:r>
              <w:br/>
            </w:r>
            <w:r>
              <w:rPr>
                <w:rFonts w:ascii="Times New Roman"/>
                <w:b w:val="false"/>
                <w:i w:val="false"/>
                <w:color w:val="000000"/>
                <w:sz w:val="20"/>
              </w:rPr>
              <w:t>
2015 - 10</w:t>
            </w:r>
            <w:r>
              <w:br/>
            </w:r>
            <w:r>
              <w:rPr>
                <w:rFonts w:ascii="Times New Roman"/>
                <w:b w:val="false"/>
                <w:i w:val="false"/>
                <w:color w:val="000000"/>
                <w:sz w:val="20"/>
              </w:rPr>
              <w:t>
2016 - 16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86"/>
          <w:p>
            <w:pPr>
              <w:spacing w:after="20"/>
              <w:ind w:left="20"/>
              <w:jc w:val="both"/>
            </w:pPr>
            <w:r>
              <w:rPr>
                <w:rFonts w:ascii="Times New Roman"/>
                <w:b w:val="false"/>
                <w:i w:val="false"/>
                <w:color w:val="000000"/>
                <w:sz w:val="20"/>
              </w:rPr>
              <w:t>
1.3. Взаимодействие с частными финансовыми институтами по обеспечению необходимого уровня финансирования экономики</w:t>
            </w:r>
          </w:p>
          <w:bookmarkEnd w:id="186"/>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87"/>
          <w:p>
            <w:pPr>
              <w:spacing w:after="20"/>
              <w:ind w:left="20"/>
              <w:jc w:val="both"/>
            </w:pPr>
            <w:r>
              <w:rPr>
                <w:rFonts w:ascii="Times New Roman"/>
                <w:b w:val="false"/>
                <w:i w:val="false"/>
                <w:color w:val="000000"/>
                <w:sz w:val="20"/>
              </w:rPr>
              <w:t>
14.</w:t>
            </w:r>
          </w:p>
          <w:bookmarkEnd w:id="187"/>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привлеченных прямых частных инвестиций в Республику Казахстан к единице государственных средств (в акционерный капитал)</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2014 - 1,7</w:t>
            </w:r>
            <w:r>
              <w:br/>
            </w:r>
            <w:r>
              <w:rPr>
                <w:rFonts w:ascii="Times New Roman"/>
                <w:b w:val="false"/>
                <w:i w:val="false"/>
                <w:color w:val="000000"/>
                <w:sz w:val="20"/>
              </w:rPr>
              <w:t>
2015 - не менее 2</w:t>
            </w:r>
            <w:r>
              <w:br/>
            </w:r>
            <w:r>
              <w:rPr>
                <w:rFonts w:ascii="Times New Roman"/>
                <w:b w:val="false"/>
                <w:i w:val="false"/>
                <w:color w:val="000000"/>
                <w:sz w:val="20"/>
              </w:rPr>
              <w:t>
2016 - не менее 2</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2014 - 2,7</w:t>
            </w:r>
            <w:r>
              <w:br/>
            </w:r>
            <w:r>
              <w:rPr>
                <w:rFonts w:ascii="Times New Roman"/>
                <w:b w:val="false"/>
                <w:i w:val="false"/>
                <w:color w:val="000000"/>
                <w:sz w:val="20"/>
              </w:rPr>
              <w:t>
2015 - 2,1</w:t>
            </w:r>
            <w:r>
              <w:br/>
            </w:r>
            <w:r>
              <w:rPr>
                <w:rFonts w:ascii="Times New Roman"/>
                <w:b w:val="false"/>
                <w:i w:val="false"/>
                <w:color w:val="000000"/>
                <w:sz w:val="20"/>
              </w:rPr>
              <w:t>
2016 - 2,1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88"/>
          <w:p>
            <w:pPr>
              <w:spacing w:after="20"/>
              <w:ind w:left="20"/>
              <w:jc w:val="both"/>
            </w:pPr>
            <w:r>
              <w:rPr>
                <w:rFonts w:ascii="Times New Roman"/>
                <w:b w:val="false"/>
                <w:i w:val="false"/>
                <w:color w:val="000000"/>
                <w:sz w:val="20"/>
              </w:rPr>
              <w:t>
Стратегическое направление деятельности 2: Поддержка малого и среднего предпринимательства</w:t>
            </w:r>
          </w:p>
          <w:bookmarkEnd w:id="188"/>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89"/>
          <w:p>
            <w:pPr>
              <w:spacing w:after="20"/>
              <w:ind w:left="20"/>
              <w:jc w:val="both"/>
            </w:pPr>
            <w:r>
              <w:rPr>
                <w:rFonts w:ascii="Times New Roman"/>
                <w:b w:val="false"/>
                <w:i w:val="false"/>
                <w:color w:val="000000"/>
                <w:sz w:val="20"/>
              </w:rPr>
              <w:t>
2.1 Обеспечение финансовой поддержки предприятий МСБ</w:t>
            </w:r>
          </w:p>
          <w:bookmarkEnd w:id="189"/>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90"/>
          <w:p>
            <w:pPr>
              <w:spacing w:after="20"/>
              <w:ind w:left="20"/>
              <w:jc w:val="both"/>
            </w:pPr>
            <w:r>
              <w:rPr>
                <w:rFonts w:ascii="Times New Roman"/>
                <w:b w:val="false"/>
                <w:i w:val="false"/>
                <w:color w:val="000000"/>
                <w:sz w:val="20"/>
              </w:rPr>
              <w:t>
15.</w:t>
            </w:r>
          </w:p>
          <w:bookmarkEnd w:id="190"/>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средств, направленных на развитие предпринимательства по финансовым программам, млрд. тенге</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2014 - 328</w:t>
            </w:r>
            <w:r>
              <w:br/>
            </w:r>
            <w:r>
              <w:rPr>
                <w:rFonts w:ascii="Times New Roman"/>
                <w:b w:val="false"/>
                <w:i w:val="false"/>
                <w:color w:val="000000"/>
                <w:sz w:val="20"/>
              </w:rPr>
              <w:t>
2015 - 422</w:t>
            </w:r>
            <w:r>
              <w:br/>
            </w:r>
            <w:r>
              <w:rPr>
                <w:rFonts w:ascii="Times New Roman"/>
                <w:b w:val="false"/>
                <w:i w:val="false"/>
                <w:color w:val="000000"/>
                <w:sz w:val="20"/>
              </w:rPr>
              <w:t>
2016 - 451</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2014 - 439</w:t>
            </w:r>
            <w:r>
              <w:br/>
            </w:r>
            <w:r>
              <w:rPr>
                <w:rFonts w:ascii="Times New Roman"/>
                <w:b w:val="false"/>
                <w:i w:val="false"/>
                <w:color w:val="000000"/>
                <w:sz w:val="20"/>
              </w:rPr>
              <w:t>
2015 - 523,7</w:t>
            </w:r>
            <w:r>
              <w:br/>
            </w:r>
            <w:r>
              <w:rPr>
                <w:rFonts w:ascii="Times New Roman"/>
                <w:b w:val="false"/>
                <w:i w:val="false"/>
                <w:color w:val="000000"/>
                <w:sz w:val="20"/>
              </w:rPr>
              <w:t>
2016 - 747,9</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91"/>
          <w:p>
            <w:pPr>
              <w:spacing w:after="20"/>
              <w:ind w:left="20"/>
              <w:jc w:val="both"/>
            </w:pPr>
            <w:r>
              <w:rPr>
                <w:rFonts w:ascii="Times New Roman"/>
                <w:b w:val="false"/>
                <w:i w:val="false"/>
                <w:color w:val="000000"/>
                <w:sz w:val="20"/>
              </w:rPr>
              <w:t>
16.</w:t>
            </w:r>
          </w:p>
          <w:bookmarkEnd w:id="191"/>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Мультипликатор софинансирования субъектов малого и среднего предпринимательства (далее - СМСП) со стороны БВУ по кредитам, выданным по программе обусловленного размещения</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не установлено</w:t>
            </w:r>
            <w:r>
              <w:br/>
            </w:r>
            <w:r>
              <w:rPr>
                <w:rFonts w:ascii="Times New Roman"/>
                <w:b w:val="false"/>
                <w:i w:val="false"/>
                <w:color w:val="000000"/>
                <w:sz w:val="20"/>
              </w:rPr>
              <w:t>
2015 - 5:1</w:t>
            </w:r>
            <w:r>
              <w:br/>
            </w:r>
            <w:r>
              <w:rPr>
                <w:rFonts w:ascii="Times New Roman"/>
                <w:b w:val="false"/>
                <w:i w:val="false"/>
                <w:color w:val="000000"/>
                <w:sz w:val="20"/>
              </w:rPr>
              <w:t>
2016 -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нет данных</w:t>
            </w:r>
            <w:r>
              <w:br/>
            </w:r>
            <w:r>
              <w:rPr>
                <w:rFonts w:ascii="Times New Roman"/>
                <w:b w:val="false"/>
                <w:i w:val="false"/>
                <w:color w:val="000000"/>
                <w:sz w:val="20"/>
              </w:rPr>
              <w:t>
2015 - 47:1</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92"/>
          <w:p>
            <w:pPr>
              <w:spacing w:after="20"/>
              <w:ind w:left="20"/>
              <w:jc w:val="both"/>
            </w:pPr>
            <w:r>
              <w:rPr>
                <w:rFonts w:ascii="Times New Roman"/>
                <w:b w:val="false"/>
                <w:i w:val="false"/>
                <w:color w:val="000000"/>
                <w:sz w:val="20"/>
              </w:rPr>
              <w:t>
17.</w:t>
            </w:r>
          </w:p>
          <w:bookmarkEnd w:id="192"/>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привлеченных средств на финансирование СМСП из внебюджетных источников,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2014 - 20</w:t>
            </w:r>
            <w:r>
              <w:br/>
            </w:r>
            <w:r>
              <w:rPr>
                <w:rFonts w:ascii="Times New Roman"/>
                <w:b w:val="false"/>
                <w:i w:val="false"/>
                <w:color w:val="000000"/>
                <w:sz w:val="20"/>
              </w:rPr>
              <w:t>
2015 - 22</w:t>
            </w:r>
            <w:r>
              <w:br/>
            </w:r>
            <w:r>
              <w:rPr>
                <w:rFonts w:ascii="Times New Roman"/>
                <w:b w:val="false"/>
                <w:i w:val="false"/>
                <w:color w:val="000000"/>
                <w:sz w:val="20"/>
              </w:rPr>
              <w:t>
2016 - 49</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2014 - 57 </w:t>
            </w:r>
            <w:r>
              <w:br/>
            </w:r>
            <w:r>
              <w:rPr>
                <w:rFonts w:ascii="Times New Roman"/>
                <w:b w:val="false"/>
                <w:i w:val="false"/>
                <w:color w:val="000000"/>
                <w:sz w:val="20"/>
              </w:rPr>
              <w:t>
2015 - 61</w:t>
            </w:r>
            <w:r>
              <w:br/>
            </w:r>
            <w:r>
              <w:rPr>
                <w:rFonts w:ascii="Times New Roman"/>
                <w:b w:val="false"/>
                <w:i w:val="false"/>
                <w:color w:val="000000"/>
                <w:sz w:val="20"/>
              </w:rPr>
              <w:t>
2016 - 71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93"/>
          <w:p>
            <w:pPr>
              <w:spacing w:after="20"/>
              <w:ind w:left="20"/>
              <w:jc w:val="both"/>
            </w:pPr>
            <w:r>
              <w:rPr>
                <w:rFonts w:ascii="Times New Roman"/>
                <w:b w:val="false"/>
                <w:i w:val="false"/>
                <w:color w:val="000000"/>
                <w:sz w:val="20"/>
              </w:rPr>
              <w:t>
2.2 Развитие компетенций субъектов малого и среднего предпринимательства</w:t>
            </w:r>
          </w:p>
          <w:bookmarkEnd w:id="193"/>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94"/>
          <w:p>
            <w:pPr>
              <w:spacing w:after="20"/>
              <w:ind w:left="20"/>
              <w:jc w:val="both"/>
            </w:pPr>
            <w:r>
              <w:rPr>
                <w:rFonts w:ascii="Times New Roman"/>
                <w:b w:val="false"/>
                <w:i w:val="false"/>
                <w:color w:val="000000"/>
                <w:sz w:val="20"/>
              </w:rPr>
              <w:t>
18.</w:t>
            </w:r>
          </w:p>
          <w:bookmarkEnd w:id="194"/>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участников программ обучения, открывших бизнес,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2014 - 10</w:t>
            </w:r>
            <w:r>
              <w:br/>
            </w:r>
            <w:r>
              <w:rPr>
                <w:rFonts w:ascii="Times New Roman"/>
                <w:b w:val="false"/>
                <w:i w:val="false"/>
                <w:color w:val="000000"/>
                <w:sz w:val="20"/>
              </w:rPr>
              <w:t>
2015 - 11</w:t>
            </w:r>
            <w:r>
              <w:br/>
            </w:r>
            <w:r>
              <w:rPr>
                <w:rFonts w:ascii="Times New Roman"/>
                <w:b w:val="false"/>
                <w:i w:val="false"/>
                <w:color w:val="000000"/>
                <w:sz w:val="20"/>
              </w:rPr>
              <w:t>
2016 - 12</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2014 - 12</w:t>
            </w:r>
            <w:r>
              <w:br/>
            </w:r>
            <w:r>
              <w:rPr>
                <w:rFonts w:ascii="Times New Roman"/>
                <w:b w:val="false"/>
                <w:i w:val="false"/>
                <w:color w:val="000000"/>
                <w:sz w:val="20"/>
              </w:rPr>
              <w:t>
2015 - 12</w:t>
            </w:r>
            <w:r>
              <w:br/>
            </w:r>
            <w:r>
              <w:rPr>
                <w:rFonts w:ascii="Times New Roman"/>
                <w:b w:val="false"/>
                <w:i w:val="false"/>
                <w:color w:val="000000"/>
                <w:sz w:val="20"/>
              </w:rPr>
              <w:t>
2016 - 12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95"/>
          <w:p>
            <w:pPr>
              <w:spacing w:after="20"/>
              <w:ind w:left="20"/>
              <w:jc w:val="both"/>
            </w:pPr>
            <w:r>
              <w:rPr>
                <w:rFonts w:ascii="Times New Roman"/>
                <w:b w:val="false"/>
                <w:i w:val="false"/>
                <w:color w:val="000000"/>
                <w:sz w:val="20"/>
              </w:rPr>
              <w:t>
Стратегическое направление деятельности 3: Поддержка новых, современных отраслей экономики и развитие инноваций</w:t>
            </w:r>
          </w:p>
          <w:bookmarkEnd w:id="195"/>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96"/>
          <w:p>
            <w:pPr>
              <w:spacing w:after="20"/>
              <w:ind w:left="20"/>
              <w:jc w:val="both"/>
            </w:pPr>
            <w:r>
              <w:rPr>
                <w:rFonts w:ascii="Times New Roman"/>
                <w:b w:val="false"/>
                <w:i w:val="false"/>
                <w:color w:val="000000"/>
                <w:sz w:val="20"/>
              </w:rPr>
              <w:t>
3.1 Обеспечение финансовой поддержки новых отраслей экономики и инновационных проектов</w:t>
            </w:r>
          </w:p>
          <w:bookmarkEnd w:id="196"/>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97"/>
          <w:p>
            <w:pPr>
              <w:spacing w:after="20"/>
              <w:ind w:left="20"/>
              <w:jc w:val="both"/>
            </w:pPr>
            <w:r>
              <w:rPr>
                <w:rFonts w:ascii="Times New Roman"/>
                <w:b w:val="false"/>
                <w:i w:val="false"/>
                <w:color w:val="000000"/>
                <w:sz w:val="20"/>
              </w:rPr>
              <w:t>
19.</w:t>
            </w:r>
          </w:p>
          <w:bookmarkEnd w:id="197"/>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Ежегодный объем выпущенной продукции проектами, поддержанными в рамках инструментов поддержки, млрд. тенге</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2014 - 8</w:t>
            </w:r>
            <w:r>
              <w:br/>
            </w:r>
            <w:r>
              <w:rPr>
                <w:rFonts w:ascii="Times New Roman"/>
                <w:b w:val="false"/>
                <w:i w:val="false"/>
                <w:color w:val="000000"/>
                <w:sz w:val="20"/>
              </w:rPr>
              <w:t>
2015 - 8,6</w:t>
            </w:r>
            <w:r>
              <w:br/>
            </w:r>
            <w:r>
              <w:rPr>
                <w:rFonts w:ascii="Times New Roman"/>
                <w:b w:val="false"/>
                <w:i w:val="false"/>
                <w:color w:val="000000"/>
                <w:sz w:val="20"/>
              </w:rPr>
              <w:t>
2016 - 26,2</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2014 - 34,5</w:t>
            </w:r>
            <w:r>
              <w:br/>
            </w:r>
            <w:r>
              <w:rPr>
                <w:rFonts w:ascii="Times New Roman"/>
                <w:b w:val="false"/>
                <w:i w:val="false"/>
                <w:color w:val="000000"/>
                <w:sz w:val="20"/>
              </w:rPr>
              <w:t>
2015 - 25,2</w:t>
            </w:r>
            <w:r>
              <w:br/>
            </w:r>
            <w:r>
              <w:rPr>
                <w:rFonts w:ascii="Times New Roman"/>
                <w:b w:val="false"/>
                <w:i w:val="false"/>
                <w:color w:val="000000"/>
                <w:sz w:val="20"/>
              </w:rPr>
              <w:t>
2016 - 57,7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98"/>
          <w:p>
            <w:pPr>
              <w:spacing w:after="20"/>
              <w:ind w:left="20"/>
              <w:jc w:val="both"/>
            </w:pPr>
            <w:r>
              <w:rPr>
                <w:rFonts w:ascii="Times New Roman"/>
                <w:b w:val="false"/>
                <w:i w:val="false"/>
                <w:color w:val="000000"/>
                <w:sz w:val="20"/>
              </w:rPr>
              <w:t>
3.2. Развитие инновационной инфраструктуры</w:t>
            </w:r>
          </w:p>
          <w:bookmarkEnd w:id="198"/>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99"/>
          <w:p>
            <w:pPr>
              <w:spacing w:after="20"/>
              <w:ind w:left="20"/>
              <w:jc w:val="both"/>
            </w:pPr>
            <w:r>
              <w:rPr>
                <w:rFonts w:ascii="Times New Roman"/>
                <w:b w:val="false"/>
                <w:i w:val="false"/>
                <w:color w:val="000000"/>
                <w:sz w:val="20"/>
              </w:rPr>
              <w:t>
20.</w:t>
            </w:r>
          </w:p>
          <w:bookmarkEnd w:id="199"/>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коммерциализованных проектов в общем количестве проектов,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2014 - 15</w:t>
            </w:r>
            <w:r>
              <w:br/>
            </w:r>
            <w:r>
              <w:rPr>
                <w:rFonts w:ascii="Times New Roman"/>
                <w:b w:val="false"/>
                <w:i w:val="false"/>
                <w:color w:val="000000"/>
                <w:sz w:val="20"/>
              </w:rPr>
              <w:t>
2015 - 16,2</w:t>
            </w:r>
            <w:r>
              <w:br/>
            </w:r>
            <w:r>
              <w:rPr>
                <w:rFonts w:ascii="Times New Roman"/>
                <w:b w:val="false"/>
                <w:i w:val="false"/>
                <w:color w:val="000000"/>
                <w:sz w:val="20"/>
              </w:rPr>
              <w:t>
2016 - 17,5</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2014 - 25</w:t>
            </w:r>
            <w:r>
              <w:br/>
            </w:r>
            <w:r>
              <w:rPr>
                <w:rFonts w:ascii="Times New Roman"/>
                <w:b w:val="false"/>
                <w:i w:val="false"/>
                <w:color w:val="000000"/>
                <w:sz w:val="20"/>
              </w:rPr>
              <w:t>
2015 - 24</w:t>
            </w:r>
            <w:r>
              <w:br/>
            </w:r>
            <w:r>
              <w:rPr>
                <w:rFonts w:ascii="Times New Roman"/>
                <w:b w:val="false"/>
                <w:i w:val="false"/>
                <w:color w:val="000000"/>
                <w:sz w:val="20"/>
              </w:rPr>
              <w:t>
2016 - 30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00"/>
          <w:p>
            <w:pPr>
              <w:spacing w:after="20"/>
              <w:ind w:left="20"/>
              <w:jc w:val="both"/>
            </w:pPr>
            <w:r>
              <w:rPr>
                <w:rFonts w:ascii="Times New Roman"/>
                <w:b w:val="false"/>
                <w:i w:val="false"/>
                <w:color w:val="000000"/>
                <w:sz w:val="20"/>
              </w:rPr>
              <w:t>
3.3 Развитие компетенции инновационно-ориентированных предприятий и содействие трансферту технологий</w:t>
            </w:r>
          </w:p>
          <w:bookmarkEnd w:id="200"/>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01"/>
          <w:p>
            <w:pPr>
              <w:spacing w:after="20"/>
              <w:ind w:left="20"/>
              <w:jc w:val="both"/>
            </w:pPr>
            <w:r>
              <w:rPr>
                <w:rFonts w:ascii="Times New Roman"/>
                <w:b w:val="false"/>
                <w:i w:val="false"/>
                <w:color w:val="000000"/>
                <w:sz w:val="20"/>
              </w:rPr>
              <w:t>
21.</w:t>
            </w:r>
          </w:p>
          <w:bookmarkEnd w:id="201"/>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предприятий, осуществивших трансферт технологий</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2014 - 12</w:t>
            </w:r>
            <w:r>
              <w:br/>
            </w:r>
            <w:r>
              <w:rPr>
                <w:rFonts w:ascii="Times New Roman"/>
                <w:b w:val="false"/>
                <w:i w:val="false"/>
                <w:color w:val="000000"/>
                <w:sz w:val="20"/>
              </w:rPr>
              <w:t>
2015 - 15</w:t>
            </w:r>
            <w:r>
              <w:br/>
            </w:r>
            <w:r>
              <w:rPr>
                <w:rFonts w:ascii="Times New Roman"/>
                <w:b w:val="false"/>
                <w:i w:val="false"/>
                <w:color w:val="000000"/>
                <w:sz w:val="20"/>
              </w:rPr>
              <w:t>
2016 - 12</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2014 - 17</w:t>
            </w:r>
            <w:r>
              <w:br/>
            </w:r>
            <w:r>
              <w:rPr>
                <w:rFonts w:ascii="Times New Roman"/>
                <w:b w:val="false"/>
                <w:i w:val="false"/>
                <w:color w:val="000000"/>
                <w:sz w:val="20"/>
              </w:rPr>
              <w:t>
2015 - 18</w:t>
            </w:r>
            <w:r>
              <w:br/>
            </w:r>
            <w:r>
              <w:rPr>
                <w:rFonts w:ascii="Times New Roman"/>
                <w:b w:val="false"/>
                <w:i w:val="false"/>
                <w:color w:val="000000"/>
                <w:sz w:val="20"/>
              </w:rPr>
              <w:t>
2016 - 15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02"/>
          <w:p>
            <w:pPr>
              <w:spacing w:after="20"/>
              <w:ind w:left="20"/>
              <w:jc w:val="both"/>
            </w:pPr>
            <w:r>
              <w:rPr>
                <w:rFonts w:ascii="Times New Roman"/>
                <w:b w:val="false"/>
                <w:i w:val="false"/>
                <w:color w:val="000000"/>
                <w:sz w:val="20"/>
              </w:rPr>
              <w:t>
Стратегическое направление деятельности 4: Поддержка экспортной деятельности казахстанских компаний</w:t>
            </w:r>
          </w:p>
          <w:bookmarkEnd w:id="202"/>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03"/>
          <w:p>
            <w:pPr>
              <w:spacing w:after="20"/>
              <w:ind w:left="20"/>
              <w:jc w:val="both"/>
            </w:pPr>
            <w:r>
              <w:rPr>
                <w:rFonts w:ascii="Times New Roman"/>
                <w:b w:val="false"/>
                <w:i w:val="false"/>
                <w:color w:val="000000"/>
                <w:sz w:val="20"/>
              </w:rPr>
              <w:t>
4.1 Развитие экспортного страхования и торгового финансирования</w:t>
            </w:r>
          </w:p>
          <w:bookmarkEnd w:id="203"/>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04"/>
          <w:p>
            <w:pPr>
              <w:spacing w:after="20"/>
              <w:ind w:left="20"/>
              <w:jc w:val="both"/>
            </w:pPr>
            <w:r>
              <w:rPr>
                <w:rFonts w:ascii="Times New Roman"/>
                <w:b w:val="false"/>
                <w:i w:val="false"/>
                <w:color w:val="000000"/>
                <w:sz w:val="20"/>
              </w:rPr>
              <w:t>
22.</w:t>
            </w:r>
          </w:p>
          <w:bookmarkEnd w:id="204"/>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покрытия несырьевого экспорта,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2014 - 1,4</w:t>
            </w:r>
            <w:r>
              <w:br/>
            </w:r>
            <w:r>
              <w:rPr>
                <w:rFonts w:ascii="Times New Roman"/>
                <w:b w:val="false"/>
                <w:i w:val="false"/>
                <w:color w:val="000000"/>
                <w:sz w:val="20"/>
              </w:rPr>
              <w:t>
2015 - 1,5</w:t>
            </w:r>
            <w:r>
              <w:br/>
            </w:r>
            <w:r>
              <w:rPr>
                <w:rFonts w:ascii="Times New Roman"/>
                <w:b w:val="false"/>
                <w:i w:val="false"/>
                <w:color w:val="000000"/>
                <w:sz w:val="20"/>
              </w:rPr>
              <w:t>
2016 - 1,5</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2014 - 1,4</w:t>
            </w:r>
            <w:r>
              <w:br/>
            </w:r>
            <w:r>
              <w:rPr>
                <w:rFonts w:ascii="Times New Roman"/>
                <w:b w:val="false"/>
                <w:i w:val="false"/>
                <w:color w:val="000000"/>
                <w:sz w:val="20"/>
              </w:rPr>
              <w:t>
2015 - 2,7</w:t>
            </w:r>
            <w:r>
              <w:br/>
            </w:r>
            <w:r>
              <w:rPr>
                <w:rFonts w:ascii="Times New Roman"/>
                <w:b w:val="false"/>
                <w:i w:val="false"/>
                <w:color w:val="000000"/>
                <w:sz w:val="20"/>
              </w:rPr>
              <w:t>
2016 - 2,3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05"/>
          <w:p>
            <w:pPr>
              <w:spacing w:after="20"/>
              <w:ind w:left="20"/>
              <w:jc w:val="both"/>
            </w:pPr>
            <w:r>
              <w:rPr>
                <w:rFonts w:ascii="Times New Roman"/>
                <w:b w:val="false"/>
                <w:i w:val="false"/>
                <w:color w:val="000000"/>
                <w:sz w:val="20"/>
              </w:rPr>
              <w:t>
4.2. Нефинансовая поддержка экспортной деятельности казахстанских предприятий</w:t>
            </w:r>
          </w:p>
          <w:bookmarkEnd w:id="205"/>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06"/>
          <w:p>
            <w:pPr>
              <w:spacing w:after="20"/>
              <w:ind w:left="20"/>
              <w:jc w:val="both"/>
            </w:pPr>
            <w:r>
              <w:rPr>
                <w:rFonts w:ascii="Times New Roman"/>
                <w:b w:val="false"/>
                <w:i w:val="false"/>
                <w:color w:val="000000"/>
                <w:sz w:val="20"/>
              </w:rPr>
              <w:t>
23.</w:t>
            </w:r>
          </w:p>
          <w:bookmarkEnd w:id="206"/>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экспортно-ориентированных предприятий, которым оказаны консультационные услуги,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2014 - 4</w:t>
            </w:r>
            <w:r>
              <w:br/>
            </w:r>
            <w:r>
              <w:rPr>
                <w:rFonts w:ascii="Times New Roman"/>
                <w:b w:val="false"/>
                <w:i w:val="false"/>
                <w:color w:val="000000"/>
                <w:sz w:val="20"/>
              </w:rPr>
              <w:t>
2015 - 4,5</w:t>
            </w:r>
            <w:r>
              <w:br/>
            </w:r>
            <w:r>
              <w:rPr>
                <w:rFonts w:ascii="Times New Roman"/>
                <w:b w:val="false"/>
                <w:i w:val="false"/>
                <w:color w:val="000000"/>
                <w:sz w:val="20"/>
              </w:rPr>
              <w:t>
2016 - 5</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2014 - 5</w:t>
            </w:r>
            <w:r>
              <w:br/>
            </w:r>
            <w:r>
              <w:rPr>
                <w:rFonts w:ascii="Times New Roman"/>
                <w:b w:val="false"/>
                <w:i w:val="false"/>
                <w:color w:val="000000"/>
                <w:sz w:val="20"/>
              </w:rPr>
              <w:t>
2015 - 4,5</w:t>
            </w:r>
            <w:r>
              <w:br/>
            </w:r>
            <w:r>
              <w:rPr>
                <w:rFonts w:ascii="Times New Roman"/>
                <w:b w:val="false"/>
                <w:i w:val="false"/>
                <w:color w:val="000000"/>
                <w:sz w:val="20"/>
              </w:rPr>
              <w:t>
2016 - 7,5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07"/>
          <w:p>
            <w:pPr>
              <w:spacing w:after="20"/>
              <w:ind w:left="20"/>
              <w:jc w:val="both"/>
            </w:pPr>
            <w:r>
              <w:rPr>
                <w:rFonts w:ascii="Times New Roman"/>
                <w:b w:val="false"/>
                <w:i w:val="false"/>
                <w:color w:val="000000"/>
                <w:sz w:val="20"/>
              </w:rPr>
              <w:t>
Стратегическое направление деятельности 5: Содействие решению социально-ориентированных задач государства</w:t>
            </w:r>
          </w:p>
          <w:bookmarkEnd w:id="207"/>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08"/>
          <w:p>
            <w:pPr>
              <w:spacing w:after="20"/>
              <w:ind w:left="20"/>
              <w:jc w:val="both"/>
            </w:pPr>
            <w:r>
              <w:rPr>
                <w:rFonts w:ascii="Times New Roman"/>
                <w:b w:val="false"/>
                <w:i w:val="false"/>
                <w:color w:val="000000"/>
                <w:sz w:val="20"/>
              </w:rPr>
              <w:t>
5.1 Развитие системы жилстройсбережений</w:t>
            </w:r>
          </w:p>
          <w:bookmarkEnd w:id="208"/>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09"/>
          <w:p>
            <w:pPr>
              <w:spacing w:after="20"/>
              <w:ind w:left="20"/>
              <w:jc w:val="both"/>
            </w:pPr>
            <w:r>
              <w:rPr>
                <w:rFonts w:ascii="Times New Roman"/>
                <w:b w:val="false"/>
                <w:i w:val="false"/>
                <w:color w:val="000000"/>
                <w:sz w:val="20"/>
              </w:rPr>
              <w:t>
24.</w:t>
            </w:r>
          </w:p>
          <w:bookmarkEnd w:id="209"/>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Доли участников системы жилстройсбережений к экономически активному населению,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2014 - 5,2 </w:t>
            </w:r>
            <w:r>
              <w:br/>
            </w:r>
            <w:r>
              <w:rPr>
                <w:rFonts w:ascii="Times New Roman"/>
                <w:b w:val="false"/>
                <w:i w:val="false"/>
                <w:color w:val="000000"/>
                <w:sz w:val="20"/>
              </w:rPr>
              <w:t>
2015 - 6,5</w:t>
            </w:r>
            <w:r>
              <w:br/>
            </w:r>
            <w:r>
              <w:rPr>
                <w:rFonts w:ascii="Times New Roman"/>
                <w:b w:val="false"/>
                <w:i w:val="false"/>
                <w:color w:val="000000"/>
                <w:sz w:val="20"/>
              </w:rPr>
              <w:t>
2016 - 8,3</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2014 - 5,3</w:t>
            </w:r>
            <w:r>
              <w:br/>
            </w:r>
            <w:r>
              <w:rPr>
                <w:rFonts w:ascii="Times New Roman"/>
                <w:b w:val="false"/>
                <w:i w:val="false"/>
                <w:color w:val="000000"/>
                <w:sz w:val="20"/>
              </w:rPr>
              <w:t>
2015 - 7,1</w:t>
            </w:r>
            <w:r>
              <w:br/>
            </w:r>
            <w:r>
              <w:rPr>
                <w:rFonts w:ascii="Times New Roman"/>
                <w:b w:val="false"/>
                <w:i w:val="false"/>
                <w:color w:val="000000"/>
                <w:sz w:val="20"/>
              </w:rPr>
              <w:t>
2016 - 9,8</w:t>
            </w:r>
          </w:p>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10"/>
          <w:p>
            <w:pPr>
              <w:spacing w:after="20"/>
              <w:ind w:left="20"/>
              <w:jc w:val="both"/>
            </w:pPr>
            <w:r>
              <w:rPr>
                <w:rFonts w:ascii="Times New Roman"/>
                <w:b w:val="false"/>
                <w:i w:val="false"/>
                <w:color w:val="000000"/>
                <w:sz w:val="20"/>
              </w:rPr>
              <w:t>
25.</w:t>
            </w:r>
          </w:p>
          <w:bookmarkEnd w:id="210"/>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участия АО "НУХ "Байтерек" на рынке кредитов на строительство и приобретение жилья</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2014 - 12,8</w:t>
            </w:r>
            <w:r>
              <w:br/>
            </w:r>
            <w:r>
              <w:rPr>
                <w:rFonts w:ascii="Times New Roman"/>
                <w:b w:val="false"/>
                <w:i w:val="false"/>
                <w:color w:val="000000"/>
                <w:sz w:val="20"/>
              </w:rPr>
              <w:t>
2015 - 14</w:t>
            </w:r>
            <w:r>
              <w:br/>
            </w:r>
            <w:r>
              <w:rPr>
                <w:rFonts w:ascii="Times New Roman"/>
                <w:b w:val="false"/>
                <w:i w:val="false"/>
                <w:color w:val="000000"/>
                <w:sz w:val="20"/>
              </w:rPr>
              <w:t>
2016 - 25</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2014 - 18,9</w:t>
            </w:r>
            <w:r>
              <w:br/>
            </w:r>
            <w:r>
              <w:rPr>
                <w:rFonts w:ascii="Times New Roman"/>
                <w:b w:val="false"/>
                <w:i w:val="false"/>
                <w:color w:val="000000"/>
                <w:sz w:val="20"/>
              </w:rPr>
              <w:t>
2015 - 24,6</w:t>
            </w:r>
            <w:r>
              <w:br/>
            </w:r>
            <w:r>
              <w:rPr>
                <w:rFonts w:ascii="Times New Roman"/>
                <w:b w:val="false"/>
                <w:i w:val="false"/>
                <w:color w:val="000000"/>
                <w:sz w:val="20"/>
              </w:rPr>
              <w:t>
2016 - 27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11"/>
          <w:p>
            <w:pPr>
              <w:spacing w:after="20"/>
              <w:ind w:left="20"/>
              <w:jc w:val="both"/>
            </w:pPr>
            <w:r>
              <w:rPr>
                <w:rFonts w:ascii="Times New Roman"/>
                <w:b w:val="false"/>
                <w:i w:val="false"/>
                <w:color w:val="000000"/>
                <w:sz w:val="20"/>
              </w:rPr>
              <w:t>
5.2 Развитие инструмента "аренда с последующим выкупом"</w:t>
            </w:r>
          </w:p>
          <w:bookmarkEnd w:id="211"/>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12"/>
          <w:p>
            <w:pPr>
              <w:spacing w:after="20"/>
              <w:ind w:left="20"/>
              <w:jc w:val="both"/>
            </w:pPr>
            <w:r>
              <w:rPr>
                <w:rFonts w:ascii="Times New Roman"/>
                <w:b w:val="false"/>
                <w:i w:val="false"/>
                <w:color w:val="000000"/>
                <w:sz w:val="20"/>
              </w:rPr>
              <w:t>
26.</w:t>
            </w:r>
          </w:p>
          <w:bookmarkEnd w:id="212"/>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вводимого арендного жилья, тыс. м</w:t>
            </w:r>
            <w:r>
              <w:rPr>
                <w:rFonts w:ascii="Times New Roman"/>
                <w:b w:val="false"/>
                <w:i w:val="false"/>
                <w:color w:val="000000"/>
                <w:vertAlign w:val="superscript"/>
              </w:rPr>
              <w:t>2</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2014 - 171</w:t>
            </w:r>
            <w:r>
              <w:br/>
            </w:r>
            <w:r>
              <w:rPr>
                <w:rFonts w:ascii="Times New Roman"/>
                <w:b w:val="false"/>
                <w:i w:val="false"/>
                <w:color w:val="000000"/>
                <w:sz w:val="20"/>
              </w:rPr>
              <w:t>
2015 - 201,0</w:t>
            </w:r>
            <w:r>
              <w:rPr>
                <w:rFonts w:ascii="Times New Roman"/>
                <w:b w:val="false"/>
                <w:i w:val="false"/>
                <w:color w:val="000000"/>
                <w:vertAlign w:val="superscript"/>
              </w:rPr>
              <w:t>17</w:t>
            </w:r>
            <w:r>
              <w:br/>
            </w:r>
            <w:r>
              <w:rPr>
                <w:rFonts w:ascii="Times New Roman"/>
                <w:b w:val="false"/>
                <w:i w:val="false"/>
                <w:color w:val="000000"/>
                <w:sz w:val="20"/>
              </w:rPr>
              <w:t>
2016 - 326</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2014 </w:t>
            </w:r>
            <w:r>
              <w:rPr>
                <w:rFonts w:ascii="Times New Roman"/>
                <w:b/>
                <w:i w:val="false"/>
                <w:color w:val="000000"/>
                <w:sz w:val="20"/>
              </w:rPr>
              <w:t>-</w:t>
            </w:r>
            <w:r>
              <w:rPr>
                <w:rFonts w:ascii="Times New Roman"/>
                <w:b/>
                <w:i w:val="false"/>
                <w:color w:val="000000"/>
                <w:sz w:val="20"/>
              </w:rPr>
              <w:t xml:space="preserve"> 24,6</w:t>
            </w:r>
            <w:r>
              <w:rPr>
                <w:rFonts w:ascii="Times New Roman"/>
                <w:b w:val="false"/>
                <w:i w:val="false"/>
                <w:color w:val="000000"/>
                <w:vertAlign w:val="superscript"/>
              </w:rPr>
              <w:t>18</w:t>
            </w:r>
            <w:r>
              <w:br/>
            </w:r>
            <w:r>
              <w:rPr>
                <w:rFonts w:ascii="Times New Roman"/>
                <w:b w:val="false"/>
                <w:i w:val="false"/>
                <w:color w:val="000000"/>
                <w:sz w:val="20"/>
              </w:rPr>
              <w:t>
2015 - 434,7</w:t>
            </w:r>
            <w:r>
              <w:rPr>
                <w:rFonts w:ascii="Times New Roman"/>
                <w:b w:val="false"/>
                <w:i w:val="false"/>
                <w:color w:val="000000"/>
                <w:vertAlign w:val="superscript"/>
              </w:rPr>
              <w:t>19</w:t>
            </w:r>
            <w:r>
              <w:br/>
            </w:r>
            <w:r>
              <w:rPr>
                <w:rFonts w:ascii="Times New Roman"/>
                <w:b w:val="false"/>
                <w:i w:val="false"/>
                <w:color w:val="000000"/>
                <w:sz w:val="20"/>
              </w:rPr>
              <w:t>
2016 - 425,5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13"/>
          <w:p>
            <w:pPr>
              <w:spacing w:after="20"/>
              <w:ind w:left="20"/>
              <w:jc w:val="both"/>
            </w:pPr>
            <w:r>
              <w:rPr>
                <w:rFonts w:ascii="Times New Roman"/>
                <w:b w:val="false"/>
                <w:i w:val="false"/>
                <w:color w:val="000000"/>
                <w:sz w:val="20"/>
              </w:rPr>
              <w:t>
5.3 Поддержка ипотечного рынка жилья</w:t>
            </w:r>
          </w:p>
          <w:bookmarkEnd w:id="213"/>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 w:id="214"/>
          <w:p>
            <w:pPr>
              <w:spacing w:after="20"/>
              <w:ind w:left="20"/>
              <w:jc w:val="both"/>
            </w:pPr>
            <w:r>
              <w:rPr>
                <w:rFonts w:ascii="Times New Roman"/>
                <w:b w:val="false"/>
                <w:i w:val="false"/>
                <w:color w:val="000000"/>
                <w:sz w:val="20"/>
              </w:rPr>
              <w:t>
27.</w:t>
            </w:r>
          </w:p>
          <w:bookmarkEnd w:id="214"/>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приобретения прав требования ипотечных займов у банков-партнеров, млрд. тенге</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2014 - 10</w:t>
            </w:r>
            <w:r>
              <w:br/>
            </w:r>
            <w:r>
              <w:rPr>
                <w:rFonts w:ascii="Times New Roman"/>
                <w:b w:val="false"/>
                <w:i w:val="false"/>
                <w:color w:val="000000"/>
                <w:sz w:val="20"/>
              </w:rPr>
              <w:t>
2015 - 8</w:t>
            </w:r>
            <w:r>
              <w:br/>
            </w:r>
            <w:r>
              <w:rPr>
                <w:rFonts w:ascii="Times New Roman"/>
                <w:b w:val="false"/>
                <w:i w:val="false"/>
                <w:color w:val="000000"/>
                <w:sz w:val="20"/>
              </w:rPr>
              <w:t>
2016 -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2014 - 12,5 </w:t>
            </w:r>
            <w:r>
              <w:br/>
            </w:r>
            <w:r>
              <w:rPr>
                <w:rFonts w:ascii="Times New Roman"/>
                <w:b w:val="false"/>
                <w:i w:val="false"/>
                <w:color w:val="000000"/>
                <w:sz w:val="20"/>
              </w:rPr>
              <w:t>
</w:t>
            </w:r>
            <w:r>
              <w:rPr>
                <w:rFonts w:ascii="Times New Roman"/>
                <w:b/>
                <w:i w:val="false"/>
                <w:color w:val="000000"/>
                <w:sz w:val="20"/>
              </w:rPr>
              <w:t xml:space="preserve">2015 </w:t>
            </w:r>
            <w:r>
              <w:rPr>
                <w:rFonts w:ascii="Times New Roman"/>
                <w:b/>
                <w:i w:val="false"/>
                <w:color w:val="000000"/>
                <w:sz w:val="20"/>
              </w:rPr>
              <w:t>-</w:t>
            </w:r>
            <w:r>
              <w:rPr>
                <w:rFonts w:ascii="Times New Roman"/>
                <w:b/>
                <w:i w:val="false"/>
                <w:color w:val="000000"/>
                <w:sz w:val="20"/>
              </w:rPr>
              <w:t xml:space="preserve"> 4,7</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215"/>
          <w:p>
            <w:pPr>
              <w:spacing w:after="20"/>
              <w:ind w:left="20"/>
              <w:jc w:val="both"/>
            </w:pPr>
            <w:r>
              <w:rPr>
                <w:rFonts w:ascii="Times New Roman"/>
                <w:b w:val="false"/>
                <w:i w:val="false"/>
                <w:color w:val="000000"/>
                <w:sz w:val="20"/>
              </w:rPr>
              <w:t>
5.4 Развитие гарантирования ипотечных кредитов</w:t>
            </w:r>
          </w:p>
          <w:bookmarkEnd w:id="215"/>
        </w:tc>
      </w:tr>
      <w:tr>
        <w:trPr>
          <w:trHeight w:val="30" w:hRule="atLeast"/>
        </w:trPr>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16"/>
          <w:p>
            <w:pPr>
              <w:spacing w:after="20"/>
              <w:ind w:left="20"/>
              <w:jc w:val="both"/>
            </w:pPr>
            <w:r>
              <w:rPr>
                <w:rFonts w:ascii="Times New Roman"/>
                <w:b w:val="false"/>
                <w:i w:val="false"/>
                <w:color w:val="000000"/>
                <w:sz w:val="20"/>
              </w:rPr>
              <w:t>
28.</w:t>
            </w:r>
          </w:p>
          <w:bookmarkEnd w:id="216"/>
        </w:tc>
        <w:tc>
          <w:tcPr>
            <w:tcW w:w="4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ипотечных займов в портфеле БВУ, обеспеченных гарантией АО "КФГИК</w:t>
            </w:r>
            <w:r>
              <w:rPr>
                <w:rFonts w:ascii="Times New Roman"/>
                <w:b w:val="false"/>
                <w:i w:val="false"/>
                <w:color w:val="000000"/>
                <w:vertAlign w:val="superscript"/>
              </w:rPr>
              <w:t>20</w:t>
            </w:r>
            <w:r>
              <w:rPr>
                <w:rFonts w:ascii="Times New Roman"/>
                <w:b w:val="false"/>
                <w:i w:val="false"/>
                <w:color w:val="000000"/>
                <w:sz w:val="20"/>
              </w:rPr>
              <w:t>", %</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2014 - 9</w:t>
            </w:r>
            <w:r>
              <w:br/>
            </w:r>
            <w:r>
              <w:rPr>
                <w:rFonts w:ascii="Times New Roman"/>
                <w:b w:val="false"/>
                <w:i w:val="false"/>
                <w:color w:val="000000"/>
                <w:sz w:val="20"/>
              </w:rPr>
              <w:t>
2015 - 9</w:t>
            </w:r>
            <w:r>
              <w:br/>
            </w:r>
            <w:r>
              <w:rPr>
                <w:rFonts w:ascii="Times New Roman"/>
                <w:b w:val="false"/>
                <w:i w:val="false"/>
                <w:color w:val="000000"/>
                <w:sz w:val="20"/>
              </w:rPr>
              <w:t>
2016 - 4,7</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2014 </w:t>
            </w:r>
            <w:r>
              <w:rPr>
                <w:rFonts w:ascii="Times New Roman"/>
                <w:b/>
                <w:i w:val="false"/>
                <w:color w:val="000000"/>
                <w:sz w:val="20"/>
              </w:rPr>
              <w:t>-</w:t>
            </w:r>
            <w:r>
              <w:rPr>
                <w:rFonts w:ascii="Times New Roman"/>
                <w:b/>
                <w:i w:val="false"/>
                <w:color w:val="000000"/>
                <w:sz w:val="20"/>
              </w:rPr>
              <w:t xml:space="preserve"> 7,1</w:t>
            </w:r>
            <w:r>
              <w:br/>
            </w:r>
            <w:r>
              <w:rPr>
                <w:rFonts w:ascii="Times New Roman"/>
                <w:b w:val="false"/>
                <w:i w:val="false"/>
                <w:color w:val="000000"/>
                <w:sz w:val="20"/>
              </w:rPr>
              <w:t>
</w:t>
            </w:r>
            <w:r>
              <w:rPr>
                <w:rFonts w:ascii="Times New Roman"/>
                <w:b/>
                <w:i w:val="false"/>
                <w:color w:val="000000"/>
                <w:sz w:val="20"/>
              </w:rPr>
              <w:t xml:space="preserve">2015 </w:t>
            </w:r>
            <w:r>
              <w:rPr>
                <w:rFonts w:ascii="Times New Roman"/>
                <w:b/>
                <w:i w:val="false"/>
                <w:color w:val="000000"/>
                <w:sz w:val="20"/>
              </w:rPr>
              <w:t>-</w:t>
            </w:r>
            <w:r>
              <w:rPr>
                <w:rFonts w:ascii="Times New Roman"/>
                <w:b/>
                <w:i w:val="false"/>
                <w:color w:val="000000"/>
                <w:sz w:val="20"/>
              </w:rPr>
              <w:t xml:space="preserve"> 5,9</w:t>
            </w:r>
            <w:r>
              <w:br/>
            </w:r>
            <w:r>
              <w:rPr>
                <w:rFonts w:ascii="Times New Roman"/>
                <w:b w:val="false"/>
                <w:i w:val="false"/>
                <w:color w:val="000000"/>
                <w:sz w:val="20"/>
              </w:rPr>
              <w:t>
</w:t>
            </w:r>
            <w:r>
              <w:rPr>
                <w:rFonts w:ascii="Times New Roman"/>
                <w:b/>
                <w:i w:val="false"/>
                <w:color w:val="000000"/>
                <w:sz w:val="20"/>
              </w:rPr>
              <w:t xml:space="preserve">2016 </w:t>
            </w:r>
            <w:r>
              <w:rPr>
                <w:rFonts w:ascii="Times New Roman"/>
                <w:b/>
                <w:i w:val="false"/>
                <w:color w:val="000000"/>
                <w:sz w:val="20"/>
              </w:rPr>
              <w:t>-</w:t>
            </w:r>
            <w:r>
              <w:rPr>
                <w:rFonts w:ascii="Times New Roman"/>
                <w:b/>
                <w:i w:val="false"/>
                <w:color w:val="000000"/>
                <w:sz w:val="20"/>
              </w:rPr>
              <w:t xml:space="preserve"> 4,2</w:t>
            </w:r>
          </w:p>
        </w:tc>
      </w:tr>
    </w:tbl>
    <w:bookmarkStart w:name="z267" w:id="21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14</w:t>
      </w:r>
      <w:r>
        <w:rPr>
          <w:rFonts w:ascii="Times New Roman"/>
          <w:b w:val="false"/>
          <w:i w:val="false"/>
          <w:color w:val="000000"/>
          <w:sz w:val="28"/>
        </w:rPr>
        <w:t>. Исполнение КПД АО "НУХ "Байтерек" в 2014 - 2015 годах</w:t>
      </w:r>
      <w:r>
        <w:rPr>
          <w:rFonts w:ascii="Times New Roman"/>
          <w:b w:val="false"/>
          <w:i w:val="false"/>
          <w:color w:val="000000"/>
          <w:vertAlign w:val="superscript"/>
        </w:rPr>
        <w:t>21</w:t>
      </w:r>
      <w:r>
        <w:rPr>
          <w:rFonts w:ascii="Times New Roman"/>
          <w:b w:val="false"/>
          <w:i w:val="false"/>
          <w:color w:val="000000"/>
          <w:sz w:val="28"/>
        </w:rPr>
        <w:t>.</w:t>
      </w:r>
    </w:p>
    <w:bookmarkEnd w:id="217"/>
    <w:bookmarkStart w:name="z268" w:id="218"/>
    <w:p>
      <w:pPr>
        <w:spacing w:after="0"/>
        <w:ind w:left="0"/>
        <w:jc w:val="both"/>
      </w:pPr>
      <w:r>
        <w:rPr>
          <w:rFonts w:ascii="Times New Roman"/>
          <w:b w:val="false"/>
          <w:i w:val="false"/>
          <w:color w:val="000000"/>
          <w:sz w:val="28"/>
        </w:rPr>
        <w:t>
      В 2014 году не исполнено 3 из 28 стратегических КПД:</w:t>
      </w:r>
    </w:p>
    <w:bookmarkEnd w:id="218"/>
    <w:bookmarkStart w:name="z269" w:id="219"/>
    <w:p>
      <w:pPr>
        <w:spacing w:after="0"/>
        <w:ind w:left="0"/>
        <w:jc w:val="both"/>
      </w:pPr>
      <w:r>
        <w:rPr>
          <w:rFonts w:ascii="Times New Roman"/>
          <w:b w:val="false"/>
          <w:i w:val="false"/>
          <w:color w:val="000000"/>
          <w:sz w:val="28"/>
        </w:rPr>
        <w:t>
      1) кумулятивное количество инфраструктурных проектов, в том числе проектов ГЧП, по которым оказаны услуги по консультативному сопровождению, составило 1 из запланированных 3;</w:t>
      </w:r>
    </w:p>
    <w:bookmarkEnd w:id="219"/>
    <w:bookmarkStart w:name="z270" w:id="220"/>
    <w:p>
      <w:pPr>
        <w:spacing w:after="0"/>
        <w:ind w:left="0"/>
        <w:jc w:val="both"/>
      </w:pPr>
      <w:r>
        <w:rPr>
          <w:rFonts w:ascii="Times New Roman"/>
          <w:b w:val="false"/>
          <w:i w:val="false"/>
          <w:color w:val="000000"/>
          <w:sz w:val="28"/>
        </w:rPr>
        <w:t>
      2) объем вводимого арендного жилья составил 24,6 тыс. м</w:t>
      </w:r>
      <w:r>
        <w:rPr>
          <w:rFonts w:ascii="Times New Roman"/>
          <w:b w:val="false"/>
          <w:i w:val="false"/>
          <w:color w:val="000000"/>
          <w:vertAlign w:val="superscript"/>
        </w:rPr>
        <w:t>2</w:t>
      </w:r>
      <w:r>
        <w:rPr>
          <w:rFonts w:ascii="Times New Roman"/>
          <w:b w:val="false"/>
          <w:i w:val="false"/>
          <w:color w:val="000000"/>
          <w:sz w:val="28"/>
        </w:rPr>
        <w:t xml:space="preserve"> вместо запланированных 210,0 тыс. м</w:t>
      </w:r>
      <w:r>
        <w:rPr>
          <w:rFonts w:ascii="Times New Roman"/>
          <w:b w:val="false"/>
          <w:i w:val="false"/>
          <w:color w:val="000000"/>
          <w:vertAlign w:val="superscript"/>
        </w:rPr>
        <w:t>2</w:t>
      </w:r>
      <w:r>
        <w:rPr>
          <w:rFonts w:ascii="Times New Roman"/>
          <w:b w:val="false"/>
          <w:i w:val="false"/>
          <w:color w:val="000000"/>
          <w:sz w:val="28"/>
        </w:rPr>
        <w:t>;</w:t>
      </w:r>
    </w:p>
    <w:bookmarkEnd w:id="220"/>
    <w:bookmarkStart w:name="z271" w:id="221"/>
    <w:p>
      <w:pPr>
        <w:spacing w:after="0"/>
        <w:ind w:left="0"/>
        <w:jc w:val="both"/>
      </w:pPr>
      <w:r>
        <w:rPr>
          <w:rFonts w:ascii="Times New Roman"/>
          <w:b w:val="false"/>
          <w:i w:val="false"/>
          <w:color w:val="000000"/>
          <w:sz w:val="28"/>
        </w:rPr>
        <w:t>
      3) доля ипотечных займов в портфеле БВУ, обеспеченных гарантией ФГЖС, составила 7,1 % вместо запланированных 9,0 %.</w:t>
      </w:r>
    </w:p>
    <w:bookmarkEnd w:id="221"/>
    <w:bookmarkStart w:name="z272" w:id="222"/>
    <w:p>
      <w:pPr>
        <w:spacing w:after="0"/>
        <w:ind w:left="0"/>
        <w:jc w:val="both"/>
      </w:pPr>
      <w:r>
        <w:rPr>
          <w:rFonts w:ascii="Times New Roman"/>
          <w:b w:val="false"/>
          <w:i w:val="false"/>
          <w:color w:val="000000"/>
          <w:sz w:val="28"/>
        </w:rPr>
        <w:t>
      В 2015 году не исполнено 3 из 28 стратегических КПД:</w:t>
      </w:r>
    </w:p>
    <w:bookmarkEnd w:id="222"/>
    <w:bookmarkStart w:name="z273" w:id="223"/>
    <w:p>
      <w:pPr>
        <w:spacing w:after="0"/>
        <w:ind w:left="0"/>
        <w:jc w:val="both"/>
      </w:pPr>
      <w:r>
        <w:rPr>
          <w:rFonts w:ascii="Times New Roman"/>
          <w:b w:val="false"/>
          <w:i w:val="false"/>
          <w:color w:val="000000"/>
          <w:sz w:val="28"/>
        </w:rPr>
        <w:t>
      1) мультипликатор софинансирования субъектов малого и среднего предпринимательства со стороны БВУ по кредитам, выданным по программе обусловленного размещения, составил 47:1 вместо планового значения 5:1, во многом из-за проблем с ликвидностью у БВУ;</w:t>
      </w:r>
    </w:p>
    <w:bookmarkEnd w:id="223"/>
    <w:bookmarkStart w:name="z274" w:id="224"/>
    <w:p>
      <w:pPr>
        <w:spacing w:after="0"/>
        <w:ind w:left="0"/>
        <w:jc w:val="both"/>
      </w:pPr>
      <w:r>
        <w:rPr>
          <w:rFonts w:ascii="Times New Roman"/>
          <w:b w:val="false"/>
          <w:i w:val="false"/>
          <w:color w:val="000000"/>
          <w:sz w:val="28"/>
        </w:rPr>
        <w:t>
      2) объем приобретения прав требования ипотечных займов у банков-партнеров составил 4,7 млрд. тенге вместо плановых 8,0 млрд. тенге. Недостижение плановых показателей объясняется удорожанием финансирования для КИК и стагнацией рынка ипотечного кредитования;</w:t>
      </w:r>
    </w:p>
    <w:bookmarkEnd w:id="224"/>
    <w:bookmarkStart w:name="z275" w:id="225"/>
    <w:p>
      <w:pPr>
        <w:spacing w:after="0"/>
        <w:ind w:left="0"/>
        <w:jc w:val="both"/>
      </w:pPr>
      <w:r>
        <w:rPr>
          <w:rFonts w:ascii="Times New Roman"/>
          <w:b w:val="false"/>
          <w:i w:val="false"/>
          <w:color w:val="000000"/>
          <w:sz w:val="28"/>
        </w:rPr>
        <w:t>
      3) доля ипотечных займов в портфеле БВУ, обеспеченных гарантией ФГЖС, составила 5,9 % вместо планового значения 9,0 %. Недостижение планового показателя объясняется приостановлением выдачи гарантий в 2013 году в связи с недостаточностью капитала ФГЖС</w:t>
      </w:r>
      <w:r>
        <w:rPr>
          <w:rFonts w:ascii="Times New Roman"/>
          <w:b w:val="false"/>
          <w:i w:val="false"/>
          <w:color w:val="000000"/>
          <w:vertAlign w:val="superscript"/>
        </w:rPr>
        <w:t>22</w:t>
      </w:r>
      <w:r>
        <w:rPr>
          <w:rFonts w:ascii="Times New Roman"/>
          <w:b w:val="false"/>
          <w:i w:val="false"/>
          <w:color w:val="000000"/>
          <w:sz w:val="28"/>
        </w:rPr>
        <w:t>.</w:t>
      </w:r>
    </w:p>
    <w:bookmarkEnd w:id="225"/>
    <w:bookmarkStart w:name="z276" w:id="226"/>
    <w:p>
      <w:pPr>
        <w:spacing w:after="0"/>
        <w:ind w:left="0"/>
        <w:jc w:val="both"/>
      </w:pPr>
      <w:r>
        <w:rPr>
          <w:rFonts w:ascii="Times New Roman"/>
          <w:b w:val="false"/>
          <w:i w:val="false"/>
          <w:color w:val="000000"/>
          <w:sz w:val="28"/>
        </w:rPr>
        <w:t>
      Таким образом, недостижение нескольких КПД в 2014 - 2015 годах объясняется внешней конъюнктурой рынка: отсутствие ликвидности, удорожание доступных источников финансирования и ослабление государственной поддержки экономики.</w:t>
      </w:r>
    </w:p>
    <w:bookmarkEnd w:id="226"/>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13</w:t>
      </w:r>
      <w:r>
        <w:rPr>
          <w:rFonts w:ascii="Times New Roman"/>
          <w:b w:val="false"/>
          <w:i w:val="false"/>
          <w:color w:val="000000"/>
          <w:sz w:val="28"/>
        </w:rPr>
        <w:t xml:space="preserve"> Консолидированный показатель по БРК, ЖССБК, КИК, Даму </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14</w:t>
      </w:r>
      <w:r>
        <w:rPr>
          <w:rFonts w:ascii="Times New Roman"/>
          <w:b w:val="false"/>
          <w:i w:val="false"/>
          <w:color w:val="000000"/>
          <w:sz w:val="28"/>
        </w:rPr>
        <w:t xml:space="preserve"> Консолидированный показатель по БРК, Даму, ЖССБК, КИК, ФСА (БД)</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15</w:t>
      </w:r>
      <w:r>
        <w:rPr>
          <w:rFonts w:ascii="Times New Roman"/>
          <w:b w:val="false"/>
          <w:i w:val="false"/>
          <w:color w:val="000000"/>
          <w:sz w:val="28"/>
        </w:rPr>
        <w:t xml:space="preserve"> Консолидированный показатель по ККМ, ИФК, КИК, НАТР</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16</w:t>
      </w:r>
      <w:r>
        <w:rPr>
          <w:rFonts w:ascii="Times New Roman"/>
          <w:b w:val="false"/>
          <w:i w:val="false"/>
          <w:color w:val="000000"/>
          <w:sz w:val="28"/>
        </w:rPr>
        <w:t xml:space="preserve"> Объем средств, инвестированных группой компаний АО "НУХ "Байтерек".</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17</w:t>
      </w:r>
      <w:r>
        <w:rPr>
          <w:rFonts w:ascii="Times New Roman"/>
          <w:b w:val="false"/>
          <w:i w:val="false"/>
          <w:color w:val="000000"/>
          <w:sz w:val="28"/>
        </w:rPr>
        <w:t xml:space="preserve"> В рамках Программы "Доступное жилье – 2020" - 153, в рамках собственной программы – 48 тыс. кв. метров.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18</w:t>
      </w:r>
      <w:r>
        <w:rPr>
          <w:rFonts w:ascii="Times New Roman"/>
          <w:b w:val="false"/>
          <w:i w:val="false"/>
          <w:color w:val="000000"/>
          <w:sz w:val="28"/>
        </w:rPr>
        <w:t xml:space="preserve"> До 2015 года по Программе "Доступное жилье – 2020" - 6, по собственной программе – 24.6 тыс. кв. метров.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19</w:t>
      </w:r>
      <w:r>
        <w:rPr>
          <w:rFonts w:ascii="Times New Roman"/>
          <w:b w:val="false"/>
          <w:i w:val="false"/>
          <w:color w:val="000000"/>
          <w:vertAlign w:val="superscript"/>
        </w:rPr>
        <w:t xml:space="preserve"> </w:t>
      </w:r>
      <w:r>
        <w:rPr>
          <w:rFonts w:ascii="Times New Roman"/>
          <w:b w:val="false"/>
          <w:i w:val="false"/>
          <w:color w:val="000000"/>
          <w:sz w:val="28"/>
        </w:rPr>
        <w:t>В рамках Программы "Доступное жилье – 2020" - 425,37, в рамках собственной программы – 9,3 тыс. кв. метров.</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20</w:t>
      </w:r>
      <w:r>
        <w:rPr>
          <w:rFonts w:ascii="Times New Roman"/>
          <w:b w:val="false"/>
          <w:i w:val="false"/>
          <w:color w:val="000000"/>
          <w:sz w:val="28"/>
        </w:rPr>
        <w:t xml:space="preserve"> В соответствии с решением Правления АО "НУХ "Байтерек" от 20 сентября 2016 года № 37/16 акционерное общество "Казахстанский фонд гарантирования ипотечных кредитов" (далее – АО "КФГИК") было переименовано в АО "Фонд гарантирования жилищного строительства".</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21</w:t>
      </w:r>
      <w:r>
        <w:rPr>
          <w:rFonts w:ascii="Times New Roman"/>
          <w:b w:val="false"/>
          <w:i w:val="false"/>
          <w:color w:val="000000"/>
          <w:sz w:val="28"/>
        </w:rPr>
        <w:t xml:space="preserve"> В соответствии с пунктом 24 приказа Министра национальной экономики Республики Казахстан от 27 февраля 2015 года № 149 первая оценка эффективности реализации Стратегии развития будет проводится за период 2014 – 2016 годы с разбивкой по годам по 28 КПД АО "НУХ "Байтерек", указанным на рисунке 14.</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22</w:t>
      </w:r>
      <w:r>
        <w:rPr>
          <w:rFonts w:ascii="Times New Roman"/>
          <w:b w:val="false"/>
          <w:i w:val="false"/>
          <w:color w:val="000000"/>
          <w:sz w:val="28"/>
        </w:rPr>
        <w:t xml:space="preserve">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республиканском бюджете на 2015 – 2017 годы" предусмотрено пополнение АО "КФГИК" на 10 млрд. тенге. Вышеуказанные меры позволили в 2016 году АО "ФЖГС" приступить к выдаче гарантий на жилищное строительство.</w:t>
      </w:r>
    </w:p>
    <w:bookmarkStart w:name="z277" w:id="227"/>
    <w:p>
      <w:pPr>
        <w:spacing w:after="0"/>
        <w:ind w:left="0"/>
        <w:jc w:val="both"/>
      </w:pPr>
      <w:r>
        <w:rPr>
          <w:rFonts w:ascii="Times New Roman"/>
          <w:b w:val="false"/>
          <w:i w:val="false"/>
          <w:color w:val="000000"/>
          <w:sz w:val="28"/>
        </w:rPr>
        <w:t xml:space="preserve">
      </w:t>
      </w:r>
      <w:r>
        <w:rPr>
          <w:rFonts w:ascii="Times New Roman"/>
          <w:b/>
          <w:i w:val="false"/>
          <w:color w:val="000000"/>
          <w:sz w:val="28"/>
        </w:rPr>
        <w:t>SWOT-анализ</w:t>
      </w:r>
    </w:p>
    <w:bookmarkEnd w:id="2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11"/>
        <w:gridCol w:w="6489"/>
      </w:tblGrid>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Сильные стороны
</w:t>
            </w:r>
          </w:p>
        </w:tc>
        <w:tc>
          <w:tcPr>
            <w:tcW w:w="6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Слабые стороны
</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228"/>
          <w:p>
            <w:pPr>
              <w:spacing w:after="20"/>
              <w:ind w:left="20"/>
              <w:jc w:val="both"/>
            </w:pPr>
            <w:r>
              <w:rPr>
                <w:rFonts w:ascii="Times New Roman"/>
                <w:b w:val="false"/>
                <w:i w:val="false"/>
                <w:color w:val="000000"/>
                <w:sz w:val="20"/>
              </w:rPr>
              <w:t>
1) значительная поддержка АО "НУХ "Байтерек" и его ДО со стороны единственного акционера в лице Правительства Республики Казахстан;</w:t>
            </w:r>
            <w:r>
              <w:br/>
            </w:r>
            <w:r>
              <w:rPr>
                <w:rFonts w:ascii="Times New Roman"/>
                <w:b w:val="false"/>
                <w:i w:val="false"/>
                <w:color w:val="000000"/>
                <w:sz w:val="20"/>
              </w:rPr>
              <w:t>
</w:t>
            </w:r>
            <w:r>
              <w:rPr>
                <w:rFonts w:ascii="Times New Roman"/>
                <w:b w:val="false"/>
                <w:i w:val="false"/>
                <w:color w:val="000000"/>
                <w:sz w:val="20"/>
              </w:rPr>
              <w:t>2) развитая инфраструктура, существенный опыт поддержки экономики, опыт взаимодействия с частным бизнесом;</w:t>
            </w:r>
            <w:r>
              <w:br/>
            </w:r>
            <w:r>
              <w:rPr>
                <w:rFonts w:ascii="Times New Roman"/>
                <w:b w:val="false"/>
                <w:i w:val="false"/>
                <w:color w:val="000000"/>
                <w:sz w:val="20"/>
              </w:rPr>
              <w:t>
</w:t>
            </w:r>
            <w:r>
              <w:rPr>
                <w:rFonts w:ascii="Times New Roman"/>
                <w:b w:val="false"/>
                <w:i w:val="false"/>
                <w:color w:val="000000"/>
                <w:sz w:val="20"/>
              </w:rPr>
              <w:t>3) эффективное управление валютными, процентными, кредитными и другими рисками портфеля;</w:t>
            </w:r>
            <w:r>
              <w:br/>
            </w:r>
            <w:r>
              <w:rPr>
                <w:rFonts w:ascii="Times New Roman"/>
                <w:b w:val="false"/>
                <w:i w:val="false"/>
                <w:color w:val="000000"/>
                <w:sz w:val="20"/>
              </w:rPr>
              <w:t>
</w:t>
            </w:r>
            <w:r>
              <w:rPr>
                <w:rFonts w:ascii="Times New Roman"/>
                <w:b w:val="false"/>
                <w:i w:val="false"/>
                <w:color w:val="000000"/>
                <w:sz w:val="20"/>
              </w:rPr>
              <w:t>4) опыт привлечения финансирования на международном и местном рынках капитала;</w:t>
            </w:r>
            <w:r>
              <w:br/>
            </w:r>
            <w:r>
              <w:rPr>
                <w:rFonts w:ascii="Times New Roman"/>
                <w:b w:val="false"/>
                <w:i w:val="false"/>
                <w:color w:val="000000"/>
                <w:sz w:val="20"/>
              </w:rPr>
              <w:t>
5) широкий набор финансовых и нефинансовых инструментов поддержки в ДО АО "НУХ "Байтерек".</w:t>
            </w:r>
          </w:p>
          <w:bookmarkEnd w:id="228"/>
        </w:tc>
        <w:tc>
          <w:tcPr>
            <w:tcW w:w="6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 w:id="229"/>
          <w:p>
            <w:pPr>
              <w:spacing w:after="20"/>
              <w:ind w:left="20"/>
              <w:jc w:val="both"/>
            </w:pPr>
            <w:r>
              <w:rPr>
                <w:rFonts w:ascii="Times New Roman"/>
                <w:b w:val="false"/>
                <w:i w:val="false"/>
                <w:color w:val="000000"/>
                <w:sz w:val="20"/>
              </w:rPr>
              <w:t>
1) высокая доля финансирования крупных проектов квазигосударственного сектора;</w:t>
            </w:r>
            <w:r>
              <w:br/>
            </w:r>
            <w:r>
              <w:rPr>
                <w:rFonts w:ascii="Times New Roman"/>
                <w:b w:val="false"/>
                <w:i w:val="false"/>
                <w:color w:val="000000"/>
                <w:sz w:val="20"/>
              </w:rPr>
              <w:t>
</w:t>
            </w:r>
            <w:r>
              <w:rPr>
                <w:rFonts w:ascii="Times New Roman"/>
                <w:b w:val="false"/>
                <w:i w:val="false"/>
                <w:color w:val="000000"/>
                <w:sz w:val="20"/>
              </w:rPr>
              <w:t>2) наличие дублирующих функций и инструментов поддержки с другими институтами развития;</w:t>
            </w:r>
            <w:r>
              <w:br/>
            </w:r>
            <w:r>
              <w:rPr>
                <w:rFonts w:ascii="Times New Roman"/>
                <w:b w:val="false"/>
                <w:i w:val="false"/>
                <w:color w:val="000000"/>
                <w:sz w:val="20"/>
              </w:rPr>
              <w:t>
</w:t>
            </w:r>
            <w:r>
              <w:rPr>
                <w:rFonts w:ascii="Times New Roman"/>
                <w:b w:val="false"/>
                <w:i w:val="false"/>
                <w:color w:val="000000"/>
                <w:sz w:val="20"/>
              </w:rPr>
              <w:t>3) низкая степень реализации синергии между ДО АО "НУХ "Байтерек", необходимых для успешного внедрения принципа "одного окна";</w:t>
            </w:r>
            <w:r>
              <w:br/>
            </w:r>
            <w:r>
              <w:rPr>
                <w:rFonts w:ascii="Times New Roman"/>
                <w:b w:val="false"/>
                <w:i w:val="false"/>
                <w:color w:val="000000"/>
                <w:sz w:val="20"/>
              </w:rPr>
              <w:t>
</w:t>
            </w:r>
            <w:r>
              <w:rPr>
                <w:rFonts w:ascii="Times New Roman"/>
                <w:b w:val="false"/>
                <w:i w:val="false"/>
                <w:color w:val="000000"/>
                <w:sz w:val="20"/>
              </w:rPr>
              <w:t>4) направленность КПД АО "НУХ "Байтерек" и его ДО на показатели, отражающие объем поддержки, и не всегда на эффективность;</w:t>
            </w:r>
            <w:r>
              <w:br/>
            </w:r>
            <w:r>
              <w:rPr>
                <w:rFonts w:ascii="Times New Roman"/>
                <w:b w:val="false"/>
                <w:i w:val="false"/>
                <w:color w:val="000000"/>
                <w:sz w:val="20"/>
              </w:rPr>
              <w:t>
</w:t>
            </w:r>
            <w:r>
              <w:rPr>
                <w:rFonts w:ascii="Times New Roman"/>
                <w:b w:val="false"/>
                <w:i w:val="false"/>
                <w:color w:val="000000"/>
                <w:sz w:val="20"/>
              </w:rPr>
              <w:t>5) отсутствие четкого распределения управленческих функций и ответственности между корпоративным центром АО "НУХ "Байтерек" и ДО;</w:t>
            </w:r>
            <w:r>
              <w:br/>
            </w:r>
            <w:r>
              <w:rPr>
                <w:rFonts w:ascii="Times New Roman"/>
                <w:b w:val="false"/>
                <w:i w:val="false"/>
                <w:color w:val="000000"/>
                <w:sz w:val="20"/>
              </w:rPr>
              <w:t>
6) недостаточно активное взаимодействие с общественностью и клиентами по доведению информации о результатах работы и новых инструментах</w:t>
            </w:r>
          </w:p>
          <w:bookmarkEnd w:id="229"/>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w:t>
            </w:r>
            <w:r>
              <w:rPr>
                <w:rFonts w:ascii="Times New Roman"/>
                <w:b/>
                <w:i w:val="false"/>
                <w:color w:val="000000"/>
                <w:sz w:val="20"/>
              </w:rPr>
              <w:t>Возможности
</w:t>
            </w:r>
          </w:p>
        </w:tc>
        <w:tc>
          <w:tcPr>
            <w:tcW w:w="6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Угрозы
</w:t>
            </w:r>
          </w:p>
        </w:tc>
      </w:tr>
      <w:tr>
        <w:trPr>
          <w:trHeight w:val="30" w:hRule="atLeast"/>
        </w:trPr>
        <w:tc>
          <w:tcPr>
            <w:tcW w:w="5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 w:id="230"/>
          <w:p>
            <w:pPr>
              <w:spacing w:after="20"/>
              <w:ind w:left="20"/>
              <w:jc w:val="both"/>
            </w:pPr>
            <w:r>
              <w:rPr>
                <w:rFonts w:ascii="Times New Roman"/>
                <w:b w:val="false"/>
                <w:i w:val="false"/>
                <w:color w:val="000000"/>
                <w:sz w:val="20"/>
              </w:rPr>
              <w:t>
1) высокая потребность экономики Казахстана в финансовой и нефинансовой поддержке развития;</w:t>
            </w:r>
            <w:r>
              <w:br/>
            </w:r>
            <w:r>
              <w:rPr>
                <w:rFonts w:ascii="Times New Roman"/>
                <w:b w:val="false"/>
                <w:i w:val="false"/>
                <w:color w:val="000000"/>
                <w:sz w:val="20"/>
              </w:rPr>
              <w:t>
</w:t>
            </w:r>
            <w:r>
              <w:rPr>
                <w:rFonts w:ascii="Times New Roman"/>
                <w:b w:val="false"/>
                <w:i w:val="false"/>
                <w:color w:val="000000"/>
                <w:sz w:val="20"/>
              </w:rPr>
              <w:t>2) необходимость дальнейшего повышения конкурентоспособности казахстанских компаний;</w:t>
            </w:r>
            <w:r>
              <w:br/>
            </w:r>
            <w:r>
              <w:rPr>
                <w:rFonts w:ascii="Times New Roman"/>
                <w:b w:val="false"/>
                <w:i w:val="false"/>
                <w:color w:val="000000"/>
                <w:sz w:val="20"/>
              </w:rPr>
              <w:t>
</w:t>
            </w:r>
            <w:r>
              <w:rPr>
                <w:rFonts w:ascii="Times New Roman"/>
                <w:b w:val="false"/>
                <w:i w:val="false"/>
                <w:color w:val="000000"/>
                <w:sz w:val="20"/>
              </w:rPr>
              <w:t>3) необходимость наращивания инвестиций в развитие и модернизацию инфраструктуры;</w:t>
            </w:r>
            <w:r>
              <w:br/>
            </w:r>
            <w:r>
              <w:rPr>
                <w:rFonts w:ascii="Times New Roman"/>
                <w:b w:val="false"/>
                <w:i w:val="false"/>
                <w:color w:val="000000"/>
                <w:sz w:val="20"/>
              </w:rPr>
              <w:t>
</w:t>
            </w:r>
            <w:r>
              <w:rPr>
                <w:rFonts w:ascii="Times New Roman"/>
                <w:b w:val="false"/>
                <w:i w:val="false"/>
                <w:color w:val="000000"/>
                <w:sz w:val="20"/>
              </w:rPr>
              <w:t>4) возможность привлечения средств из негосударственных источников финансирования;</w:t>
            </w:r>
            <w:r>
              <w:br/>
            </w:r>
            <w:r>
              <w:rPr>
                <w:rFonts w:ascii="Times New Roman"/>
                <w:b w:val="false"/>
                <w:i w:val="false"/>
                <w:color w:val="000000"/>
                <w:sz w:val="20"/>
              </w:rPr>
              <w:t>
</w:t>
            </w:r>
            <w:r>
              <w:rPr>
                <w:rFonts w:ascii="Times New Roman"/>
                <w:b w:val="false"/>
                <w:i w:val="false"/>
                <w:color w:val="000000"/>
                <w:sz w:val="20"/>
              </w:rPr>
              <w:t>5) расширение сотрудничества с частным сектором, в частности в форме ГЧП и софинансирования с частными финансовыми институтами;</w:t>
            </w:r>
            <w:r>
              <w:br/>
            </w:r>
            <w:r>
              <w:rPr>
                <w:rFonts w:ascii="Times New Roman"/>
                <w:b w:val="false"/>
                <w:i w:val="false"/>
                <w:color w:val="000000"/>
                <w:sz w:val="20"/>
              </w:rPr>
              <w:t>
</w:t>
            </w:r>
            <w:r>
              <w:rPr>
                <w:rFonts w:ascii="Times New Roman"/>
                <w:b w:val="false"/>
                <w:i w:val="false"/>
                <w:color w:val="000000"/>
                <w:sz w:val="20"/>
              </w:rPr>
              <w:t>6) возможность реализации дополнительной синергии между ДО;</w:t>
            </w:r>
            <w:r>
              <w:br/>
            </w:r>
            <w:r>
              <w:rPr>
                <w:rFonts w:ascii="Times New Roman"/>
                <w:b w:val="false"/>
                <w:i w:val="false"/>
                <w:color w:val="000000"/>
                <w:sz w:val="20"/>
              </w:rPr>
              <w:t>
7) осуществление роли технологического брокера путем предоставления услуг по трансферту технологий.</w:t>
            </w:r>
          </w:p>
          <w:bookmarkEnd w:id="230"/>
        </w:tc>
        <w:tc>
          <w:tcPr>
            <w:tcW w:w="6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 w:id="231"/>
          <w:p>
            <w:pPr>
              <w:spacing w:after="20"/>
              <w:ind w:left="20"/>
              <w:jc w:val="both"/>
            </w:pPr>
            <w:r>
              <w:rPr>
                <w:rFonts w:ascii="Times New Roman"/>
                <w:b w:val="false"/>
                <w:i w:val="false"/>
                <w:color w:val="000000"/>
                <w:sz w:val="20"/>
              </w:rPr>
              <w:t>
1) возможно ухудшение макроэкономической ситуации в стране из-за внешних факторов; это может привести к дальнейшему ослаблению национальной валюты и ухудшению страновых рисков;</w:t>
            </w:r>
            <w:r>
              <w:br/>
            </w:r>
            <w:r>
              <w:rPr>
                <w:rFonts w:ascii="Times New Roman"/>
                <w:b w:val="false"/>
                <w:i w:val="false"/>
                <w:color w:val="000000"/>
                <w:sz w:val="20"/>
              </w:rPr>
              <w:t>
</w:t>
            </w:r>
            <w:r>
              <w:rPr>
                <w:rFonts w:ascii="Times New Roman"/>
                <w:b w:val="false"/>
                <w:i w:val="false"/>
                <w:color w:val="000000"/>
                <w:sz w:val="20"/>
              </w:rPr>
              <w:t>2) неразвитость фондового рынка Республики Казахстан;</w:t>
            </w:r>
            <w:r>
              <w:br/>
            </w:r>
            <w:r>
              <w:rPr>
                <w:rFonts w:ascii="Times New Roman"/>
                <w:b w:val="false"/>
                <w:i w:val="false"/>
                <w:color w:val="000000"/>
                <w:sz w:val="20"/>
              </w:rPr>
              <w:t>
</w:t>
            </w:r>
            <w:r>
              <w:rPr>
                <w:rFonts w:ascii="Times New Roman"/>
                <w:b w:val="false"/>
                <w:i w:val="false"/>
                <w:color w:val="000000"/>
                <w:sz w:val="20"/>
              </w:rPr>
              <w:t>3) в случае понижения кредитного рейтинга АО "НУХ "Байтерек" доступ к внешним источникам финансирования будет ограничен;</w:t>
            </w:r>
            <w:r>
              <w:br/>
            </w:r>
            <w:r>
              <w:rPr>
                <w:rFonts w:ascii="Times New Roman"/>
                <w:b w:val="false"/>
                <w:i w:val="false"/>
                <w:color w:val="000000"/>
                <w:sz w:val="20"/>
              </w:rPr>
              <w:t>
</w:t>
            </w:r>
            <w:r>
              <w:rPr>
                <w:rFonts w:ascii="Times New Roman"/>
                <w:b w:val="false"/>
                <w:i w:val="false"/>
                <w:color w:val="000000"/>
                <w:sz w:val="20"/>
              </w:rPr>
              <w:t>4) слабая инвестиционная привлекательность проектов в Казахстане;</w:t>
            </w:r>
            <w:r>
              <w:br/>
            </w:r>
            <w:r>
              <w:rPr>
                <w:rFonts w:ascii="Times New Roman"/>
                <w:b w:val="false"/>
                <w:i w:val="false"/>
                <w:color w:val="000000"/>
                <w:sz w:val="20"/>
              </w:rPr>
              <w:t>
5) сохранение высокой доли проблемных кредитов в портфелях БВУ.</w:t>
            </w:r>
          </w:p>
          <w:bookmarkEnd w:id="231"/>
        </w:tc>
      </w:tr>
    </w:tbl>
    <w:bookmarkStart w:name="z299" w:id="232"/>
    <w:p>
      <w:pPr>
        <w:spacing w:after="0"/>
        <w:ind w:left="0"/>
        <w:jc w:val="left"/>
      </w:pPr>
      <w:r>
        <w:rPr>
          <w:rFonts w:ascii="Times New Roman"/>
          <w:b/>
          <w:i w:val="false"/>
          <w:color w:val="000000"/>
        </w:rPr>
        <w:t xml:space="preserve"> 3. Миссия и видение АО "НУХ "Байтерек"</w:t>
      </w:r>
    </w:p>
    <w:bookmarkEnd w:id="232"/>
    <w:bookmarkStart w:name="z300" w:id="233"/>
    <w:p>
      <w:pPr>
        <w:spacing w:after="0"/>
        <w:ind w:left="0"/>
        <w:jc w:val="both"/>
      </w:pPr>
      <w:r>
        <w:rPr>
          <w:rFonts w:ascii="Times New Roman"/>
          <w:b w:val="false"/>
          <w:i w:val="false"/>
          <w:color w:val="000000"/>
          <w:sz w:val="28"/>
        </w:rPr>
        <w:t>
      Миссией АО "НУХ "Байтерек" является содействие устойчивому экономическому развитию Республики Казахстан в целях реализации государственной политики и достижения целей, поставленных "Стратегией - 2050".</w:t>
      </w:r>
    </w:p>
    <w:bookmarkEnd w:id="233"/>
    <w:bookmarkStart w:name="z301" w:id="234"/>
    <w:p>
      <w:pPr>
        <w:spacing w:after="0"/>
        <w:ind w:left="0"/>
        <w:jc w:val="both"/>
      </w:pPr>
      <w:r>
        <w:rPr>
          <w:rFonts w:ascii="Times New Roman"/>
          <w:b w:val="false"/>
          <w:i w:val="false"/>
          <w:color w:val="000000"/>
          <w:sz w:val="28"/>
        </w:rPr>
        <w:t>
      Видение АО "НУХ "Байтерек" - ключевой институт Правительства Республики Казахстан, соответствующий передовым стандартам корпоративного управления и обеспечивающий реализацию задач по устойчивому развитию экономики Казахстана путем ее диверсификации, поддержки инноваций, развития экспорта, увеличения производительности труда.</w:t>
      </w:r>
    </w:p>
    <w:bookmarkEnd w:id="234"/>
    <w:bookmarkStart w:name="z302" w:id="235"/>
    <w:p>
      <w:pPr>
        <w:spacing w:after="0"/>
        <w:ind w:left="0"/>
        <w:jc w:val="both"/>
      </w:pPr>
      <w:r>
        <w:rPr>
          <w:rFonts w:ascii="Times New Roman"/>
          <w:b w:val="false"/>
          <w:i w:val="false"/>
          <w:color w:val="000000"/>
          <w:sz w:val="28"/>
        </w:rPr>
        <w:t>
      Ключевые задачи, которые решает АО "НУХ "Байтерек" в рамках реализации своей миссии по содействию устойчивому развитию экономики Казахстана, являются:</w:t>
      </w:r>
    </w:p>
    <w:bookmarkEnd w:id="235"/>
    <w:bookmarkStart w:name="z303" w:id="236"/>
    <w:p>
      <w:pPr>
        <w:spacing w:after="0"/>
        <w:ind w:left="0"/>
        <w:jc w:val="both"/>
      </w:pPr>
      <w:r>
        <w:rPr>
          <w:rFonts w:ascii="Times New Roman"/>
          <w:b w:val="false"/>
          <w:i w:val="false"/>
          <w:color w:val="000000"/>
          <w:sz w:val="28"/>
        </w:rPr>
        <w:t>
      1) развитие несырьевых отраслей экономики;</w:t>
      </w:r>
    </w:p>
    <w:bookmarkEnd w:id="236"/>
    <w:bookmarkStart w:name="z304" w:id="237"/>
    <w:p>
      <w:pPr>
        <w:spacing w:after="0"/>
        <w:ind w:left="0"/>
        <w:jc w:val="both"/>
      </w:pPr>
      <w:r>
        <w:rPr>
          <w:rFonts w:ascii="Times New Roman"/>
          <w:b w:val="false"/>
          <w:i w:val="false"/>
          <w:color w:val="000000"/>
          <w:sz w:val="28"/>
        </w:rPr>
        <w:t>
      2) развитие предпринимательства (частного сектора экономики);</w:t>
      </w:r>
    </w:p>
    <w:bookmarkEnd w:id="237"/>
    <w:bookmarkStart w:name="z305" w:id="238"/>
    <w:p>
      <w:pPr>
        <w:spacing w:after="0"/>
        <w:ind w:left="0"/>
        <w:jc w:val="both"/>
      </w:pPr>
      <w:r>
        <w:rPr>
          <w:rFonts w:ascii="Times New Roman"/>
          <w:b w:val="false"/>
          <w:i w:val="false"/>
          <w:color w:val="000000"/>
          <w:sz w:val="28"/>
        </w:rPr>
        <w:t>
      3) поддержка урбанизации экономики;</w:t>
      </w:r>
    </w:p>
    <w:bookmarkEnd w:id="238"/>
    <w:bookmarkStart w:name="z306" w:id="239"/>
    <w:p>
      <w:pPr>
        <w:spacing w:after="0"/>
        <w:ind w:left="0"/>
        <w:jc w:val="both"/>
      </w:pPr>
      <w:r>
        <w:rPr>
          <w:rFonts w:ascii="Times New Roman"/>
          <w:b w:val="false"/>
          <w:i w:val="false"/>
          <w:color w:val="000000"/>
          <w:sz w:val="28"/>
        </w:rPr>
        <w:t>
      4) поддержка экспорта несырьевой продукции;</w:t>
      </w:r>
    </w:p>
    <w:bookmarkEnd w:id="239"/>
    <w:bookmarkStart w:name="z307" w:id="240"/>
    <w:p>
      <w:pPr>
        <w:spacing w:after="0"/>
        <w:ind w:left="0"/>
        <w:jc w:val="both"/>
      </w:pPr>
      <w:r>
        <w:rPr>
          <w:rFonts w:ascii="Times New Roman"/>
          <w:b w:val="false"/>
          <w:i w:val="false"/>
          <w:color w:val="000000"/>
          <w:sz w:val="28"/>
        </w:rPr>
        <w:t>
      5) развитие инноваций.</w:t>
      </w:r>
    </w:p>
    <w:bookmarkEnd w:id="240"/>
    <w:bookmarkStart w:name="z308" w:id="241"/>
    <w:p>
      <w:pPr>
        <w:spacing w:after="0"/>
        <w:ind w:left="0"/>
        <w:jc w:val="both"/>
      </w:pPr>
      <w:r>
        <w:rPr>
          <w:rFonts w:ascii="Times New Roman"/>
          <w:b w:val="false"/>
          <w:i w:val="false"/>
          <w:color w:val="000000"/>
          <w:sz w:val="28"/>
        </w:rPr>
        <w:t>
      Первые две задачи решаются путем осуществления основной деятельности АО "НУХ "Байтерек" по двум стратегическим направлениям:</w:t>
      </w:r>
    </w:p>
    <w:bookmarkEnd w:id="241"/>
    <w:bookmarkStart w:name="z309" w:id="242"/>
    <w:p>
      <w:pPr>
        <w:spacing w:after="0"/>
        <w:ind w:left="0"/>
        <w:jc w:val="both"/>
      </w:pPr>
      <w:r>
        <w:rPr>
          <w:rFonts w:ascii="Times New Roman"/>
          <w:b w:val="false"/>
          <w:i w:val="false"/>
          <w:color w:val="000000"/>
          <w:sz w:val="28"/>
        </w:rPr>
        <w:t>
      1) поддержка предпринимательства в сегменте крупного бизнеса;</w:t>
      </w:r>
    </w:p>
    <w:bookmarkEnd w:id="242"/>
    <w:bookmarkStart w:name="z310" w:id="243"/>
    <w:p>
      <w:pPr>
        <w:spacing w:after="0"/>
        <w:ind w:left="0"/>
        <w:jc w:val="both"/>
      </w:pPr>
      <w:r>
        <w:rPr>
          <w:rFonts w:ascii="Times New Roman"/>
          <w:b w:val="false"/>
          <w:i w:val="false"/>
          <w:color w:val="000000"/>
          <w:sz w:val="28"/>
        </w:rPr>
        <w:t>
      2) поддержка предпринимательства в сегменте МСБ.</w:t>
      </w:r>
    </w:p>
    <w:bookmarkEnd w:id="243"/>
    <w:bookmarkStart w:name="z311" w:id="244"/>
    <w:p>
      <w:pPr>
        <w:spacing w:after="0"/>
        <w:ind w:left="0"/>
        <w:jc w:val="both"/>
      </w:pPr>
      <w:r>
        <w:rPr>
          <w:rFonts w:ascii="Times New Roman"/>
          <w:b w:val="false"/>
          <w:i w:val="false"/>
          <w:color w:val="000000"/>
          <w:sz w:val="28"/>
        </w:rPr>
        <w:t>
      Третья задача по поддержке урбанизации экономики решается в рамках третьего стратегического направления деятельности АО "НУХ "Байтерек" "Повышение доступности жилья".</w:t>
      </w:r>
    </w:p>
    <w:bookmarkEnd w:id="244"/>
    <w:bookmarkStart w:name="z312" w:id="245"/>
    <w:p>
      <w:pPr>
        <w:spacing w:after="0"/>
        <w:ind w:left="0"/>
        <w:jc w:val="both"/>
      </w:pPr>
      <w:r>
        <w:rPr>
          <w:rFonts w:ascii="Times New Roman"/>
          <w:b w:val="false"/>
          <w:i w:val="false"/>
          <w:color w:val="000000"/>
          <w:sz w:val="28"/>
        </w:rPr>
        <w:t>
      Последние две задачи по поддержке экспорта несырьевой продукции и развитию инноваций реализуются по двум стратегическим направлениям:</w:t>
      </w:r>
    </w:p>
    <w:bookmarkEnd w:id="245"/>
    <w:bookmarkStart w:name="z313" w:id="246"/>
    <w:p>
      <w:pPr>
        <w:spacing w:after="0"/>
        <w:ind w:left="0"/>
        <w:jc w:val="both"/>
      </w:pPr>
      <w:r>
        <w:rPr>
          <w:rFonts w:ascii="Times New Roman"/>
          <w:b w:val="false"/>
          <w:i w:val="false"/>
          <w:color w:val="000000"/>
          <w:sz w:val="28"/>
        </w:rPr>
        <w:t>
      1) повышение экспортного потенциала;</w:t>
      </w:r>
    </w:p>
    <w:bookmarkEnd w:id="246"/>
    <w:bookmarkStart w:name="z314" w:id="247"/>
    <w:p>
      <w:pPr>
        <w:spacing w:after="0"/>
        <w:ind w:left="0"/>
        <w:jc w:val="both"/>
      </w:pPr>
      <w:r>
        <w:rPr>
          <w:rFonts w:ascii="Times New Roman"/>
          <w:b w:val="false"/>
          <w:i w:val="false"/>
          <w:color w:val="000000"/>
          <w:sz w:val="28"/>
        </w:rPr>
        <w:t>
      2) трансферт и внедрение инноваций.</w:t>
      </w:r>
    </w:p>
    <w:bookmarkEnd w:id="247"/>
    <w:bookmarkStart w:name="z315" w:id="248"/>
    <w:p>
      <w:pPr>
        <w:spacing w:after="0"/>
        <w:ind w:left="0"/>
        <w:jc w:val="both"/>
      </w:pPr>
      <w:r>
        <w:rPr>
          <w:rFonts w:ascii="Times New Roman"/>
          <w:b w:val="false"/>
          <w:i w:val="false"/>
          <w:color w:val="000000"/>
          <w:sz w:val="28"/>
        </w:rPr>
        <w:t xml:space="preserve">
      По каждому из стратегических направлений в </w:t>
      </w:r>
      <w:r>
        <w:rPr>
          <w:rFonts w:ascii="Times New Roman"/>
          <w:b w:val="false"/>
          <w:i w:val="false"/>
          <w:color w:val="000000"/>
          <w:sz w:val="28"/>
        </w:rPr>
        <w:t>разделе 5</w:t>
      </w:r>
      <w:r>
        <w:rPr>
          <w:rFonts w:ascii="Times New Roman"/>
          <w:b w:val="false"/>
          <w:i w:val="false"/>
          <w:color w:val="000000"/>
          <w:sz w:val="28"/>
        </w:rPr>
        <w:t xml:space="preserve"> настоящей Стратегии предусмотрены КПД деятельности АО "НУХ "Байтерек" с определением целевого значения на 2023 год.</w:t>
      </w:r>
    </w:p>
    <w:bookmarkEnd w:id="248"/>
    <w:bookmarkStart w:name="z316" w:id="249"/>
    <w:p>
      <w:pPr>
        <w:spacing w:after="0"/>
        <w:ind w:left="0"/>
        <w:jc w:val="both"/>
      </w:pPr>
      <w:r>
        <w:rPr>
          <w:rFonts w:ascii="Times New Roman"/>
          <w:b w:val="false"/>
          <w:i w:val="false"/>
          <w:color w:val="000000"/>
          <w:sz w:val="28"/>
        </w:rPr>
        <w:t>
      Детальные подзадачи с годовыми промежуточными целевыми значениями и мероприятиями будут предусмотрены в рамках разработанного АО "НУХ "Байтерек" Плана мероприятий по реализации Стратегии, который будет являться рабочим документом.</w:t>
      </w:r>
    </w:p>
    <w:bookmarkEnd w:id="249"/>
    <w:bookmarkStart w:name="z317" w:id="250"/>
    <w:p>
      <w:pPr>
        <w:spacing w:after="0"/>
        <w:ind w:left="0"/>
        <w:jc w:val="left"/>
      </w:pPr>
      <w:r>
        <w:rPr>
          <w:rFonts w:ascii="Times New Roman"/>
          <w:b/>
          <w:i w:val="false"/>
          <w:color w:val="000000"/>
        </w:rPr>
        <w:t xml:space="preserve"> 4. Стратегические направления развития АО "НУХ "Байтерек"</w:t>
      </w:r>
    </w:p>
    <w:bookmarkEnd w:id="250"/>
    <w:p>
      <w:pPr>
        <w:spacing w:after="0"/>
        <w:ind w:left="0"/>
        <w:jc w:val="both"/>
      </w:pPr>
      <w:r>
        <w:rPr>
          <w:rFonts w:ascii="Times New Roman"/>
          <w:b/>
          <w:i w:val="false"/>
          <w:color w:val="000000"/>
          <w:sz w:val="28"/>
        </w:rPr>
        <w:t>4.1 Стратегическое направление деятельности 1. Поддержка предпринимательства в сегменте крупного бизнеса</w:t>
      </w:r>
    </w:p>
    <w:bookmarkStart w:name="z319" w:id="251"/>
    <w:p>
      <w:pPr>
        <w:spacing w:after="0"/>
        <w:ind w:left="0"/>
        <w:jc w:val="both"/>
      </w:pPr>
      <w:r>
        <w:rPr>
          <w:rFonts w:ascii="Times New Roman"/>
          <w:b w:val="false"/>
          <w:i w:val="false"/>
          <w:color w:val="000000"/>
          <w:sz w:val="28"/>
        </w:rPr>
        <w:t>
      Деятельность АО "НУХ "Байтерек" по поддержке предпринимательства в сегменте крупного бизнеса является одним из направлений деятельности ДО БРК, КазахЭкспорт, акционерного общества "Казына капитал менеджмент" (далее - ККМ), ИФК и KPPF, которые оказывают поддержку в рамках инструментов долгового и долевого финансирования, лизинга и экспортного страхования, консультативного сопровождения проектов. Основными проблемными вопросами в данном направлении деятельности являются:</w:t>
      </w:r>
    </w:p>
    <w:bookmarkEnd w:id="251"/>
    <w:bookmarkStart w:name="z320" w:id="252"/>
    <w:p>
      <w:pPr>
        <w:spacing w:after="0"/>
        <w:ind w:left="0"/>
        <w:jc w:val="both"/>
      </w:pPr>
      <w:r>
        <w:rPr>
          <w:rFonts w:ascii="Times New Roman"/>
          <w:b w:val="false"/>
          <w:i w:val="false"/>
          <w:color w:val="000000"/>
          <w:sz w:val="28"/>
        </w:rPr>
        <w:t xml:space="preserve">
      </w:t>
      </w:r>
      <w:r>
        <w:rPr>
          <w:rFonts w:ascii="Times New Roman"/>
          <w:b/>
          <w:i w:val="false"/>
          <w:color w:val="000000"/>
          <w:sz w:val="28"/>
        </w:rPr>
        <w:t>1) структура кредитного портфеля по заемщикам</w:t>
      </w:r>
      <w:r>
        <w:rPr>
          <w:rFonts w:ascii="Times New Roman"/>
          <w:b w:val="false"/>
          <w:i w:val="false"/>
          <w:color w:val="000000"/>
          <w:sz w:val="28"/>
        </w:rPr>
        <w:t xml:space="preserve">: Кредитный портфель АО "НУХ "Байтерек" по состоянию на 31 декабря 2015 года составил 1,9 трлн. тенге. Основная доля (~75 %) кредитного портфеля приходится на БРК. Согласно анализу проектов (по стоимости), реализованных с инструментами поддержки БРК, порядка 85 % стоимости проектов приходятся на компании с государственным участием, включая субъекты квазигосударственного сектора (см. рисунок 15 ниже). Справочно, по состоянию на 31 декабря 2016 года кредитный портфель АО "НУХ "Байтерек" составил 1,9 трлн. тенге, а доля БРК в портфеле АО "НУХ "Байтерек" значительно не изменилась. </w:t>
      </w:r>
    </w:p>
    <w:bookmarkEnd w:id="252"/>
    <w:bookmarkStart w:name="z321" w:id="253"/>
    <w:p>
      <w:pPr>
        <w:spacing w:after="0"/>
        <w:ind w:left="0"/>
        <w:jc w:val="both"/>
      </w:pPr>
      <w:r>
        <w:rPr>
          <w:rFonts w:ascii="Times New Roman"/>
          <w:b w:val="false"/>
          <w:i w:val="false"/>
          <w:color w:val="000000"/>
          <w:sz w:val="28"/>
        </w:rPr>
        <w:t>
      При этом в соответствии со Стратегическим планом Министерства национальной экономики Республики Казахстан на 2014 - 2018 годы Правительством Республики Казахстан поставлена задача по сокращению доли участия государства в экономике до 15 % к 2021 году. Таким образом, текущая практика инвестирования со стороны БРК не поддерживает задачу по сокращению участия государства в экономике;</w:t>
      </w:r>
    </w:p>
    <w:bookmarkEnd w:id="253"/>
    <w:bookmarkStart w:name="z322" w:id="254"/>
    <w:p>
      <w:pPr>
        <w:spacing w:after="0"/>
        <w:ind w:left="0"/>
        <w:jc w:val="both"/>
      </w:pPr>
      <w:r>
        <w:rPr>
          <w:rFonts w:ascii="Times New Roman"/>
          <w:b w:val="false"/>
          <w:i w:val="false"/>
          <w:color w:val="000000"/>
          <w:sz w:val="28"/>
        </w:rPr>
        <w:t xml:space="preserve">
      </w:t>
      </w:r>
    </w:p>
    <w:bookmarkEnd w:id="254"/>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55"/>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15</w:t>
      </w:r>
      <w:r>
        <w:rPr>
          <w:rFonts w:ascii="Times New Roman"/>
          <w:b w:val="false"/>
          <w:i w:val="false"/>
          <w:color w:val="000000"/>
          <w:sz w:val="28"/>
        </w:rPr>
        <w:t>. Структура кредитного портфеля БРК по отраслям и заемщикам с указанием доли по ключевым проектам.</w:t>
      </w:r>
    </w:p>
    <w:bookmarkEnd w:id="255"/>
    <w:bookmarkStart w:name="z324" w:id="256"/>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финансовая отчетность АО "НУХ "Байтерек" (6 мес. 2016); данные БРК</w:t>
      </w:r>
    </w:p>
    <w:bookmarkEnd w:id="256"/>
    <w:bookmarkStart w:name="z325" w:id="257"/>
    <w:p>
      <w:pPr>
        <w:spacing w:after="0"/>
        <w:ind w:left="0"/>
        <w:jc w:val="both"/>
      </w:pPr>
      <w:r>
        <w:rPr>
          <w:rFonts w:ascii="Times New Roman"/>
          <w:b w:val="false"/>
          <w:i w:val="false"/>
          <w:color w:val="000000"/>
          <w:sz w:val="28"/>
        </w:rPr>
        <w:t xml:space="preserve">
      </w:t>
      </w:r>
      <w:r>
        <w:rPr>
          <w:rFonts w:ascii="Times New Roman"/>
          <w:b/>
          <w:i w:val="false"/>
          <w:color w:val="000000"/>
          <w:sz w:val="28"/>
        </w:rPr>
        <w:t>2) стоимость заимствования</w:t>
      </w:r>
      <w:r>
        <w:rPr>
          <w:rFonts w:ascii="Times New Roman"/>
          <w:b w:val="false"/>
          <w:i w:val="false"/>
          <w:color w:val="000000"/>
          <w:sz w:val="28"/>
        </w:rPr>
        <w:t>: в мае 2016 года ДО АО "НУХ "Байтерек" - БРК привлекла внешнее заимствование от Sumitomo Mitsui Banking Corporation в размере 32,3 млн. долларов США. Процентная ставка по данному займу на момент привлечения составила 3,66 % годовых (6mLibor+2,75 % годовых). В декабре 2016 года БРК также привлек внешнее заимствование от Государственного Банка Развития Китая в размере 170 млн. долларов США. Процентная ставка по данному займу на момент привлечения составила 3,99 % годовых (6mLibor+2,7 % годовых).</w:t>
      </w:r>
    </w:p>
    <w:bookmarkEnd w:id="257"/>
    <w:bookmarkStart w:name="z326" w:id="258"/>
    <w:p>
      <w:pPr>
        <w:spacing w:after="0"/>
        <w:ind w:left="0"/>
        <w:jc w:val="both"/>
      </w:pPr>
      <w:r>
        <w:rPr>
          <w:rFonts w:ascii="Times New Roman"/>
          <w:b w:val="false"/>
          <w:i w:val="false"/>
          <w:color w:val="000000"/>
          <w:sz w:val="28"/>
        </w:rPr>
        <w:t>
      На основе сравнительного анализа (см. рисунок 16 ниже) фактических привлечений заемных средств (с аналогичными сроками погашения) государственными финансовыми институтами с сопоставимым диапазоном кредитного рейтинга (от BB+ до BBB-) за период 2015 - 2016 годы было выявлено, что процентные ставки БРК находятся на одном уровне с процентными ставками в сопоставимых банках развития;</w:t>
      </w:r>
    </w:p>
    <w:bookmarkEnd w:id="258"/>
    <w:bookmarkStart w:name="z327" w:id="259"/>
    <w:p>
      <w:pPr>
        <w:spacing w:after="0"/>
        <w:ind w:left="0"/>
        <w:jc w:val="both"/>
      </w:pPr>
      <w:r>
        <w:rPr>
          <w:rFonts w:ascii="Times New Roman"/>
          <w:b w:val="false"/>
          <w:i w:val="false"/>
          <w:color w:val="000000"/>
          <w:sz w:val="28"/>
        </w:rPr>
        <w:t xml:space="preserve">
      </w:t>
      </w:r>
      <w:r>
        <w:rPr>
          <w:rFonts w:ascii="Times New Roman"/>
          <w:b/>
          <w:i w:val="false"/>
          <w:color w:val="000000"/>
          <w:sz w:val="28"/>
        </w:rPr>
        <w:t>Долговые привлечения гос.фин. институтами</w:t>
      </w:r>
      <w:r>
        <w:rPr>
          <w:rFonts w:ascii="Times New Roman"/>
          <w:b/>
          <w:i w:val="false"/>
          <w:color w:val="000000"/>
          <w:sz w:val="28"/>
        </w:rPr>
        <w:t xml:space="preserve"> (ВВ+ до ВВВ-) на рынках капитала в 2015 – 2016 гг</w:t>
      </w:r>
      <w:r>
        <w:rPr>
          <w:rFonts w:ascii="Times New Roman"/>
          <w:b w:val="false"/>
          <w:i w:val="false"/>
          <w:color w:val="000000"/>
          <w:sz w:val="28"/>
        </w:rPr>
        <w:t>.</w:t>
      </w:r>
    </w:p>
    <w:bookmarkEnd w:id="25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260"/>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16</w:t>
      </w:r>
      <w:r>
        <w:rPr>
          <w:rFonts w:ascii="Times New Roman"/>
          <w:b w:val="false"/>
          <w:i w:val="false"/>
          <w:color w:val="000000"/>
          <w:sz w:val="28"/>
        </w:rPr>
        <w:t>. Условия привлечения внешних заемных средств финансовыми институтами развития с кредитным рейтингом от ВВ+ до ВВВ- за период 2015-2016 годы.</w:t>
      </w:r>
    </w:p>
    <w:bookmarkEnd w:id="260"/>
    <w:bookmarkStart w:name="z329" w:id="261"/>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финансовая отчетность ХАО "НУХ "Байтерек" (2015,2016); Bloomberg</w:t>
      </w:r>
    </w:p>
    <w:bookmarkEnd w:id="261"/>
    <w:bookmarkStart w:name="z330" w:id="262"/>
    <w:p>
      <w:pPr>
        <w:spacing w:after="0"/>
        <w:ind w:left="0"/>
        <w:jc w:val="both"/>
      </w:pPr>
      <w:r>
        <w:rPr>
          <w:rFonts w:ascii="Times New Roman"/>
          <w:b w:val="false"/>
          <w:i w:val="false"/>
          <w:color w:val="000000"/>
          <w:sz w:val="28"/>
        </w:rPr>
        <w:t xml:space="preserve">
      </w:t>
      </w:r>
      <w:r>
        <w:rPr>
          <w:rFonts w:ascii="Times New Roman"/>
          <w:b/>
          <w:i w:val="false"/>
          <w:color w:val="000000"/>
          <w:sz w:val="28"/>
        </w:rPr>
        <w:t>3) реактивный подход АО "НУХ "Байтерек" к поиску и структурированию сделок</w:t>
      </w:r>
      <w:r>
        <w:rPr>
          <w:rFonts w:ascii="Times New Roman"/>
          <w:b w:val="false"/>
          <w:i w:val="false"/>
          <w:color w:val="000000"/>
          <w:sz w:val="28"/>
        </w:rPr>
        <w:t>: в текущей операционной модели АО "НУХ "Байтерек" имеет ограниченный объем прямого взаимодействия с предпринимателями, поскольку непосредственная поддержка реализуется на уровне ДО. При этом АО "НУХ "Байтерек" будет проактивно инициировать поддержку тех или иных направлений в приоритетных секторах экономики в рамках комплексной поддержки проектов в сегменте крупного бизнеса, которая будет ограничиваться 3-5 сделками в год;</w:t>
      </w:r>
    </w:p>
    <w:bookmarkEnd w:id="262"/>
    <w:bookmarkStart w:name="z331" w:id="263"/>
    <w:p>
      <w:pPr>
        <w:spacing w:after="0"/>
        <w:ind w:left="0"/>
        <w:jc w:val="both"/>
      </w:pPr>
      <w:r>
        <w:rPr>
          <w:rFonts w:ascii="Times New Roman"/>
          <w:b w:val="false"/>
          <w:i w:val="false"/>
          <w:color w:val="000000"/>
          <w:sz w:val="28"/>
        </w:rPr>
        <w:t xml:space="preserve">
      </w:t>
      </w:r>
      <w:r>
        <w:rPr>
          <w:rFonts w:ascii="Times New Roman"/>
          <w:b/>
          <w:i w:val="false"/>
          <w:color w:val="000000"/>
          <w:sz w:val="28"/>
        </w:rPr>
        <w:t>4) кросс-функциональность (комплексная поддержка):</w:t>
      </w:r>
      <w:r>
        <w:rPr>
          <w:rFonts w:ascii="Times New Roman"/>
          <w:b w:val="false"/>
          <w:i w:val="false"/>
          <w:color w:val="000000"/>
          <w:sz w:val="28"/>
        </w:rPr>
        <w:t xml:space="preserve"> в процессе анализа проектов и интервью с ключевыми руководителями АО "НУХ "Байтерек" и ДО было выявлено, что за три года было реализовано только 2 проекта в рамках оказания комплексной поддержки. Такими положительными примерами являются проекты с акционерным обществом "Группа Компаний Аллюр" и акционерным обществом "Центрально-Азиатская топливно-энергетическая компания". При этом отмечается наличие значительного потенциала расширения практики комплексной поддержки при условии наличия координации и вовлеченности на уровне АО "НУХ "Байтерек".</w:t>
      </w:r>
    </w:p>
    <w:bookmarkEnd w:id="263"/>
    <w:bookmarkStart w:name="z332" w:id="264"/>
    <w:p>
      <w:pPr>
        <w:spacing w:after="0"/>
        <w:ind w:left="0"/>
        <w:jc w:val="both"/>
      </w:pPr>
      <w:r>
        <w:rPr>
          <w:rFonts w:ascii="Times New Roman"/>
          <w:b w:val="false"/>
          <w:i w:val="false"/>
          <w:color w:val="000000"/>
          <w:sz w:val="28"/>
        </w:rPr>
        <w:t>
      При этом в соответствии с ГПИИР отбор проектов для предоставления поддержки будет осуществляться с учетом увеличения производительности труда, расширения рынков сбыта, а также увеличения местного содержания в закупках товаров, работ и услуг при реализации проектов;</w:t>
      </w:r>
    </w:p>
    <w:bookmarkEnd w:id="264"/>
    <w:bookmarkStart w:name="z333" w:id="265"/>
    <w:p>
      <w:pPr>
        <w:spacing w:after="0"/>
        <w:ind w:left="0"/>
        <w:jc w:val="both"/>
      </w:pPr>
      <w:r>
        <w:rPr>
          <w:rFonts w:ascii="Times New Roman"/>
          <w:b w:val="false"/>
          <w:i w:val="false"/>
          <w:color w:val="000000"/>
          <w:sz w:val="28"/>
        </w:rPr>
        <w:t xml:space="preserve">
      </w:t>
      </w:r>
      <w:r>
        <w:rPr>
          <w:rFonts w:ascii="Times New Roman"/>
          <w:b/>
          <w:i w:val="false"/>
          <w:color w:val="000000"/>
          <w:sz w:val="28"/>
        </w:rPr>
        <w:t>5) качество кредитного портфеля - доля неработающих займов (задержка графика погашения свыше 90 дней)</w:t>
      </w:r>
      <w:r>
        <w:rPr>
          <w:rFonts w:ascii="Times New Roman"/>
          <w:b w:val="false"/>
          <w:i w:val="false"/>
          <w:color w:val="000000"/>
          <w:sz w:val="28"/>
        </w:rPr>
        <w:t>: в период с 2013 по 2016 годы АО "НУХ "Байтерек" более чем в 3 раза (с ~22 % до 7 %) снизил долю неработающих займов в кредитном портфеле. Однако, текущий уровень неработающих займов все еще в 3 раза превышает средний уровень сопоставимых институтов развития (см. рисунок 17 ниже). АО "НУХ "Байтерек" будут рассмотрены дальнейшие меры по снижению уровня неработающих займов, что позволит улучшить качество кредитного портфеля и высвободить средства для дальнейшего инвестирования.</w:t>
      </w:r>
    </w:p>
    <w:bookmarkEnd w:id="265"/>
    <w:bookmarkStart w:name="z334" w:id="266"/>
    <w:p>
      <w:pPr>
        <w:spacing w:after="0"/>
        <w:ind w:left="0"/>
        <w:jc w:val="both"/>
      </w:pPr>
      <w:r>
        <w:rPr>
          <w:rFonts w:ascii="Times New Roman"/>
          <w:b w:val="false"/>
          <w:i w:val="false"/>
          <w:color w:val="000000"/>
          <w:sz w:val="28"/>
        </w:rPr>
        <w:t xml:space="preserve">
      </w:t>
      </w:r>
    </w:p>
    <w:bookmarkEnd w:id="266"/>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6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17</w:t>
      </w:r>
      <w:r>
        <w:rPr>
          <w:rFonts w:ascii="Times New Roman"/>
          <w:b w:val="false"/>
          <w:i w:val="false"/>
          <w:color w:val="000000"/>
          <w:sz w:val="28"/>
        </w:rPr>
        <w:t>. Сравнительный анализ доли неработающих займов в портфеле финансовых институтов развития.</w:t>
      </w:r>
    </w:p>
    <w:bookmarkEnd w:id="267"/>
    <w:bookmarkStart w:name="z336" w:id="268"/>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Источник: годовые отчеты институтов развития (2012-2015), финансовая </w:t>
      </w:r>
      <w:r>
        <w:rPr>
          <w:rFonts w:ascii="Times New Roman"/>
          <w:b w:val="false"/>
          <w:i/>
          <w:color w:val="000000"/>
          <w:sz w:val="28"/>
        </w:rPr>
        <w:t>отчетность АО "НУХ "Байтерек" (2016</w:t>
      </w:r>
      <w:r>
        <w:rPr>
          <w:rFonts w:ascii="Times New Roman"/>
          <w:b w:val="false"/>
          <w:i w:val="false"/>
          <w:color w:val="000000"/>
          <w:sz w:val="28"/>
        </w:rPr>
        <w:t>)</w:t>
      </w:r>
    </w:p>
    <w:bookmarkEnd w:id="268"/>
    <w:bookmarkStart w:name="z337" w:id="269"/>
    <w:p>
      <w:pPr>
        <w:spacing w:after="0"/>
        <w:ind w:left="0"/>
        <w:jc w:val="both"/>
      </w:pPr>
      <w:r>
        <w:rPr>
          <w:rFonts w:ascii="Times New Roman"/>
          <w:b w:val="false"/>
          <w:i w:val="false"/>
          <w:color w:val="000000"/>
          <w:sz w:val="28"/>
        </w:rPr>
        <w:t>
      При этом по итогам 2015 года доля ИФК в общем показателе неработающих кредитов АО "НУХ "Байтерек" (181,4 млрд. тенге) составила 93,6 % или 169,8 млрд. тенге. Таким образом, данный показатель без учета ИФК составил 0,6 %;</w:t>
      </w:r>
    </w:p>
    <w:bookmarkEnd w:id="269"/>
    <w:bookmarkStart w:name="z338" w:id="270"/>
    <w:p>
      <w:pPr>
        <w:spacing w:after="0"/>
        <w:ind w:left="0"/>
        <w:jc w:val="both"/>
      </w:pPr>
      <w:r>
        <w:rPr>
          <w:rFonts w:ascii="Times New Roman"/>
          <w:b w:val="false"/>
          <w:i w:val="false"/>
          <w:color w:val="000000"/>
          <w:sz w:val="28"/>
        </w:rPr>
        <w:t xml:space="preserve">
      </w:t>
      </w:r>
      <w:r>
        <w:rPr>
          <w:rFonts w:ascii="Times New Roman"/>
          <w:b/>
          <w:i w:val="false"/>
          <w:color w:val="000000"/>
          <w:sz w:val="28"/>
        </w:rPr>
        <w:t>6) проблемные активы/проекты</w:t>
      </w:r>
      <w:r>
        <w:rPr>
          <w:rFonts w:ascii="Times New Roman"/>
          <w:b w:val="false"/>
          <w:i w:val="false"/>
          <w:color w:val="000000"/>
          <w:sz w:val="28"/>
        </w:rPr>
        <w:t>: в 2013 - 2015 годах АО "НУХ "Байтерек" вывел значительную долю проблемных активов/проектов из БРК в ИФК для работы с проблемными активами/проектами. Первоначальная стоимость переданных в ИФК проектов составляла порядка 326 млрд. тенге</w:t>
      </w:r>
      <w:r>
        <w:rPr>
          <w:rFonts w:ascii="Times New Roman"/>
          <w:b w:val="false"/>
          <w:i w:val="false"/>
          <w:color w:val="000000"/>
          <w:vertAlign w:val="superscript"/>
        </w:rPr>
        <w:t>23</w:t>
      </w:r>
      <w:r>
        <w:rPr>
          <w:rFonts w:ascii="Times New Roman"/>
          <w:b w:val="false"/>
          <w:i w:val="false"/>
          <w:color w:val="000000"/>
          <w:sz w:val="28"/>
        </w:rPr>
        <w:t>, тогда как справедливая стоимость по состоянию на 31 декабря 2015 года составила 32 млрд. тенге (на 90 % ниже первоначальной стоимости).</w:t>
      </w:r>
    </w:p>
    <w:bookmarkEnd w:id="270"/>
    <w:bookmarkStart w:name="z339" w:id="271"/>
    <w:p>
      <w:pPr>
        <w:spacing w:after="0"/>
        <w:ind w:left="0"/>
        <w:jc w:val="both"/>
      </w:pPr>
      <w:r>
        <w:rPr>
          <w:rFonts w:ascii="Times New Roman"/>
          <w:b w:val="false"/>
          <w:i w:val="false"/>
          <w:color w:val="000000"/>
          <w:sz w:val="28"/>
        </w:rPr>
        <w:t xml:space="preserve">
      В этой связи АО "НУХ "Байтерек" будут разработаны решения по двум ключевым вопросам: </w:t>
      </w:r>
    </w:p>
    <w:bookmarkEnd w:id="271"/>
    <w:bookmarkStart w:name="z340" w:id="272"/>
    <w:p>
      <w:pPr>
        <w:spacing w:after="0"/>
        <w:ind w:left="0"/>
        <w:jc w:val="both"/>
      </w:pPr>
      <w:r>
        <w:rPr>
          <w:rFonts w:ascii="Times New Roman"/>
          <w:b w:val="false"/>
          <w:i w:val="false"/>
          <w:color w:val="000000"/>
          <w:sz w:val="28"/>
        </w:rPr>
        <w:t>
      1) каким образом следует улучшить подходы к управлению рисками (в том числе, модель оценки кредитных рисков заемщика, качество анализа инвестиционных проектов, практика передачи валютных рисков заемщику, практика оценки и управления залогами и т.д.) в сделках, чтобы минимизировать вероятность потерь от неработающих займов?</w:t>
      </w:r>
    </w:p>
    <w:bookmarkEnd w:id="272"/>
    <w:bookmarkStart w:name="z341" w:id="273"/>
    <w:p>
      <w:pPr>
        <w:spacing w:after="0"/>
        <w:ind w:left="0"/>
        <w:jc w:val="both"/>
      </w:pPr>
      <w:r>
        <w:rPr>
          <w:rFonts w:ascii="Times New Roman"/>
          <w:b w:val="false"/>
          <w:i w:val="false"/>
          <w:color w:val="000000"/>
          <w:sz w:val="28"/>
        </w:rPr>
        <w:t>
      2) каким образом следует изменить модель работы с проблемными активами/проектами, чтобы минимизировать потери от неработающих займов после дефолта заемщика?</w:t>
      </w:r>
    </w:p>
    <w:bookmarkEnd w:id="273"/>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23</w:t>
      </w:r>
      <w:r>
        <w:rPr>
          <w:rFonts w:ascii="Times New Roman"/>
          <w:b w:val="false"/>
          <w:i w:val="false"/>
          <w:color w:val="000000"/>
          <w:sz w:val="28"/>
        </w:rPr>
        <w:t xml:space="preserve"> По отчетным данным ИФК на конец 2015 года стоимость переданных активов, которую должно ИФК оплатить в пользу БРК согласно договорам цессии, составляет 320 млрд. тенге.</w:t>
      </w:r>
    </w:p>
    <w:p>
      <w:pPr>
        <w:spacing w:after="0"/>
        <w:ind w:left="0"/>
        <w:jc w:val="both"/>
      </w:pPr>
      <w:r>
        <w:rPr>
          <w:rFonts w:ascii="Times New Roman"/>
          <w:b/>
          <w:i w:val="false"/>
          <w:color w:val="000000"/>
          <w:sz w:val="28"/>
        </w:rPr>
        <w:t>4.2 Стратегическое направление деятельности 2. Поддержка предпринимательства в сегменте МСБ</w:t>
      </w:r>
    </w:p>
    <w:bookmarkStart w:name="z343" w:id="274"/>
    <w:p>
      <w:pPr>
        <w:spacing w:after="0"/>
        <w:ind w:left="0"/>
        <w:jc w:val="both"/>
      </w:pPr>
      <w:r>
        <w:rPr>
          <w:rFonts w:ascii="Times New Roman"/>
          <w:b w:val="false"/>
          <w:i w:val="false"/>
          <w:color w:val="000000"/>
          <w:sz w:val="28"/>
        </w:rPr>
        <w:t>
      Деятельность АО "НУХ "Байтерек" по поддержке предпринимательства в сегменте МСБ реализуется ДО Даму, НАТР, КазахЭкспорт, БРК, ККМ, KPPF, которые оказывают поддержку в рамках как финансовых (гранты, венчурное финансирование, субсидирование ставки вознаграждения, частичное гарантирование кредитов БВУ, обусловленное размещение средств в БВУ, льготное кредитование, экспортное и предэкспортное финансирование, долевое финансирование), так и нефинансовых (консультативное сопровождение проектов) инструментов.</w:t>
      </w:r>
    </w:p>
    <w:bookmarkEnd w:id="274"/>
    <w:bookmarkStart w:name="z344" w:id="275"/>
    <w:p>
      <w:pPr>
        <w:spacing w:after="0"/>
        <w:ind w:left="0"/>
        <w:jc w:val="both"/>
      </w:pPr>
      <w:r>
        <w:rPr>
          <w:rFonts w:ascii="Times New Roman"/>
          <w:b w:val="false"/>
          <w:i w:val="false"/>
          <w:color w:val="000000"/>
          <w:sz w:val="28"/>
        </w:rPr>
        <w:t xml:space="preserve">
      За последние пять лет наблюдается положительная динамика развития МСБ в Казахстане. Показатель доли МСБ в структуре ВВП вырос с 17,3 % в 2011 году до 24,9 % в 2015 году. Количество активно действующих субъектов увеличилось в 1,5 раза за шесть лет и составило 1,2 млн. субъектов в 2016 году. Увеличился показатель занятого населения в секторе МСБ и составил 3,1 млн. человек в октябре 2016 года (см. рисунок 18 ниже). Так, по итогам 2016 года рейтинг DoingBusiness показал, что Казахстан поднялся на 16 позиций и занял 35 место из 190 стран за счет улучшения по таким позициям, как "создание предприятий" (+9), "получение разрешений на строительство" (+56), "подключение к системе электроснабжения" (+27) и др. Также отмечается снижение по показателям "получение кредита" (-5) и налогообложение (-3). </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47" w:id="27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18</w:t>
      </w:r>
      <w:r>
        <w:rPr>
          <w:rFonts w:ascii="Times New Roman"/>
          <w:b w:val="false"/>
          <w:i w:val="false"/>
          <w:color w:val="000000"/>
          <w:sz w:val="28"/>
        </w:rPr>
        <w:t>. Динамика основных показателей МСБ.</w:t>
      </w:r>
    </w:p>
    <w:bookmarkEnd w:id="276"/>
    <w:bookmarkStart w:name="z348" w:id="277"/>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статистике МНЭ РК</w:t>
      </w:r>
    </w:p>
    <w:bookmarkEnd w:id="277"/>
    <w:bookmarkStart w:name="z349" w:id="278"/>
    <w:p>
      <w:pPr>
        <w:spacing w:after="0"/>
        <w:ind w:left="0"/>
        <w:jc w:val="both"/>
      </w:pPr>
      <w:r>
        <w:rPr>
          <w:rFonts w:ascii="Times New Roman"/>
          <w:b w:val="false"/>
          <w:i w:val="false"/>
          <w:color w:val="000000"/>
          <w:sz w:val="28"/>
        </w:rPr>
        <w:t xml:space="preserve">
      Однако, Казахстан имеет существенный потенциал в развитии сектора МСБ. Уровень развития сектора МСБ остается значительно ниже, чем в таких развивающихся странах, как Аргентина, Бразилия, Южная Африка и Китай. Средний показатель доли МСБ в структуре ВВП развивающихся стран равен 42 %, в то время как доля занятых составляет 64 % от общего населения страны. Показатели доли МСБ в структуре ВВП Казахстана в 1,5 раза ниже среднего показателя развивающихся стран, а доля занятых в МСБ равна 35 % от экономически активного населения республики, что практически в 2 раза ниже среднего показателя. </w:t>
      </w:r>
    </w:p>
    <w:bookmarkEnd w:id="278"/>
    <w:bookmarkStart w:name="z350" w:id="279"/>
    <w:p>
      <w:pPr>
        <w:spacing w:after="0"/>
        <w:ind w:left="0"/>
        <w:jc w:val="both"/>
      </w:pPr>
      <w:r>
        <w:rPr>
          <w:rFonts w:ascii="Times New Roman"/>
          <w:b w:val="false"/>
          <w:i w:val="false"/>
          <w:color w:val="000000"/>
          <w:sz w:val="28"/>
        </w:rPr>
        <w:t>
      Основными факторами, ограничивающими финансирование развития МСБ в Казахстане, являются ограниченный охват (по количеству) предпринимателей в секторе МСБ, ориентация поддержки со стороны институтов развития на суб-сегмент среднего бизнеса, недостаточность государственной поддержки, отсутствие мотивационной составляющей в инструментах финансовой поддержки со стороны институтов развития, а также высокие ставки кредитования БВУ.</w:t>
      </w:r>
    </w:p>
    <w:bookmarkEnd w:id="279"/>
    <w:bookmarkStart w:name="z351" w:id="280"/>
    <w:p>
      <w:pPr>
        <w:spacing w:after="0"/>
        <w:ind w:left="0"/>
        <w:jc w:val="both"/>
      </w:pPr>
      <w:r>
        <w:rPr>
          <w:rFonts w:ascii="Times New Roman"/>
          <w:b w:val="false"/>
          <w:i w:val="false"/>
          <w:color w:val="000000"/>
          <w:sz w:val="28"/>
        </w:rPr>
        <w:t xml:space="preserve">
      Тем не менее, увеличение количества субъектов МСБ и объема продукции, выпускаемой данными субъектами, привело к значительному увеличению объема налоговых отчислений от субъектов МСБ. По данным Комитета государственных доходов Министерства финансов Республики Казахстан сумма ежегодных налоговых отчислений от субъектов сектора МСБ выросла в 3,5 раза с 2012 по 2015 годы и составила 1,3 трлн. тенге в 2015 году. При этом наблюдается отставание роста государственной финансовой поддержки сектора МСБ от роста объемов налоговых отчислений сектора МСБ. С начала реализации Программы "ДКБ 2020" по состоянию на 1 января 2016 года выделено 111,0 млрд. тенге на субсидирование ставки вознаграждения и гарантирование по кредитам предпринимателей по трем направлениям программы. В 2014 - 2015 годах по линии поддержки обрабатывающей промышленности в рамках планов совместных действий Правительства и Национального Банка Республики Казахстан выделено дополнительно 200 млрд. тенге из Национального фонда Республики Казахстан (постановления Правительства Республики Казахстан от 14 апреля 2014 года </w:t>
      </w:r>
      <w:r>
        <w:rPr>
          <w:rFonts w:ascii="Times New Roman"/>
          <w:b w:val="false"/>
          <w:i w:val="false"/>
          <w:color w:val="000000"/>
          <w:sz w:val="28"/>
        </w:rPr>
        <w:t>№ 354</w:t>
      </w:r>
      <w:r>
        <w:rPr>
          <w:rFonts w:ascii="Times New Roman"/>
          <w:b w:val="false"/>
          <w:i w:val="false"/>
          <w:color w:val="000000"/>
          <w:sz w:val="28"/>
        </w:rPr>
        <w:t xml:space="preserve">, от 5 декабря 2014 года </w:t>
      </w:r>
      <w:r>
        <w:rPr>
          <w:rFonts w:ascii="Times New Roman"/>
          <w:b w:val="false"/>
          <w:i w:val="false"/>
          <w:color w:val="000000"/>
          <w:sz w:val="28"/>
        </w:rPr>
        <w:t xml:space="preserve">№ 1276 </w:t>
      </w:r>
      <w:r>
        <w:rPr>
          <w:rFonts w:ascii="Times New Roman"/>
          <w:b w:val="false"/>
          <w:i w:val="false"/>
          <w:color w:val="000000"/>
          <w:sz w:val="28"/>
        </w:rPr>
        <w:t xml:space="preserve"> и от 11 марта 2015 года </w:t>
      </w:r>
      <w:r>
        <w:rPr>
          <w:rFonts w:ascii="Times New Roman"/>
          <w:b w:val="false"/>
          <w:i w:val="false"/>
          <w:color w:val="000000"/>
          <w:sz w:val="28"/>
        </w:rPr>
        <w:t>№ 124</w:t>
      </w:r>
      <w:r>
        <w:rPr>
          <w:rFonts w:ascii="Times New Roman"/>
          <w:b w:val="false"/>
          <w:i w:val="false"/>
          <w:color w:val="000000"/>
          <w:sz w:val="28"/>
        </w:rPr>
        <w:t xml:space="preserve">). </w:t>
      </w:r>
    </w:p>
    <w:bookmarkEnd w:id="280"/>
    <w:bookmarkStart w:name="z352" w:id="281"/>
    <w:p>
      <w:pPr>
        <w:spacing w:after="0"/>
        <w:ind w:left="0"/>
        <w:jc w:val="both"/>
      </w:pPr>
      <w:r>
        <w:rPr>
          <w:rFonts w:ascii="Times New Roman"/>
          <w:b w:val="false"/>
          <w:i w:val="false"/>
          <w:color w:val="000000"/>
          <w:sz w:val="28"/>
        </w:rPr>
        <w:t>
      Так, сумма государственной поддержки МСБ в 2015 году составила 145 млрд. тенге, что равно лишь 11 % от налоговых отчислений субъектов сектора МСБ. На рисунке 19 можно увидеть соотношение объема налоговых отчислений и объема государственной поддержки. Таким образом, АО "НУХ "Байтерек" предлагается инициировать вопрос об увеличении объема поддержки на развитие сектора МСБ со стороны государства.</w:t>
      </w:r>
    </w:p>
    <w:bookmarkEnd w:id="281"/>
    <w:bookmarkStart w:name="z353" w:id="28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19</w:t>
      </w:r>
      <w:r>
        <w:rPr>
          <w:rFonts w:ascii="Times New Roman"/>
          <w:b w:val="false"/>
          <w:i w:val="false"/>
          <w:color w:val="000000"/>
          <w:sz w:val="28"/>
        </w:rPr>
        <w:t>. Сравнение налоговых отчислений сектора МСБ и объема государственной поддержки, млрд. тенге.</w:t>
      </w:r>
    </w:p>
    <w:bookmarkEnd w:id="282"/>
    <w:bookmarkStart w:name="z354" w:id="283"/>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анализ рабочей группы, годовые отчеты Даму</w:t>
      </w:r>
    </w:p>
    <w:bookmarkEnd w:id="283"/>
    <w:bookmarkStart w:name="z355" w:id="284"/>
    <w:p>
      <w:pPr>
        <w:spacing w:after="0"/>
        <w:ind w:left="0"/>
        <w:jc w:val="both"/>
      </w:pPr>
      <w:r>
        <w:rPr>
          <w:rFonts w:ascii="Times New Roman"/>
          <w:b w:val="false"/>
          <w:i w:val="false"/>
          <w:color w:val="000000"/>
          <w:sz w:val="28"/>
        </w:rPr>
        <w:t xml:space="preserve">
      В рамках </w:t>
      </w:r>
      <w:r>
        <w:rPr>
          <w:rFonts w:ascii="Times New Roman"/>
          <w:b w:val="false"/>
          <w:i w:val="false"/>
          <w:color w:val="000000"/>
          <w:sz w:val="28"/>
        </w:rPr>
        <w:t>Программы</w:t>
      </w:r>
      <w:r>
        <w:rPr>
          <w:rFonts w:ascii="Times New Roman"/>
          <w:b w:val="false"/>
          <w:i w:val="false"/>
          <w:color w:val="000000"/>
          <w:sz w:val="28"/>
        </w:rPr>
        <w:t xml:space="preserve"> "ДКБ 2020" и основной деятельности Даму в 2015 году финансовая поддержка была оказана 6 186 субъектам, что составляет лишь 1,0 % от общего количества субъектов МСБ (как физических, так и юридических лиц) в приоритетных отраслях Программы "ДКБ 2020". Это свидетельствует об ограниченном охвате государственной финансовой поддержкой субъектов предпринимательства. За последние четыре года охват предпринимателей финансовой поддержкой не показывает роста в относительном выражении к общему количеству субъектов. Данную динамику можно увидеть на рисунке 20 ниже. </w:t>
      </w:r>
    </w:p>
    <w:bookmarkEnd w:id="284"/>
    <w:bookmarkStart w:name="z356"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28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20</w:t>
      </w:r>
      <w:r>
        <w:rPr>
          <w:rFonts w:ascii="Times New Roman"/>
          <w:b w:val="false"/>
          <w:i w:val="false"/>
          <w:color w:val="000000"/>
          <w:sz w:val="28"/>
        </w:rPr>
        <w:t>. Охват субъектов МСБ финансовыми инструментами поддержки, в процентах.</w:t>
      </w:r>
    </w:p>
    <w:bookmarkEnd w:id="286"/>
    <w:bookmarkStart w:name="z358" w:id="287"/>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годовые отчеты Даму, Комитет по статистике МНЭ РК</w:t>
      </w:r>
    </w:p>
    <w:bookmarkEnd w:id="287"/>
    <w:bookmarkStart w:name="z359" w:id="288"/>
    <w:p>
      <w:pPr>
        <w:spacing w:after="0"/>
        <w:ind w:left="0"/>
        <w:jc w:val="both"/>
      </w:pPr>
      <w:r>
        <w:rPr>
          <w:rFonts w:ascii="Times New Roman"/>
          <w:b w:val="false"/>
          <w:i w:val="false"/>
          <w:color w:val="000000"/>
          <w:sz w:val="28"/>
        </w:rPr>
        <w:t xml:space="preserve">
      Основными финансовыми инструментами ДО АО "НУХ "Байтерек" по поддержке микро-, малого и среднего предпринимательства являются обусловленное размещение средств в БВУ, субсидирование ставки вознаграждения и гарантирование кредита. </w:t>
      </w:r>
    </w:p>
    <w:bookmarkEnd w:id="288"/>
    <w:bookmarkStart w:name="z360" w:id="289"/>
    <w:p>
      <w:pPr>
        <w:spacing w:after="0"/>
        <w:ind w:left="0"/>
        <w:jc w:val="both"/>
      </w:pPr>
      <w:r>
        <w:rPr>
          <w:rFonts w:ascii="Times New Roman"/>
          <w:b w:val="false"/>
          <w:i w:val="false"/>
          <w:color w:val="000000"/>
          <w:sz w:val="28"/>
        </w:rPr>
        <w:t>
      В 2015 году общий объем кредитного портфеля, по которому была оказана поддержка субъектам МСБ, составил 524 млрд. тенге. Объем кредитного портфеля по инструменту "субсидирование ставки вознаграждения" был равен 260 млрд. тенге и составил половину указанной поддержки. По данному направлению была оказана финансовая поддержка 1 595 субъектам со средним размером поддержки равным 163 млн. тенге.</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07"/>
        <w:gridCol w:w="5547"/>
      </w:tblGrid>
      <w:tr>
        <w:trPr>
          <w:trHeight w:val="30" w:hRule="atLeast"/>
        </w:trPr>
        <w:tc>
          <w:tcPr>
            <w:tcW w:w="1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290"/>
          <w:p>
            <w:pPr>
              <w:spacing w:after="20"/>
              <w:ind w:left="20"/>
              <w:jc w:val="both"/>
            </w:pPr>
          </w:p>
          <w:bookmarkEnd w:id="290"/>
          <w:p>
            <w:pPr>
              <w:spacing w:after="20"/>
              <w:ind w:left="2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432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3454400" cy="252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3454400" cy="25273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362" w:id="29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21</w:t>
      </w:r>
      <w:r>
        <w:rPr>
          <w:rFonts w:ascii="Times New Roman"/>
          <w:b w:val="false"/>
          <w:i w:val="false"/>
          <w:color w:val="000000"/>
          <w:sz w:val="28"/>
        </w:rPr>
        <w:t>. Финансовые инструменты поддержки и их основные показатели, млрд. тенге</w:t>
      </w:r>
    </w:p>
    <w:bookmarkEnd w:id="291"/>
    <w:bookmarkStart w:name="z363" w:id="292"/>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годовые отчеты Даму</w:t>
      </w:r>
    </w:p>
    <w:bookmarkEnd w:id="292"/>
    <w:bookmarkStart w:name="z364" w:id="293"/>
    <w:p>
      <w:pPr>
        <w:spacing w:after="0"/>
        <w:ind w:left="0"/>
        <w:jc w:val="both"/>
      </w:pPr>
      <w:r>
        <w:rPr>
          <w:rFonts w:ascii="Times New Roman"/>
          <w:b w:val="false"/>
          <w:i w:val="false"/>
          <w:color w:val="000000"/>
          <w:sz w:val="28"/>
        </w:rPr>
        <w:t xml:space="preserve">
      Средний размер поддержки превышает среднюю годовую выручку малого бизнеса в 3 раза, исходя из чего можно предположить, что основная часть финансовой поддержки направлена в суб-сегмент среднего предпринимательства, в то время как индивидуальные предприниматели, крестьянские хозяйства и малые предприятия не получают необходимого финансирования. На рисунке 22 ниже показано количество активных субъектов микро-, малого и среднего предпринимательства, объемы выпускаемой продукции и количество занятых в каждом суб-сегменте. На основании этих данных видно, что 81,1 % объема выпускаемой продукции и 89,1 % рабочих мест относятся к субъектам микро- и малого бизнеса. </w:t>
      </w:r>
    </w:p>
    <w:bookmarkEnd w:id="293"/>
    <w:bookmarkStart w:name="z365" w:id="294"/>
    <w:p>
      <w:pPr>
        <w:spacing w:after="0"/>
        <w:ind w:left="0"/>
        <w:jc w:val="both"/>
      </w:pPr>
      <w:r>
        <w:rPr>
          <w:rFonts w:ascii="Times New Roman"/>
          <w:b w:val="false"/>
          <w:i w:val="false"/>
          <w:color w:val="000000"/>
          <w:sz w:val="28"/>
        </w:rPr>
        <w:t xml:space="preserve">
      Таким образом, для достижения максимального эффекта с точки зрения создаваемых рабочих мест и увеличения объемов выпускаемой продукции ДО АО "НУХ "Байтерек" в направлении поддержки предпринимательства в сегменте МСБ следует ориентировать финансовые инструменты поддержки в большей степени на суб-сегменты микро- и малого бизнеса, нежели чем на ограниченный круг средних и средне-крупных предприятий. </w:t>
      </w:r>
    </w:p>
    <w:bookmarkEnd w:id="294"/>
    <w:bookmarkStart w:name="z366"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7810500" cy="594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94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29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22</w:t>
      </w:r>
      <w:r>
        <w:rPr>
          <w:rFonts w:ascii="Times New Roman"/>
          <w:b w:val="false"/>
          <w:i w:val="false"/>
          <w:color w:val="000000"/>
          <w:sz w:val="28"/>
        </w:rPr>
        <w:t>. Количество активных субъектов МСБ, объем выпускаемой продукции и количество рабочих мест в размере по сегментам за 2015 год.</w:t>
      </w:r>
    </w:p>
    <w:bookmarkEnd w:id="296"/>
    <w:bookmarkStart w:name="z368" w:id="297"/>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статистике МНЭ РК</w:t>
      </w:r>
    </w:p>
    <w:bookmarkEnd w:id="297"/>
    <w:bookmarkStart w:name="z369" w:id="298"/>
    <w:p>
      <w:pPr>
        <w:spacing w:after="0"/>
        <w:ind w:left="0"/>
        <w:jc w:val="both"/>
      </w:pPr>
      <w:r>
        <w:rPr>
          <w:rFonts w:ascii="Times New Roman"/>
          <w:b w:val="false"/>
          <w:i w:val="false"/>
          <w:color w:val="000000"/>
          <w:sz w:val="28"/>
        </w:rPr>
        <w:t xml:space="preserve">
      При оказании ДО АО "НУХ "Байтерек" финансовых мер поддержки МСБ будут предусмотрены механизмы встречных обязательств со стороны поддерживаемых предприятий по повышению своей социально-экономической эффективности в течение определенного периода. </w:t>
      </w:r>
    </w:p>
    <w:bookmarkEnd w:id="298"/>
    <w:bookmarkStart w:name="z370" w:id="299"/>
    <w:p>
      <w:pPr>
        <w:spacing w:after="0"/>
        <w:ind w:left="0"/>
        <w:jc w:val="both"/>
      </w:pPr>
      <w:r>
        <w:rPr>
          <w:rFonts w:ascii="Times New Roman"/>
          <w:b w:val="false"/>
          <w:i w:val="false"/>
          <w:color w:val="000000"/>
          <w:sz w:val="28"/>
        </w:rPr>
        <w:t>
      В сложившейся макроэкономической ситуации при высокой ставке рефинансирования ставка кредитования МСБ со стороны БВУ по специальным программам (в т.ч. по совместным программам Даму с Азиатским Банком Развития, ЕБРР, акционерным обществом "Фонд национального благосостояния "Самрук-Казына" и местными исполнительными органами) составляет от 6 до 18 %. Уровень маржинальности в отраслях, где создаются и развиваются МСБ, зачастую ненамного превышает ставку кредитования, то есть возможности роста и развития бизнеса за счет заемных средств сильно ограничены.</w:t>
      </w:r>
    </w:p>
    <w:bookmarkEnd w:id="299"/>
    <w:bookmarkStart w:name="z371" w:id="300"/>
    <w:p>
      <w:pPr>
        <w:spacing w:after="0"/>
        <w:ind w:left="0"/>
        <w:jc w:val="both"/>
      </w:pPr>
      <w:r>
        <w:rPr>
          <w:rFonts w:ascii="Times New Roman"/>
          <w:b w:val="false"/>
          <w:i w:val="false"/>
          <w:color w:val="000000"/>
          <w:sz w:val="28"/>
        </w:rPr>
        <w:t xml:space="preserve">
      При этом в соответствии с ГПИИР и </w:t>
      </w:r>
      <w:r>
        <w:rPr>
          <w:rFonts w:ascii="Times New Roman"/>
          <w:b w:val="false"/>
          <w:i w:val="false"/>
          <w:color w:val="000000"/>
          <w:sz w:val="28"/>
        </w:rPr>
        <w:t>Программой</w:t>
      </w:r>
      <w:r>
        <w:rPr>
          <w:rFonts w:ascii="Times New Roman"/>
          <w:b w:val="false"/>
          <w:i w:val="false"/>
          <w:color w:val="000000"/>
          <w:sz w:val="28"/>
        </w:rPr>
        <w:t xml:space="preserve"> "ДКБ 2020" отбор проектов для предоставления поддержки будет осуществляться с учетом увеличения производительности труда, модернизации и расширения производства, а также эффективности реализуемых проектов.</w:t>
      </w:r>
    </w:p>
    <w:bookmarkEnd w:id="300"/>
    <w:p>
      <w:pPr>
        <w:spacing w:after="0"/>
        <w:ind w:left="0"/>
        <w:jc w:val="both"/>
      </w:pPr>
      <w:r>
        <w:rPr>
          <w:rFonts w:ascii="Times New Roman"/>
          <w:b/>
          <w:i w:val="false"/>
          <w:color w:val="000000"/>
          <w:sz w:val="28"/>
        </w:rPr>
        <w:t>4.3 Стратегическое направление деятельности 3. Обеспечение финансовой доступности жилья</w:t>
      </w:r>
    </w:p>
    <w:bookmarkStart w:name="z373" w:id="301"/>
    <w:p>
      <w:pPr>
        <w:spacing w:after="0"/>
        <w:ind w:left="0"/>
        <w:jc w:val="both"/>
      </w:pPr>
      <w:r>
        <w:rPr>
          <w:rFonts w:ascii="Times New Roman"/>
          <w:b w:val="false"/>
          <w:i w:val="false"/>
          <w:color w:val="000000"/>
          <w:sz w:val="28"/>
        </w:rPr>
        <w:t>
      Деятельность АО "НУХ "Байтерек" по повышению доступности жилья реализуется ДО ЖССБК, КИК, ФГЖС и БД, которые оказывают поддержку в виде финансирования застройщиков, субсидирования ипотечного кредитования, гарантирования жилищного строительства, строительства арендного и кредитного жилья, управления арендным жильем и кредитования покупки жилья.</w:t>
      </w:r>
    </w:p>
    <w:bookmarkEnd w:id="301"/>
    <w:bookmarkStart w:name="z374" w:id="302"/>
    <w:p>
      <w:pPr>
        <w:spacing w:after="0"/>
        <w:ind w:left="0"/>
        <w:jc w:val="both"/>
      </w:pPr>
      <w:r>
        <w:rPr>
          <w:rFonts w:ascii="Times New Roman"/>
          <w:b w:val="false"/>
          <w:i w:val="false"/>
          <w:color w:val="000000"/>
          <w:sz w:val="28"/>
        </w:rPr>
        <w:t>
      Ввиду зависимости роста экономики Казахстана от урбанизации населения в будущем повышение доступности жилья является одним из ключевых направлений развития экономики. Доступность жилья наряду с занятостью населения являются главными факторами для успешной реализации реального экономического роста страны.</w:t>
      </w:r>
    </w:p>
    <w:bookmarkEnd w:id="302"/>
    <w:bookmarkStart w:name="z375" w:id="303"/>
    <w:p>
      <w:pPr>
        <w:spacing w:after="0"/>
        <w:ind w:left="0"/>
        <w:jc w:val="both"/>
      </w:pPr>
      <w:r>
        <w:rPr>
          <w:rFonts w:ascii="Times New Roman"/>
          <w:b w:val="false"/>
          <w:i w:val="false"/>
          <w:color w:val="000000"/>
          <w:sz w:val="28"/>
        </w:rPr>
        <w:t xml:space="preserve">
      Доступность жилья состоит из совокупности факторов, влияющих на спрос и предложение. Основными факторами, влияющими на спрос, являются доходы и объем сбережений населения, прирост населения, уровень урбанизации, скорость и объемы устаревания существующего жилищного фонда, а также стоимость и доступность розничного кредитования и аренды. На спрос также могут влиять качественные характеристики жилья - сопутствующая (социальная и транспортная) инфраструктура, географическое расположение, престижность района, качество застройки (планировка, этажность). </w:t>
      </w:r>
    </w:p>
    <w:bookmarkEnd w:id="303"/>
    <w:bookmarkStart w:name="z376" w:id="304"/>
    <w:p>
      <w:pPr>
        <w:spacing w:after="0"/>
        <w:ind w:left="0"/>
        <w:jc w:val="both"/>
      </w:pPr>
      <w:r>
        <w:rPr>
          <w:rFonts w:ascii="Times New Roman"/>
          <w:b w:val="false"/>
          <w:i w:val="false"/>
          <w:color w:val="000000"/>
          <w:sz w:val="28"/>
        </w:rPr>
        <w:t>
      На предложение (объем строительства) влияет себестоимость квадратного метра жилья и доступность финансирования (как долевого, так и долгового) для застройщика, новые технологии в строительстве, человеческий капитал (наличие квалифицированных специалистов, перебои в доступности необходимого количества неквалифицированных кадров, обучение и преемственность), макроэкономические тренды, привлекательность альтернативных проектов (коммерческие, социальные, инфраструктурные), структура и характеристика индустрии (количество игроков, распределение ролей, наличие иностранных участников).</w:t>
      </w:r>
    </w:p>
    <w:bookmarkEnd w:id="304"/>
    <w:p>
      <w:pPr>
        <w:spacing w:after="0"/>
        <w:ind w:left="0"/>
        <w:jc w:val="both"/>
      </w:pPr>
      <w:r>
        <w:rPr>
          <w:rFonts w:ascii="Times New Roman"/>
          <w:b/>
          <w:i w:val="false"/>
          <w:color w:val="000000"/>
          <w:sz w:val="28"/>
        </w:rPr>
        <w:t>Стоимость финансирования для покупателей жилья</w:t>
      </w:r>
    </w:p>
    <w:bookmarkStart w:name="z378" w:id="305"/>
    <w:p>
      <w:pPr>
        <w:spacing w:after="0"/>
        <w:ind w:left="0"/>
        <w:jc w:val="both"/>
      </w:pPr>
      <w:r>
        <w:rPr>
          <w:rFonts w:ascii="Times New Roman"/>
          <w:b w:val="false"/>
          <w:i w:val="false"/>
          <w:color w:val="000000"/>
          <w:sz w:val="28"/>
        </w:rPr>
        <w:t>
      Стоимость ипотечных займов для покупателей, в целом, как и прочих кредитных займов значительно увеличилась в 2015 году. Данное увеличение было связано с девальвационными ожиданиями, из-за которых БВУ держали свободную ликвидность в основном в иностранной валюте и ограничивали выдачу новых кредитов в тенге, либо выдавали их по высоким ставкам, чтобы компенсировать ожидаемые потери от переоценки валюты. Данная тенденция значительно не изменилась в первой половине 2016 года в некоторых крупных БВУ, но в других стоимость ипотечных займов начала снижаться.</w:t>
      </w:r>
    </w:p>
    <w:bookmarkEnd w:id="305"/>
    <w:bookmarkStart w:name="z379"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 w:id="30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23</w:t>
      </w:r>
      <w:r>
        <w:rPr>
          <w:rFonts w:ascii="Times New Roman"/>
          <w:b w:val="false"/>
          <w:i w:val="false"/>
          <w:color w:val="000000"/>
          <w:sz w:val="28"/>
        </w:rPr>
        <w:t>. Эффективные ставки по ипотечному кредитованию в крупнейших БВУ страны за период с 2010 по 2016 годы.</w:t>
      </w:r>
    </w:p>
    <w:bookmarkEnd w:id="307"/>
    <w:bookmarkStart w:name="z381" w:id="308"/>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данных: анализ рынка недвижимости акционерного общества "Фонд недвижимости "Самрук-Казына"</w:t>
      </w:r>
    </w:p>
    <w:bookmarkEnd w:id="308"/>
    <w:p>
      <w:pPr>
        <w:spacing w:after="0"/>
        <w:ind w:left="0"/>
        <w:jc w:val="both"/>
      </w:pPr>
      <w:r>
        <w:rPr>
          <w:rFonts w:ascii="Times New Roman"/>
          <w:b/>
          <w:i w:val="false"/>
          <w:color w:val="000000"/>
          <w:sz w:val="28"/>
        </w:rPr>
        <w:t>Размер доходов покупателей жилья</w:t>
      </w:r>
    </w:p>
    <w:bookmarkStart w:name="z383" w:id="309"/>
    <w:p>
      <w:pPr>
        <w:spacing w:after="0"/>
        <w:ind w:left="0"/>
        <w:jc w:val="both"/>
      </w:pPr>
      <w:r>
        <w:rPr>
          <w:rFonts w:ascii="Times New Roman"/>
          <w:b w:val="false"/>
          <w:i w:val="false"/>
          <w:color w:val="000000"/>
          <w:sz w:val="28"/>
        </w:rPr>
        <w:t>
      Объемы и стоимость ипотечных займов могут не влиять на доступность жилья в ситуациях, когда доходы и сбережения населения позволяют приобретать недвижимость без заимствования в БВУ. Рост номинальной среднемесячной заработной платы наемных работников в Республике Казахстан за последние годы составил 11 % (см. рисунок 24).</w:t>
      </w:r>
    </w:p>
    <w:bookmarkEnd w:id="309"/>
    <w:bookmarkStart w:name="z384" w:id="310"/>
    <w:p>
      <w:pPr>
        <w:spacing w:after="0"/>
        <w:ind w:left="0"/>
        <w:jc w:val="both"/>
      </w:pPr>
      <w:r>
        <w:rPr>
          <w:rFonts w:ascii="Times New Roman"/>
          <w:b w:val="false"/>
          <w:i w:val="false"/>
          <w:color w:val="000000"/>
          <w:sz w:val="28"/>
        </w:rPr>
        <w:t>
      Стоимость квадратного метра нового жилья росла пропорционально доходам населения с 2010 по 2015 годы, но снизилась в 2016 году (см. рисунок 25), что позволяет сделать вывод, что, в целом, доступность жилья не улучшалась до 2015 года, несмотря на увеличение объемов строительства (см. рисунок 26). Возможной причиной является несоответствие объема предложения объему спроса или недостаточный объем строительства в целом. Снижение цены за квадратный метр жилья в 2016 году при сохранении темпов роста заработной платы указывает на улучшение доступности жилья за последний год.</w:t>
      </w:r>
    </w:p>
    <w:bookmarkEnd w:id="310"/>
    <w:bookmarkStart w:name="z385"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 w:id="31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24</w:t>
      </w:r>
      <w:r>
        <w:rPr>
          <w:rFonts w:ascii="Times New Roman"/>
          <w:b w:val="false"/>
          <w:i w:val="false"/>
          <w:color w:val="000000"/>
          <w:sz w:val="28"/>
        </w:rPr>
        <w:t>. Среднемесячная заработная плата в Республике Казахстан за период с 2010 по 2016 годы, тыс. тенге.</w:t>
      </w:r>
    </w:p>
    <w:bookmarkEnd w:id="312"/>
    <w:bookmarkStart w:name="z387" w:id="313"/>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статистике МНЭ РК</w:t>
      </w:r>
    </w:p>
    <w:bookmarkEnd w:id="313"/>
    <w:bookmarkStart w:name="z388" w:id="314"/>
    <w:p>
      <w:pPr>
        <w:spacing w:after="0"/>
        <w:ind w:left="0"/>
        <w:jc w:val="both"/>
      </w:pPr>
      <w:r>
        <w:rPr>
          <w:rFonts w:ascii="Times New Roman"/>
          <w:b w:val="false"/>
          <w:i w:val="false"/>
          <w:color w:val="000000"/>
          <w:sz w:val="28"/>
        </w:rPr>
        <w:t xml:space="preserve">
      </w:t>
      </w:r>
    </w:p>
    <w:bookmarkEnd w:id="314"/>
    <w:p>
      <w:pPr>
        <w:spacing w:after="0"/>
        <w:ind w:left="0"/>
        <w:jc w:val="both"/>
      </w:pPr>
      <w:r>
        <w:drawing>
          <wp:inline distT="0" distB="0" distL="0" distR="0">
            <wp:extent cx="7810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17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9" w:id="315"/>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25</w:t>
      </w:r>
      <w:r>
        <w:rPr>
          <w:rFonts w:ascii="Times New Roman"/>
          <w:b w:val="false"/>
          <w:i w:val="false"/>
          <w:color w:val="000000"/>
          <w:sz w:val="28"/>
        </w:rPr>
        <w:t>. Средняя цена за квадратный метр нового жилья за период с 2010 по 2016 годы, тыс. тенге.</w:t>
      </w:r>
    </w:p>
    <w:bookmarkEnd w:id="315"/>
    <w:bookmarkStart w:name="z390" w:id="316"/>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статистике МНЭ РК</w:t>
      </w:r>
    </w:p>
    <w:bookmarkEnd w:id="316"/>
    <w:p>
      <w:pPr>
        <w:spacing w:after="0"/>
        <w:ind w:left="0"/>
        <w:jc w:val="both"/>
      </w:pPr>
      <w:r>
        <w:rPr>
          <w:rFonts w:ascii="Times New Roman"/>
          <w:b/>
          <w:i w:val="false"/>
          <w:color w:val="000000"/>
          <w:sz w:val="28"/>
        </w:rPr>
        <w:t>Объемы строительства</w:t>
      </w:r>
    </w:p>
    <w:bookmarkStart w:name="z392" w:id="317"/>
    <w:p>
      <w:pPr>
        <w:spacing w:after="0"/>
        <w:ind w:left="0"/>
        <w:jc w:val="both"/>
      </w:pPr>
      <w:r>
        <w:rPr>
          <w:rFonts w:ascii="Times New Roman"/>
          <w:b w:val="false"/>
          <w:i w:val="false"/>
          <w:color w:val="000000"/>
          <w:sz w:val="28"/>
        </w:rPr>
        <w:t>
      После мирового финансового кризиса 2008 - 2009 годов объемы жилищного строительства в Республике Казахстан росли незначительно из-за слабого общеэкономического роста. Начиная с 2013 года, наряду с улучшением экономической ситуации в стране объемы строительства росли более значительными темпами. Среднегодовой рост составил 15 % с 2013 по 2016 годы.</w:t>
      </w:r>
    </w:p>
    <w:bookmarkEnd w:id="317"/>
    <w:bookmarkStart w:name="z393" w:id="318"/>
    <w:p>
      <w:pPr>
        <w:spacing w:after="0"/>
        <w:ind w:left="0"/>
        <w:jc w:val="both"/>
      </w:pPr>
      <w:r>
        <w:rPr>
          <w:rFonts w:ascii="Times New Roman"/>
          <w:b w:val="false"/>
          <w:i w:val="false"/>
          <w:color w:val="000000"/>
          <w:sz w:val="28"/>
        </w:rPr>
        <w:t xml:space="preserve">
      </w:t>
      </w:r>
    </w:p>
    <w:bookmarkEnd w:id="318"/>
    <w:p>
      <w:pPr>
        <w:spacing w:after="0"/>
        <w:ind w:left="0"/>
        <w:jc w:val="both"/>
      </w:pPr>
      <w:r>
        <w:drawing>
          <wp:inline distT="0" distB="0" distL="0" distR="0">
            <wp:extent cx="78105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298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4" w:id="31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26</w:t>
      </w:r>
      <w:r>
        <w:rPr>
          <w:rFonts w:ascii="Times New Roman"/>
          <w:b w:val="false"/>
          <w:i w:val="false"/>
          <w:color w:val="000000"/>
          <w:sz w:val="28"/>
        </w:rPr>
        <w:t>. Площадь введенных в эксплуатацию жилых зданий за период с 2010 по 2016 годы, тыс. квадратных метров.</w:t>
      </w:r>
    </w:p>
    <w:bookmarkEnd w:id="319"/>
    <w:bookmarkStart w:name="z395" w:id="320"/>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статистике МНЭ РК</w:t>
      </w:r>
    </w:p>
    <w:bookmarkEnd w:id="320"/>
    <w:p>
      <w:pPr>
        <w:spacing w:after="0"/>
        <w:ind w:left="0"/>
        <w:jc w:val="both"/>
      </w:pPr>
      <w:r>
        <w:rPr>
          <w:rFonts w:ascii="Times New Roman"/>
          <w:b/>
          <w:i w:val="false"/>
          <w:color w:val="000000"/>
          <w:sz w:val="28"/>
        </w:rPr>
        <w:t>Доступность финансирования для застройщиков</w:t>
      </w:r>
    </w:p>
    <w:bookmarkStart w:name="z397" w:id="321"/>
    <w:p>
      <w:pPr>
        <w:spacing w:after="0"/>
        <w:ind w:left="0"/>
        <w:jc w:val="both"/>
      </w:pPr>
      <w:r>
        <w:rPr>
          <w:rFonts w:ascii="Times New Roman"/>
          <w:b w:val="false"/>
          <w:i w:val="false"/>
          <w:color w:val="000000"/>
          <w:sz w:val="28"/>
        </w:rPr>
        <w:t>
      Анализ инвестиций в жилищный капитал с 2010 по 2016 годы показывает, что структура финансирования проектов претерпела небольшие изменения, с увеличением доли финансирования за счет собственных средств с 4,8 % до 22,7 %. Доля государственных источников финансирования упала с 27,4 % до 13,4 %. Доля заемных средств составила 15,9 % в 2016 году, уменьшившись с исторического значения в 27,2 % в 2010 году, что может объясняться ограниченным доступом к заемным средствам или дороговизной таких заемных средств. Доля объема собственных средств населения в структуре финансирования выросла с 40,6 % в 2010 году до 48,0 % в 2016 году.</w:t>
      </w:r>
    </w:p>
    <w:bookmarkEnd w:id="321"/>
    <w:bookmarkStart w:name="z398" w:id="322"/>
    <w:p>
      <w:pPr>
        <w:spacing w:after="0"/>
        <w:ind w:left="0"/>
        <w:jc w:val="both"/>
      </w:pPr>
      <w:r>
        <w:rPr>
          <w:rFonts w:ascii="Times New Roman"/>
          <w:b w:val="false"/>
          <w:i w:val="false"/>
          <w:color w:val="000000"/>
          <w:sz w:val="28"/>
        </w:rPr>
        <w:t xml:space="preserve">
      </w:t>
      </w:r>
    </w:p>
    <w:bookmarkEnd w:id="322"/>
    <w:p>
      <w:pPr>
        <w:spacing w:after="0"/>
        <w:ind w:left="0"/>
        <w:jc w:val="both"/>
      </w:pPr>
      <w:r>
        <w:drawing>
          <wp:inline distT="0" distB="0" distL="0" distR="0">
            <wp:extent cx="77851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851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 w:id="323"/>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27</w:t>
      </w:r>
      <w:r>
        <w:rPr>
          <w:rFonts w:ascii="Times New Roman"/>
          <w:b w:val="false"/>
          <w:i w:val="false"/>
          <w:color w:val="000000"/>
          <w:sz w:val="28"/>
        </w:rPr>
        <w:t>. Объем инвестиций в жилищный капитал по источникам финансирования за 2010 - 2016 годы, млрд. тенге.</w:t>
      </w:r>
    </w:p>
    <w:bookmarkEnd w:id="323"/>
    <w:bookmarkStart w:name="z400" w:id="324"/>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статистике МНЭ РК</w:t>
      </w:r>
    </w:p>
    <w:bookmarkEnd w:id="324"/>
    <w:p>
      <w:pPr>
        <w:spacing w:after="0"/>
        <w:ind w:left="0"/>
        <w:jc w:val="both"/>
      </w:pPr>
      <w:r>
        <w:rPr>
          <w:rFonts w:ascii="Times New Roman"/>
          <w:b/>
          <w:i w:val="false"/>
          <w:color w:val="000000"/>
          <w:sz w:val="28"/>
        </w:rPr>
        <w:t>4.4 Стратегическое направление деятельности 4. Повышение экспортного потенциала</w:t>
      </w:r>
    </w:p>
    <w:bookmarkStart w:name="z402" w:id="325"/>
    <w:p>
      <w:pPr>
        <w:spacing w:after="0"/>
        <w:ind w:left="0"/>
        <w:jc w:val="both"/>
      </w:pPr>
      <w:r>
        <w:rPr>
          <w:rFonts w:ascii="Times New Roman"/>
          <w:b w:val="false"/>
          <w:i w:val="false"/>
          <w:color w:val="000000"/>
          <w:sz w:val="28"/>
        </w:rPr>
        <w:t xml:space="preserve">
      Одной из приоритетных задач, поставленных Президентом Республики Казахстан Нурсултаном Назарбаевым, является необходимость совершенствования инструментов поддержки экспорта, создания условий для выхода казахстанских товаров на внешние рынки. Опыт таких стран, как Республика Сингапур, Королевство Таиланд, Федерация Малайзия наглядно демонстрирует преимущества экспортоориентированных стратегий, вывод товаров на внешние рынки способствовал стремительному экономическому росту этих стран. Вступление Казахстана в декабре 2015 года во Всемирную Торговую Организацию (далее - ВТО) также ставит перед предпринимателями новые задачи - теперь казахстанские товары должны конкурировать с товарами со всего мира. </w:t>
      </w:r>
    </w:p>
    <w:bookmarkEnd w:id="325"/>
    <w:bookmarkStart w:name="z403" w:id="326"/>
    <w:p>
      <w:pPr>
        <w:spacing w:after="0"/>
        <w:ind w:left="0"/>
        <w:jc w:val="both"/>
      </w:pPr>
      <w:r>
        <w:rPr>
          <w:rFonts w:ascii="Times New Roman"/>
          <w:b w:val="false"/>
          <w:i w:val="false"/>
          <w:color w:val="000000"/>
          <w:sz w:val="28"/>
        </w:rPr>
        <w:t>
      В настоящее время в Республике Казахстан системно реализуется комплекс мер, направленных на поддержку отечественного предпринимательства и обрабатывающей промышленности.</w:t>
      </w:r>
    </w:p>
    <w:bookmarkEnd w:id="326"/>
    <w:bookmarkStart w:name="z404" w:id="327"/>
    <w:p>
      <w:pPr>
        <w:spacing w:after="0"/>
        <w:ind w:left="0"/>
        <w:jc w:val="both"/>
      </w:pPr>
      <w:r>
        <w:rPr>
          <w:rFonts w:ascii="Times New Roman"/>
          <w:b w:val="false"/>
          <w:i w:val="false"/>
          <w:color w:val="000000"/>
          <w:sz w:val="28"/>
        </w:rPr>
        <w:t>
      Так, самой масштабной инициативой государства по индустриальному развитию Казахстана является ГПИИР, в рамках которой КазахЭкспорт является оператором по поддержке экспорта, чья деятельность нацелена на создание адекватных механизмов по поддержке выхода казахстанской продукции обрабатывающего сектора на зарубежные рынки.</w:t>
      </w:r>
    </w:p>
    <w:bookmarkEnd w:id="327"/>
    <w:bookmarkStart w:name="z405" w:id="328"/>
    <w:p>
      <w:pPr>
        <w:spacing w:after="0"/>
        <w:ind w:left="0"/>
        <w:jc w:val="both"/>
      </w:pPr>
      <w:r>
        <w:rPr>
          <w:rFonts w:ascii="Times New Roman"/>
          <w:b w:val="false"/>
          <w:i w:val="false"/>
          <w:color w:val="000000"/>
          <w:sz w:val="28"/>
        </w:rPr>
        <w:t xml:space="preserve">
      Объединение отечественных институтов развития под эгидой единого акционера АО "НУХ "Байтерек" в соответствии с </w:t>
      </w:r>
      <w:r>
        <w:rPr>
          <w:rFonts w:ascii="Times New Roman"/>
          <w:b w:val="false"/>
          <w:i w:val="false"/>
          <w:color w:val="000000"/>
          <w:sz w:val="28"/>
        </w:rPr>
        <w:t>Указом</w:t>
      </w:r>
      <w:r>
        <w:rPr>
          <w:rFonts w:ascii="Times New Roman"/>
          <w:b w:val="false"/>
          <w:i w:val="false"/>
          <w:color w:val="000000"/>
          <w:sz w:val="28"/>
        </w:rPr>
        <w:t xml:space="preserve"> Главы государства от 22 мая 2013 года № 571 "О некоторых мерах по оптимизации системы управления институтами развития, финансовыми организациями и развития национальной экономики" способствует реализации комплексного подхода поддержки экспортеров казахстанской продукции. </w:t>
      </w:r>
    </w:p>
    <w:bookmarkEnd w:id="328"/>
    <w:bookmarkStart w:name="z406" w:id="329"/>
    <w:p>
      <w:pPr>
        <w:spacing w:after="0"/>
        <w:ind w:left="0"/>
        <w:jc w:val="both"/>
      </w:pPr>
      <w:r>
        <w:rPr>
          <w:rFonts w:ascii="Times New Roman"/>
          <w:b w:val="false"/>
          <w:i w:val="false"/>
          <w:color w:val="000000"/>
          <w:sz w:val="28"/>
        </w:rPr>
        <w:t xml:space="preserve">
      Проведенная работа положительно сказалась на объемах поддержки в несырьевых секторах экономики, таких как машиностроение, химическая промышленность, строительные материалы и пищевая промышленность. </w:t>
      </w:r>
    </w:p>
    <w:bookmarkEnd w:id="329"/>
    <w:p>
      <w:pPr>
        <w:spacing w:after="0"/>
        <w:ind w:left="0"/>
        <w:jc w:val="both"/>
      </w:pPr>
      <w:r>
        <w:rPr>
          <w:rFonts w:ascii="Times New Roman"/>
          <w:b/>
          <w:i w:val="false"/>
          <w:color w:val="000000"/>
          <w:sz w:val="28"/>
        </w:rPr>
        <w:t>Стратегические направления, цели и задачи до 2023 года</w:t>
      </w:r>
    </w:p>
    <w:bookmarkStart w:name="z408" w:id="330"/>
    <w:p>
      <w:pPr>
        <w:spacing w:after="0"/>
        <w:ind w:left="0"/>
        <w:jc w:val="both"/>
      </w:pPr>
      <w:r>
        <w:rPr>
          <w:rFonts w:ascii="Times New Roman"/>
          <w:b w:val="false"/>
          <w:i w:val="false"/>
          <w:color w:val="000000"/>
          <w:sz w:val="28"/>
        </w:rPr>
        <w:t xml:space="preserve">
      В целях реализации своей миссии и видения КазахЭкспорт проводит работу по следующим трем ключевым стратегическим направлениям, утвержденным в Стратегии развития КазахЭкспорт на 2014 - 2023 годы: </w:t>
      </w:r>
    </w:p>
    <w:bookmarkEnd w:id="330"/>
    <w:bookmarkStart w:name="z409" w:id="331"/>
    <w:p>
      <w:pPr>
        <w:spacing w:after="0"/>
        <w:ind w:left="0"/>
        <w:jc w:val="both"/>
      </w:pPr>
      <w:r>
        <w:rPr>
          <w:rFonts w:ascii="Times New Roman"/>
          <w:b w:val="false"/>
          <w:i w:val="false"/>
          <w:color w:val="000000"/>
          <w:sz w:val="28"/>
        </w:rPr>
        <w:t>
      1) развитие финансово-страховой поддержки казахстанского экспорта;</w:t>
      </w:r>
    </w:p>
    <w:bookmarkEnd w:id="331"/>
    <w:bookmarkStart w:name="z410" w:id="332"/>
    <w:p>
      <w:pPr>
        <w:spacing w:after="0"/>
        <w:ind w:left="0"/>
        <w:jc w:val="both"/>
      </w:pPr>
      <w:r>
        <w:rPr>
          <w:rFonts w:ascii="Times New Roman"/>
          <w:b w:val="false"/>
          <w:i w:val="false"/>
          <w:color w:val="000000"/>
          <w:sz w:val="28"/>
        </w:rPr>
        <w:t xml:space="preserve">
      2) нефинансовая поддержка экспортной деятельности казахстанских предприятий; </w:t>
      </w:r>
    </w:p>
    <w:bookmarkEnd w:id="332"/>
    <w:bookmarkStart w:name="z411" w:id="333"/>
    <w:p>
      <w:pPr>
        <w:spacing w:after="0"/>
        <w:ind w:left="0"/>
        <w:jc w:val="both"/>
      </w:pPr>
      <w:r>
        <w:rPr>
          <w:rFonts w:ascii="Times New Roman"/>
          <w:b w:val="false"/>
          <w:i w:val="false"/>
          <w:color w:val="000000"/>
          <w:sz w:val="28"/>
        </w:rPr>
        <w:t>
      3) перестрахование.</w:t>
      </w:r>
    </w:p>
    <w:bookmarkEnd w:id="3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1110"/>
        <w:gridCol w:w="1752"/>
        <w:gridCol w:w="8843"/>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34"/>
          <w:p>
            <w:pPr>
              <w:spacing w:after="20"/>
              <w:ind w:left="20"/>
              <w:jc w:val="both"/>
            </w:pPr>
            <w:r>
              <w:rPr>
                <w:rFonts w:ascii="Times New Roman"/>
                <w:b w:val="false"/>
                <w:i w:val="false"/>
                <w:color w:val="000000"/>
                <w:sz w:val="20"/>
              </w:rPr>
              <w:t>
№ п/п</w:t>
            </w:r>
          </w:p>
          <w:bookmarkEnd w:id="334"/>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Стратегические направления</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Стратегические задачи</w:t>
            </w:r>
          </w:p>
        </w:tc>
      </w:tr>
      <w:tr>
        <w:trPr>
          <w:trHeight w:val="30" w:hRule="atLeast"/>
        </w:trPr>
        <w:tc>
          <w:tcPr>
            <w:tcW w:w="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35"/>
          <w:p>
            <w:pPr>
              <w:spacing w:after="20"/>
              <w:ind w:left="20"/>
              <w:jc w:val="both"/>
            </w:pPr>
            <w:r>
              <w:rPr>
                <w:rFonts w:ascii="Times New Roman"/>
                <w:b w:val="false"/>
                <w:i w:val="false"/>
                <w:color w:val="000000"/>
                <w:sz w:val="20"/>
              </w:rPr>
              <w:t>
1</w:t>
            </w:r>
          </w:p>
          <w:bookmarkEnd w:id="335"/>
        </w:tc>
        <w:tc>
          <w:tcPr>
            <w:tcW w:w="1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Развитие финансово-страховой поддержки казахстанского экспорта</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Содействие продвижению экспорта казахстанских товаров</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Финансово-страховая поддержка с целью увеличения товарной и географической экспансии казахстанских предприятий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Поддержка операций торгового финансирования в рамках ГПФИИР на 2010 - 2014 годы и ГПИИР на 2015 - 2019 годы.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36"/>
          <w:p>
            <w:pPr>
              <w:spacing w:after="20"/>
              <w:ind w:left="20"/>
              <w:jc w:val="both"/>
            </w:pPr>
            <w:r>
              <w:rPr>
                <w:rFonts w:ascii="Times New Roman"/>
                <w:b w:val="false"/>
                <w:i w:val="false"/>
                <w:color w:val="000000"/>
                <w:sz w:val="20"/>
              </w:rPr>
              <w:t>
2</w:t>
            </w:r>
          </w:p>
          <w:bookmarkEnd w:id="336"/>
        </w:tc>
        <w:tc>
          <w:tcPr>
            <w:tcW w:w="11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Нефинансовая поддержка экспортной деятельности казахстанских предприятий</w:t>
            </w:r>
          </w:p>
        </w:tc>
        <w:tc>
          <w:tcPr>
            <w:tcW w:w="1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Информирование отечественных предприятий о преимуществах финансово-страховой поддержки национального экспорта</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Расширение консультационных услуг по вопросам внешнеэкономической деятельности предприятий</w:t>
            </w:r>
          </w:p>
        </w:tc>
      </w:tr>
      <w:tr>
        <w:trPr>
          <w:trHeight w:val="30" w:hRule="atLeast"/>
        </w:trPr>
        <w:tc>
          <w:tcPr>
            <w:tcW w:w="5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37"/>
          <w:p>
            <w:pPr>
              <w:spacing w:after="20"/>
              <w:ind w:left="20"/>
              <w:jc w:val="both"/>
            </w:pPr>
            <w:r>
              <w:rPr>
                <w:rFonts w:ascii="Times New Roman"/>
                <w:b w:val="false"/>
                <w:i w:val="false"/>
                <w:color w:val="000000"/>
                <w:sz w:val="20"/>
              </w:rPr>
              <w:t>
3</w:t>
            </w:r>
          </w:p>
          <w:bookmarkEnd w:id="337"/>
        </w:tc>
        <w:tc>
          <w:tcPr>
            <w:tcW w:w="11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Перестрахование</w:t>
            </w:r>
          </w:p>
        </w:tc>
        <w:tc>
          <w:tcPr>
            <w:tcW w:w="17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Обеспечение устойчивого роста перестраховочных операций</w:t>
            </w: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Содействие развитию инфраструктуры перестраховочного бизнеса в Казахстане и увеличению емкости национального страхового рынка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Содействие уменьшению оттока капитала за рубеж, увеличение объемов для казахстанских страховых организаций</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Фактическое исполнение ключевых показателей деятельности КазахЭкспорт на 2014 - 2016 годы включают в себя объем принятых страховых обязательств на общую сумму более 46 млрд. тенге.</w:t>
      </w:r>
      <w:r>
        <w:br/>
      </w:r>
      <w:r>
        <w:rPr>
          <w:rFonts w:ascii="Times New Roman"/>
          <w:b w:val="false"/>
          <w:i w:val="false"/>
          <w:color w:val="000000"/>
          <w:sz w:val="28"/>
        </w:rPr>
        <w:t xml:space="preserve">
      </w:t>
      </w:r>
      <w:r>
        <w:rPr>
          <w:rFonts w:ascii="Times New Roman"/>
          <w:b/>
          <w:i w:val="false"/>
          <w:color w:val="000000"/>
          <w:sz w:val="28"/>
        </w:rPr>
        <w:t xml:space="preserve">Объем принятых страховых обязательств на 2014 </w:t>
      </w:r>
      <w:r>
        <w:rPr>
          <w:rFonts w:ascii="Times New Roman"/>
          <w:b/>
          <w:i w:val="false"/>
          <w:color w:val="000000"/>
          <w:sz w:val="28"/>
        </w:rPr>
        <w:t>-</w:t>
      </w:r>
      <w:r>
        <w:rPr>
          <w:rFonts w:ascii="Times New Roman"/>
          <w:b/>
          <w:i w:val="false"/>
          <w:color w:val="000000"/>
          <w:sz w:val="28"/>
        </w:rPr>
        <w:t xml:space="preserve"> 2016 годы (млн. тенге):</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44"/>
        <w:gridCol w:w="4328"/>
        <w:gridCol w:w="4328"/>
      </w:tblGrid>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0" w:id="338"/>
          <w:p>
            <w:pPr>
              <w:spacing w:after="20"/>
              <w:ind w:left="20"/>
              <w:jc w:val="both"/>
            </w:pPr>
            <w:r>
              <w:rPr>
                <w:rFonts w:ascii="Times New Roman"/>
                <w:b w:val="false"/>
                <w:i w:val="false"/>
                <w:color w:val="000000"/>
                <w:sz w:val="20"/>
              </w:rPr>
              <w:t>
2014 год</w:t>
            </w:r>
          </w:p>
          <w:bookmarkEnd w:id="338"/>
        </w:tc>
        <w:tc>
          <w:tcPr>
            <w:tcW w:w="4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год</w:t>
            </w:r>
          </w:p>
        </w:tc>
        <w:tc>
          <w:tcPr>
            <w:tcW w:w="4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год</w:t>
            </w:r>
          </w:p>
        </w:tc>
      </w:tr>
      <w:tr>
        <w:trPr>
          <w:trHeight w:val="30" w:hRule="atLeast"/>
        </w:trPr>
        <w:tc>
          <w:tcPr>
            <w:tcW w:w="3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39"/>
          <w:p>
            <w:pPr>
              <w:spacing w:after="20"/>
              <w:ind w:left="20"/>
              <w:jc w:val="both"/>
            </w:pPr>
            <w:r>
              <w:rPr>
                <w:rFonts w:ascii="Times New Roman"/>
                <w:b w:val="false"/>
                <w:i w:val="false"/>
                <w:color w:val="000000"/>
                <w:sz w:val="20"/>
              </w:rPr>
              <w:t>
7 013</w:t>
            </w:r>
          </w:p>
          <w:bookmarkEnd w:id="339"/>
        </w:tc>
        <w:tc>
          <w:tcPr>
            <w:tcW w:w="4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19 857</w:t>
            </w:r>
          </w:p>
        </w:tc>
        <w:tc>
          <w:tcPr>
            <w:tcW w:w="43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19 485</w:t>
            </w:r>
          </w:p>
        </w:tc>
      </w:tr>
    </w:tbl>
    <w:p>
      <w:pPr>
        <w:spacing w:after="0"/>
        <w:ind w:left="0"/>
        <w:jc w:val="both"/>
      </w:pPr>
      <w:r>
        <w:rPr>
          <w:rFonts w:ascii="Times New Roman"/>
          <w:b/>
          <w:i w:val="false"/>
          <w:color w:val="000000"/>
          <w:sz w:val="28"/>
        </w:rPr>
        <w:t>4.5 Стратегическое направление деятельности</w:t>
      </w:r>
    </w:p>
    <w:p>
      <w:pPr>
        <w:spacing w:after="0"/>
        <w:ind w:left="0"/>
        <w:jc w:val="both"/>
      </w:pPr>
      <w:r>
        <w:rPr>
          <w:rFonts w:ascii="Times New Roman"/>
          <w:b/>
          <w:i w:val="false"/>
          <w:color w:val="000000"/>
          <w:sz w:val="28"/>
        </w:rPr>
        <w:t>5. Трансферт и внедрение инноваций</w:t>
      </w:r>
    </w:p>
    <w:bookmarkStart w:name="z424" w:id="340"/>
    <w:p>
      <w:pPr>
        <w:spacing w:after="0"/>
        <w:ind w:left="0"/>
        <w:jc w:val="both"/>
      </w:pPr>
      <w:r>
        <w:rPr>
          <w:rFonts w:ascii="Times New Roman"/>
          <w:b w:val="false"/>
          <w:i w:val="false"/>
          <w:color w:val="000000"/>
          <w:sz w:val="28"/>
        </w:rPr>
        <w:t>
      В 2015 году объем промышленной продукции составил 14 925,2 млрд. тенге, сократившись по сравнению с 2014 годом на 2,6 процентных пункта.</w:t>
      </w:r>
    </w:p>
    <w:bookmarkEnd w:id="340"/>
    <w:bookmarkStart w:name="z425" w:id="341"/>
    <w:p>
      <w:pPr>
        <w:spacing w:after="0"/>
        <w:ind w:left="0"/>
        <w:jc w:val="both"/>
      </w:pPr>
      <w:r>
        <w:rPr>
          <w:rFonts w:ascii="Times New Roman"/>
          <w:b w:val="false"/>
          <w:i w:val="false"/>
          <w:color w:val="000000"/>
          <w:sz w:val="28"/>
        </w:rPr>
        <w:t xml:space="preserve">
      Снижение объемов зафиксировано в машиностроении на 29,6 %, производстве электрического оборудования - на 27,1 %, готовых металлических изделий, кроме машин и оборудования - на 3,3 %, железнодорожной техники на - 88 %, в агрохимии на - 48,1 %, машин и оборудования для ГМК на - 46,8 %. </w:t>
      </w:r>
    </w:p>
    <w:bookmarkEnd w:id="341"/>
    <w:bookmarkStart w:name="z426" w:id="342"/>
    <w:p>
      <w:pPr>
        <w:spacing w:after="0"/>
        <w:ind w:left="0"/>
        <w:jc w:val="both"/>
      </w:pPr>
      <w:r>
        <w:rPr>
          <w:rFonts w:ascii="Times New Roman"/>
          <w:b w:val="false"/>
          <w:i w:val="false"/>
          <w:color w:val="000000"/>
          <w:sz w:val="28"/>
        </w:rPr>
        <w:t>
      При этом согласно данным статистики степень износа основных средств в промышленности продолжает превышать коэффициент обновления более чем в 2 раза.</w:t>
      </w:r>
    </w:p>
    <w:bookmarkEnd w:id="342"/>
    <w:bookmarkStart w:name="z427"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34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29</w:t>
      </w:r>
      <w:r>
        <w:rPr>
          <w:rFonts w:ascii="Times New Roman"/>
          <w:b w:val="false"/>
          <w:i w:val="false"/>
          <w:color w:val="000000"/>
          <w:sz w:val="28"/>
        </w:rPr>
        <w:t>. Динамика степени износа и обновления основных средств в промышленности за 2009 - 2015 годы, %.</w:t>
      </w:r>
    </w:p>
    <w:bookmarkEnd w:id="344"/>
    <w:bookmarkStart w:name="z429" w:id="345"/>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статистика МНЭ РК</w:t>
      </w:r>
    </w:p>
    <w:bookmarkEnd w:id="345"/>
    <w:bookmarkStart w:name="z430" w:id="346"/>
    <w:p>
      <w:pPr>
        <w:spacing w:after="0"/>
        <w:ind w:left="0"/>
        <w:jc w:val="both"/>
      </w:pPr>
      <w:r>
        <w:rPr>
          <w:rFonts w:ascii="Times New Roman"/>
          <w:b w:val="false"/>
          <w:i w:val="false"/>
          <w:color w:val="000000"/>
          <w:sz w:val="28"/>
        </w:rPr>
        <w:t>
      Таким образом, снижение объемов производства промышленности происходит, в том числе и в связи с моральным и физическим износом основных фондов, технологической отсталостью, высокими издержками на единицу продукции.</w:t>
      </w:r>
    </w:p>
    <w:bookmarkEnd w:id="346"/>
    <w:bookmarkStart w:name="z431" w:id="347"/>
    <w:p>
      <w:pPr>
        <w:spacing w:after="0"/>
        <w:ind w:left="0"/>
        <w:jc w:val="both"/>
      </w:pPr>
      <w:r>
        <w:rPr>
          <w:rFonts w:ascii="Times New Roman"/>
          <w:b w:val="false"/>
          <w:i w:val="false"/>
          <w:color w:val="000000"/>
          <w:sz w:val="28"/>
        </w:rPr>
        <w:t>
      В связи с этим Глава государства в своем Послании "Третья модернизация Казахстана: глобальная конкурентоспособность" поручил Правительству разработать комплекс мер технологического перевооружения базовых отраслей до 2025 года.</w:t>
      </w:r>
    </w:p>
    <w:bookmarkEnd w:id="347"/>
    <w:bookmarkStart w:name="z432" w:id="348"/>
    <w:p>
      <w:pPr>
        <w:spacing w:after="0"/>
        <w:ind w:left="0"/>
        <w:jc w:val="both"/>
      </w:pPr>
      <w:r>
        <w:rPr>
          <w:rFonts w:ascii="Times New Roman"/>
          <w:b w:val="false"/>
          <w:i w:val="false"/>
          <w:color w:val="000000"/>
          <w:sz w:val="28"/>
        </w:rPr>
        <w:t>
      В идеале, для технологического перевооружения отечественных предприятий предпочтительно внедрение передовых казахстанских разработок и технологий. В то же время, возможности их коммерциализации в Казахстане сдерживаются такими факторами, как ограниченное количество готовых к внедрению разработок, отвечающих потребностям рынка, потребность в значительных объемах рискованных инвестиций, неразвитость культуры IP.</w:t>
      </w:r>
    </w:p>
    <w:bookmarkEnd w:id="348"/>
    <w:bookmarkStart w:name="z433" w:id="349"/>
    <w:p>
      <w:pPr>
        <w:spacing w:after="0"/>
        <w:ind w:left="0"/>
        <w:jc w:val="both"/>
      </w:pPr>
      <w:r>
        <w:rPr>
          <w:rFonts w:ascii="Times New Roman"/>
          <w:b w:val="false"/>
          <w:i w:val="false"/>
          <w:color w:val="000000"/>
          <w:sz w:val="28"/>
        </w:rPr>
        <w:t xml:space="preserve">
      Соответственно, с учетом лучших зарубежных практик, основной фокус в технологическом развитии предприятий и отраслей на текущем этапе целесообразно сделать на трансферте передовых зарубежных технологий. </w:t>
      </w:r>
    </w:p>
    <w:bookmarkEnd w:id="349"/>
    <w:bookmarkStart w:name="z434" w:id="350"/>
    <w:p>
      <w:pPr>
        <w:spacing w:after="0"/>
        <w:ind w:left="0"/>
        <w:jc w:val="both"/>
      </w:pPr>
      <w:r>
        <w:rPr>
          <w:rFonts w:ascii="Times New Roman"/>
          <w:b w:val="false"/>
          <w:i w:val="false"/>
          <w:color w:val="000000"/>
          <w:sz w:val="28"/>
        </w:rPr>
        <w:t>
      Учитывая вышеизложенное, технологическое развитие предприятий и отраслей предполагается осуществить посредством комплекса мер по развитию:</w:t>
      </w:r>
    </w:p>
    <w:bookmarkEnd w:id="350"/>
    <w:bookmarkStart w:name="z435" w:id="351"/>
    <w:p>
      <w:pPr>
        <w:spacing w:after="0"/>
        <w:ind w:left="0"/>
        <w:jc w:val="both"/>
      </w:pPr>
      <w:r>
        <w:rPr>
          <w:rFonts w:ascii="Times New Roman"/>
          <w:b w:val="false"/>
          <w:i w:val="false"/>
          <w:color w:val="000000"/>
          <w:sz w:val="28"/>
        </w:rPr>
        <w:t>
      1) системы трансферта технологий;</w:t>
      </w:r>
    </w:p>
    <w:bookmarkEnd w:id="351"/>
    <w:bookmarkStart w:name="z436" w:id="352"/>
    <w:p>
      <w:pPr>
        <w:spacing w:after="0"/>
        <w:ind w:left="0"/>
        <w:jc w:val="both"/>
      </w:pPr>
      <w:r>
        <w:rPr>
          <w:rFonts w:ascii="Times New Roman"/>
          <w:b w:val="false"/>
          <w:i w:val="false"/>
          <w:color w:val="000000"/>
          <w:sz w:val="28"/>
        </w:rPr>
        <w:t>
      2) системы коммерциализации технологий;</w:t>
      </w:r>
    </w:p>
    <w:bookmarkEnd w:id="352"/>
    <w:bookmarkStart w:name="z437" w:id="353"/>
    <w:p>
      <w:pPr>
        <w:spacing w:after="0"/>
        <w:ind w:left="0"/>
        <w:jc w:val="both"/>
      </w:pPr>
      <w:r>
        <w:rPr>
          <w:rFonts w:ascii="Times New Roman"/>
          <w:b w:val="false"/>
          <w:i w:val="false"/>
          <w:color w:val="000000"/>
          <w:sz w:val="28"/>
        </w:rPr>
        <w:t>
      3) технологических компетенций.</w:t>
      </w:r>
    </w:p>
    <w:bookmarkEnd w:id="353"/>
    <w:bookmarkStart w:name="z438" w:id="354"/>
    <w:p>
      <w:pPr>
        <w:spacing w:after="0"/>
        <w:ind w:left="0"/>
        <w:jc w:val="both"/>
      </w:pPr>
      <w:r>
        <w:rPr>
          <w:rFonts w:ascii="Times New Roman"/>
          <w:b w:val="false"/>
          <w:i w:val="false"/>
          <w:color w:val="000000"/>
          <w:sz w:val="28"/>
        </w:rPr>
        <w:t>
      В рамках развития системы трансферта технологий, с одной стороны, будет проводиться выявление имеющихся технологических задач отечественного бизнеса, а с другой - осуществляться поиск передовых технологий и их носителей для решения технологических запросов предприятий. В частности, для этого, а также формирования канала трансферта казахстанских технологий на мировой рынок будет проводиться следующая работа:</w:t>
      </w:r>
    </w:p>
    <w:bookmarkEnd w:id="354"/>
    <w:bookmarkStart w:name="z439" w:id="355"/>
    <w:p>
      <w:pPr>
        <w:spacing w:after="0"/>
        <w:ind w:left="0"/>
        <w:jc w:val="both"/>
      </w:pPr>
      <w:r>
        <w:rPr>
          <w:rFonts w:ascii="Times New Roman"/>
          <w:b w:val="false"/>
          <w:i w:val="false"/>
          <w:color w:val="000000"/>
          <w:sz w:val="28"/>
        </w:rPr>
        <w:t>
      1) анализ местного и зарубежного рынка технологий;</w:t>
      </w:r>
    </w:p>
    <w:bookmarkEnd w:id="355"/>
    <w:bookmarkStart w:name="z440" w:id="356"/>
    <w:p>
      <w:pPr>
        <w:spacing w:after="0"/>
        <w:ind w:left="0"/>
        <w:jc w:val="both"/>
      </w:pPr>
      <w:r>
        <w:rPr>
          <w:rFonts w:ascii="Times New Roman"/>
          <w:b w:val="false"/>
          <w:i w:val="false"/>
          <w:color w:val="000000"/>
          <w:sz w:val="28"/>
        </w:rPr>
        <w:t>
      2) анализ мировых трендов, определение технологических разрывов и содействие их устранению;</w:t>
      </w:r>
    </w:p>
    <w:bookmarkEnd w:id="356"/>
    <w:bookmarkStart w:name="z441" w:id="357"/>
    <w:p>
      <w:pPr>
        <w:spacing w:after="0"/>
        <w:ind w:left="0"/>
        <w:jc w:val="both"/>
      </w:pPr>
      <w:r>
        <w:rPr>
          <w:rFonts w:ascii="Times New Roman"/>
          <w:b w:val="false"/>
          <w:i w:val="false"/>
          <w:color w:val="000000"/>
          <w:sz w:val="28"/>
        </w:rPr>
        <w:t>
      3) интеграция в международную сеть трансферта технологий;</w:t>
      </w:r>
    </w:p>
    <w:bookmarkEnd w:id="357"/>
    <w:bookmarkStart w:name="z442" w:id="358"/>
    <w:p>
      <w:pPr>
        <w:spacing w:after="0"/>
        <w:ind w:left="0"/>
        <w:jc w:val="both"/>
      </w:pPr>
      <w:r>
        <w:rPr>
          <w:rFonts w:ascii="Times New Roman"/>
          <w:b w:val="false"/>
          <w:i w:val="false"/>
          <w:color w:val="000000"/>
          <w:sz w:val="28"/>
        </w:rPr>
        <w:t>
      4) установление партнерской связи с ведущими зарубежными государственными и частными компаниями, основной деятельностью которых является оказание брокерских услуг в области трансферта технологий;</w:t>
      </w:r>
    </w:p>
    <w:bookmarkEnd w:id="358"/>
    <w:bookmarkStart w:name="z443" w:id="359"/>
    <w:p>
      <w:pPr>
        <w:spacing w:after="0"/>
        <w:ind w:left="0"/>
        <w:jc w:val="both"/>
      </w:pPr>
      <w:r>
        <w:rPr>
          <w:rFonts w:ascii="Times New Roman"/>
          <w:b w:val="false"/>
          <w:i w:val="false"/>
          <w:color w:val="000000"/>
          <w:sz w:val="28"/>
        </w:rPr>
        <w:t>
      5) организация отраслевых площадок для презентаций/продвижения технологий с участием носителей технологий;</w:t>
      </w:r>
    </w:p>
    <w:bookmarkEnd w:id="359"/>
    <w:bookmarkStart w:name="z444" w:id="360"/>
    <w:p>
      <w:pPr>
        <w:spacing w:after="0"/>
        <w:ind w:left="0"/>
        <w:jc w:val="both"/>
      </w:pPr>
      <w:r>
        <w:rPr>
          <w:rFonts w:ascii="Times New Roman"/>
          <w:b w:val="false"/>
          <w:i w:val="false"/>
          <w:color w:val="000000"/>
          <w:sz w:val="28"/>
        </w:rPr>
        <w:t>
      6) оказание услуг по сопровождению сделок по трансферту технологий, консультированию и содействию в продвижении проектов по трансферту технологий.</w:t>
      </w:r>
    </w:p>
    <w:bookmarkEnd w:id="360"/>
    <w:bookmarkStart w:name="z445" w:id="361"/>
    <w:p>
      <w:pPr>
        <w:spacing w:after="0"/>
        <w:ind w:left="0"/>
        <w:jc w:val="both"/>
      </w:pPr>
      <w:r>
        <w:rPr>
          <w:rFonts w:ascii="Times New Roman"/>
          <w:b w:val="false"/>
          <w:i w:val="false"/>
          <w:color w:val="000000"/>
          <w:sz w:val="28"/>
        </w:rPr>
        <w:t>
      На текущем этапе для развития системы коммерциализации технологий необходимо создание условий для поддержки отечественного технологичного бизнеса на этапе инкубирования/становления до уровня, когда он становится привлекательным для венчурного инвестирования.</w:t>
      </w:r>
    </w:p>
    <w:bookmarkEnd w:id="361"/>
    <w:bookmarkStart w:name="z446" w:id="362"/>
    <w:p>
      <w:pPr>
        <w:spacing w:after="0"/>
        <w:ind w:left="0"/>
        <w:jc w:val="both"/>
      </w:pPr>
      <w:r>
        <w:rPr>
          <w:rFonts w:ascii="Times New Roman"/>
          <w:b w:val="false"/>
          <w:i w:val="false"/>
          <w:color w:val="000000"/>
          <w:sz w:val="28"/>
        </w:rPr>
        <w:t>
      Мировая практика показывает, что наиболее оптимальным инструментом для этого является технологическое бизнес-инкубирование.</w:t>
      </w:r>
    </w:p>
    <w:bookmarkEnd w:id="362"/>
    <w:bookmarkStart w:name="z447" w:id="363"/>
    <w:p>
      <w:pPr>
        <w:spacing w:after="0"/>
        <w:ind w:left="0"/>
        <w:jc w:val="both"/>
      </w:pPr>
      <w:r>
        <w:rPr>
          <w:rFonts w:ascii="Times New Roman"/>
          <w:b w:val="false"/>
          <w:i w:val="false"/>
          <w:color w:val="000000"/>
          <w:sz w:val="28"/>
        </w:rPr>
        <w:t xml:space="preserve">
      В связи с этим в рамках направления по развитию системы коммерциализации технологий в части развития инфраструктуры будут разработаны и внедрены финансовые механизмы стимулирования создания в Казахстане частных технологических бизнес-инкубаторов (субсидии, аккредитация, участие в инкубируемых проектах), целью которых станет поиск, отбор, разработка стратегии коммерциализации, финансовая и сервисная поддержка и продвижение коммерчески привлекательных инновационных проектов. </w:t>
      </w:r>
    </w:p>
    <w:bookmarkEnd w:id="363"/>
    <w:bookmarkStart w:name="z448" w:id="364"/>
    <w:p>
      <w:pPr>
        <w:spacing w:after="0"/>
        <w:ind w:left="0"/>
        <w:jc w:val="both"/>
      </w:pPr>
      <w:r>
        <w:rPr>
          <w:rFonts w:ascii="Times New Roman"/>
          <w:b w:val="false"/>
          <w:i w:val="false"/>
          <w:color w:val="000000"/>
          <w:sz w:val="28"/>
        </w:rPr>
        <w:t>
      В части поддержки и коммерциализации проектов будет внедрен финансовый инструмент, обязательным условием которого будет финансовое и нефинансовое участие в продвижении проектов аккредитованных технологических инкубаторов.</w:t>
      </w:r>
    </w:p>
    <w:bookmarkEnd w:id="364"/>
    <w:bookmarkStart w:name="z449" w:id="365"/>
    <w:p>
      <w:pPr>
        <w:spacing w:after="0"/>
        <w:ind w:left="0"/>
        <w:jc w:val="both"/>
      </w:pPr>
      <w:r>
        <w:rPr>
          <w:rFonts w:ascii="Times New Roman"/>
          <w:b w:val="false"/>
          <w:i w:val="false"/>
          <w:color w:val="000000"/>
          <w:sz w:val="28"/>
        </w:rPr>
        <w:t>
      Такой механизм позволит обеспечить принцип отхода государства от непосредственной работы с инновационными проектами и стартапами, т.е. бизнес-деятельности, в пользу развития необходимой для них экосистемы.</w:t>
      </w:r>
    </w:p>
    <w:bookmarkEnd w:id="365"/>
    <w:bookmarkStart w:name="z450" w:id="366"/>
    <w:p>
      <w:pPr>
        <w:spacing w:after="0"/>
        <w:ind w:left="0"/>
        <w:jc w:val="both"/>
      </w:pPr>
      <w:r>
        <w:rPr>
          <w:rFonts w:ascii="Times New Roman"/>
          <w:b w:val="false"/>
          <w:i w:val="false"/>
          <w:color w:val="000000"/>
          <w:sz w:val="28"/>
        </w:rPr>
        <w:t>
      Учитывая неразвитость рынка венчурного инвестирования в Казахстане, роль венчурного инвестора и финансовые риски реализации инновационных проектов должно взять на себя государство. Для этого существующие условия, подходы и механизмы участия в инновационных проектах (проектное и венчурное финансирование) будут пересмотрены. Так, рисковые инвестиции будут вкладываться в уже действующие, наиболее перспективные инновационные проекты на этапе их масштабирования на рынке.</w:t>
      </w:r>
    </w:p>
    <w:bookmarkEnd w:id="366"/>
    <w:bookmarkStart w:name="z451" w:id="367"/>
    <w:p>
      <w:pPr>
        <w:spacing w:after="0"/>
        <w:ind w:left="0"/>
        <w:jc w:val="both"/>
      </w:pPr>
      <w:r>
        <w:rPr>
          <w:rFonts w:ascii="Times New Roman"/>
          <w:b w:val="false"/>
          <w:i w:val="false"/>
          <w:color w:val="000000"/>
          <w:sz w:val="28"/>
        </w:rPr>
        <w:t>
      Кроме того, для целей трансферта и коммерциализации технологий будут совершенствоваться процедуры предоставления инновационных грантов, оператором которых в соответствии с Предпринимательским кодексом определен НАТР. Это коснется, в том числе, сокращения времени рассмотрения заявок, оптимизации процедур экспертизы инновационных проектов, упрощения и автоматизации процедур выдачи инновационных грантов и мониторинга их освоения.</w:t>
      </w:r>
    </w:p>
    <w:bookmarkEnd w:id="367"/>
    <w:bookmarkStart w:name="z452" w:id="368"/>
    <w:p>
      <w:pPr>
        <w:spacing w:after="0"/>
        <w:ind w:left="0"/>
        <w:jc w:val="both"/>
      </w:pPr>
      <w:r>
        <w:rPr>
          <w:rFonts w:ascii="Times New Roman"/>
          <w:b w:val="false"/>
          <w:i w:val="false"/>
          <w:color w:val="000000"/>
          <w:sz w:val="28"/>
        </w:rPr>
        <w:t>
      Успешная реализация направлений деятельности по трансферту и коммерциализации технологий зависит от компетентности всех участников процесса, поскольку одним из факторов, сдерживающих развитие технологического развития, является слабая компетентность субъектов инновационной экосистемы, низкая заинтересованность производителей в модернизации и совершенствовании собственного производства либо недостаточная осведомленность и ограниченный доступ к информации о передовых технологиях и методах их применения.</w:t>
      </w:r>
    </w:p>
    <w:bookmarkEnd w:id="368"/>
    <w:bookmarkStart w:name="z453" w:id="369"/>
    <w:p>
      <w:pPr>
        <w:spacing w:after="0"/>
        <w:ind w:left="0"/>
        <w:jc w:val="both"/>
      </w:pPr>
      <w:r>
        <w:rPr>
          <w:rFonts w:ascii="Times New Roman"/>
          <w:b w:val="false"/>
          <w:i w:val="false"/>
          <w:color w:val="000000"/>
          <w:sz w:val="28"/>
        </w:rPr>
        <w:t>
      Для активизации вовлеченности всех субъектов будет усилена работа по распространению знаний о передовых технологиях и эффективных решениях в отраслях с охватом следующей целевой аудитории: студенты, стартапы, традиционные МСБ, инженерно-технический состав, отраслевые ассоциации, институты.</w:t>
      </w:r>
    </w:p>
    <w:bookmarkEnd w:id="369"/>
    <w:bookmarkStart w:name="z454" w:id="370"/>
    <w:p>
      <w:pPr>
        <w:spacing w:after="0"/>
        <w:ind w:left="0"/>
        <w:jc w:val="both"/>
      </w:pPr>
      <w:r>
        <w:rPr>
          <w:rFonts w:ascii="Times New Roman"/>
          <w:b w:val="false"/>
          <w:i w:val="false"/>
          <w:color w:val="000000"/>
          <w:sz w:val="28"/>
        </w:rPr>
        <w:t>
      По результатам проведенной работы будут организованы брокерские события (специализированные отраслевые выставки), на которых будут представлены передовые технологии, а также организованы тренинги по трансферту технологий, семинары по инструментам государственной поддержки инновационной деятельности.</w:t>
      </w:r>
    </w:p>
    <w:bookmarkEnd w:id="370"/>
    <w:bookmarkStart w:name="z455" w:id="371"/>
    <w:p>
      <w:pPr>
        <w:spacing w:after="0"/>
        <w:ind w:left="0"/>
        <w:jc w:val="both"/>
      </w:pPr>
      <w:r>
        <w:rPr>
          <w:rFonts w:ascii="Times New Roman"/>
          <w:b w:val="false"/>
          <w:i w:val="false"/>
          <w:color w:val="000000"/>
          <w:sz w:val="28"/>
        </w:rPr>
        <w:t>
      Наряду с этим будет проводиться работа по распространению знаний в отраслях, в том числе обучению пользования последними достижениями техники и технологий, что призвано стимулировать технологическое предпринимательство.</w:t>
      </w:r>
    </w:p>
    <w:bookmarkEnd w:id="371"/>
    <w:p>
      <w:pPr>
        <w:spacing w:after="0"/>
        <w:ind w:left="0"/>
        <w:jc w:val="both"/>
      </w:pPr>
      <w:r>
        <w:rPr>
          <w:rFonts w:ascii="Times New Roman"/>
          <w:b/>
          <w:i w:val="false"/>
          <w:color w:val="000000"/>
          <w:sz w:val="28"/>
        </w:rPr>
        <w:t>4.6 Стратегические цели и задачи в рамках пяти направлений развития</w:t>
      </w:r>
    </w:p>
    <w:p>
      <w:pPr>
        <w:spacing w:after="0"/>
        <w:ind w:left="0"/>
        <w:jc w:val="both"/>
      </w:pPr>
      <w:r>
        <w:rPr>
          <w:rFonts w:ascii="Times New Roman"/>
          <w:b/>
          <w:i w:val="false"/>
          <w:color w:val="000000"/>
          <w:sz w:val="28"/>
        </w:rPr>
        <w:t>4.6.1 Увеличение доли негосударственных источников финансирования</w:t>
      </w:r>
    </w:p>
    <w:bookmarkStart w:name="z458" w:id="372"/>
    <w:p>
      <w:pPr>
        <w:spacing w:after="0"/>
        <w:ind w:left="0"/>
        <w:jc w:val="both"/>
      </w:pPr>
      <w:r>
        <w:rPr>
          <w:rFonts w:ascii="Times New Roman"/>
          <w:b w:val="false"/>
          <w:i w:val="false"/>
          <w:color w:val="000000"/>
          <w:sz w:val="28"/>
        </w:rPr>
        <w:t>
      В последние годы государство (включая субъекты квазигосударственного сектора) осуществляло порядка 50 % всех инвестиций в основной капитал экономики страны (см. рисунок 30 ниже). Ожидается, что инвестиции со стороны государства останутся важным фактором в развитии экономики на ближайшие годы, а АО "НУХ "Байтерек" продолжит играть ключевую роль оператора по направлению средств в развитие экономики страны.</w:t>
      </w:r>
    </w:p>
    <w:bookmarkEnd w:id="372"/>
    <w:bookmarkStart w:name="z459" w:id="373"/>
    <w:p>
      <w:pPr>
        <w:spacing w:after="0"/>
        <w:ind w:left="0"/>
        <w:jc w:val="both"/>
      </w:pPr>
      <w:r>
        <w:rPr>
          <w:rFonts w:ascii="Times New Roman"/>
          <w:b w:val="false"/>
          <w:i w:val="false"/>
          <w:color w:val="000000"/>
          <w:sz w:val="28"/>
        </w:rPr>
        <w:t xml:space="preserve">
      </w:t>
      </w:r>
    </w:p>
    <w:bookmarkEnd w:id="373"/>
    <w:p>
      <w:pPr>
        <w:spacing w:after="0"/>
        <w:ind w:left="0"/>
        <w:jc w:val="both"/>
      </w:pPr>
      <w:r>
        <w:drawing>
          <wp:inline distT="0" distB="0" distL="0" distR="0">
            <wp:extent cx="78105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374"/>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30</w:t>
      </w:r>
      <w:r>
        <w:rPr>
          <w:rFonts w:ascii="Times New Roman"/>
          <w:b w:val="false"/>
          <w:i w:val="false"/>
          <w:color w:val="000000"/>
          <w:sz w:val="28"/>
        </w:rPr>
        <w:t>. Динамика объема инвестиций в основной капитал в несырьевых секторах экономики Казахстана за 2011 - 2015 годы.</w:t>
      </w:r>
    </w:p>
    <w:bookmarkEnd w:id="374"/>
    <w:bookmarkStart w:name="z461" w:id="375"/>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Комитет по статистике МНЭ РК; финансовые отчетности АО "НУХ "Байтерек", АО "ФНБ "Самрук-Казына" и АО "НУХ "КазАгро"</w:t>
      </w:r>
    </w:p>
    <w:bookmarkEnd w:id="375"/>
    <w:bookmarkStart w:name="z462" w:id="376"/>
    <w:p>
      <w:pPr>
        <w:spacing w:after="0"/>
        <w:ind w:left="0"/>
        <w:jc w:val="both"/>
      </w:pPr>
      <w:r>
        <w:rPr>
          <w:rFonts w:ascii="Times New Roman"/>
          <w:b w:val="false"/>
          <w:i w:val="false"/>
          <w:color w:val="000000"/>
          <w:sz w:val="28"/>
        </w:rPr>
        <w:t>
      В этой связи на период 2017 - 2018 годы в рамках реализации государственных программ АО "НУХ "Байтерек" определена потребность в финансировании в размере более 900 млрд. тенге, из которых более 35 % планируется привлечь из средств республиканского бюджета и бюджетов местных исполнительных органов.</w:t>
      </w:r>
    </w:p>
    <w:bookmarkEnd w:id="376"/>
    <w:bookmarkStart w:name="z463" w:id="377"/>
    <w:p>
      <w:pPr>
        <w:spacing w:after="0"/>
        <w:ind w:left="0"/>
        <w:jc w:val="both"/>
      </w:pPr>
      <w:r>
        <w:rPr>
          <w:rFonts w:ascii="Times New Roman"/>
          <w:b w:val="false"/>
          <w:i w:val="false"/>
          <w:color w:val="000000"/>
          <w:sz w:val="28"/>
        </w:rPr>
        <w:t>
      В связи с ограниченным доступом к государственным источникам финансирования АО "НУХ "Байтерек" необходимо рассматривать альтернативные источники финансирования в целях замещения части государственных средств. Привлечение большего объема внешних средств позволит снизить долю привлечения заимствования со стороны государства, которая на конец 2016 года составила около 40 % от базы заимствования.</w:t>
      </w:r>
    </w:p>
    <w:bookmarkEnd w:id="377"/>
    <w:bookmarkStart w:name="z464" w:id="378"/>
    <w:p>
      <w:pPr>
        <w:spacing w:after="0"/>
        <w:ind w:left="0"/>
        <w:jc w:val="both"/>
      </w:pPr>
      <w:r>
        <w:rPr>
          <w:rFonts w:ascii="Times New Roman"/>
          <w:b w:val="false"/>
          <w:i w:val="false"/>
          <w:color w:val="000000"/>
          <w:sz w:val="28"/>
        </w:rPr>
        <w:t>
      При этом объем и условия заимствования АО "НУХ "Байтерек" должны быть согласованы с центральными уполномоченными органами по государственному планированию и исполнению бюджета.</w:t>
      </w:r>
    </w:p>
    <w:bookmarkEnd w:id="378"/>
    <w:bookmarkStart w:name="z465" w:id="379"/>
    <w:p>
      <w:pPr>
        <w:spacing w:after="0"/>
        <w:ind w:left="0"/>
        <w:jc w:val="both"/>
      </w:pPr>
      <w:r>
        <w:rPr>
          <w:rFonts w:ascii="Times New Roman"/>
          <w:b w:val="false"/>
          <w:i w:val="false"/>
          <w:color w:val="000000"/>
          <w:sz w:val="28"/>
        </w:rPr>
        <w:t>
      АО "НУХ "Байтерек" следует рассматривать потенциал по наращиванию объемов внешнего заимствования, исходя из уровня существующей долговой нагрузки. Наиболее распространенным индикатором оценки потенциала по привлечению внешнего заимствования является коэффициент Долг/Капитал. Данное соотношение на уровне АО "НУХ "Байтерек" по состоянию на конец 2016 года составляет 3,4. Сравнительный анализ (см. рисунок 31 ниже) указывает, что коэффициент Долг/Капитал в АО "НУХ "Байтерек" в 2015 году имеет одно из самых низких значений по сравнению с другими институтами развития. Стоит также отметить, что все институты развития, выбранные в рамках сравнительного анализа, имели кредитный рейтинг на уровне суверенного, независимо от уровня соотношения Долг/Капитал. В результате, исходя из сравнительного анализа долговой нагрузки следует, что текущая структура капитала АО "НУХ "Байтерек" имеет потенциал к дальнейшему наращиванию долговой нагрузки.</w:t>
      </w:r>
    </w:p>
    <w:bookmarkEnd w:id="379"/>
    <w:bookmarkStart w:name="z466"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1501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1501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7" w:id="38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31</w:t>
      </w:r>
      <w:r>
        <w:rPr>
          <w:rFonts w:ascii="Times New Roman"/>
          <w:b w:val="false"/>
          <w:i w:val="false"/>
          <w:color w:val="000000"/>
          <w:sz w:val="28"/>
        </w:rPr>
        <w:t>. Сравнительный анализ структуры фондирования, долговой нагрузки и кредитных рейтингов институтов развития.</w:t>
      </w:r>
    </w:p>
    <w:bookmarkEnd w:id="381"/>
    <w:bookmarkStart w:name="z468" w:id="382"/>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годовые отчеты, Всемирный Банк; годовые отчеты; Bloomberg</w:t>
      </w:r>
    </w:p>
    <w:bookmarkEnd w:id="382"/>
    <w:bookmarkStart w:name="z470" w:id="383"/>
    <w:p>
      <w:pPr>
        <w:spacing w:after="0"/>
        <w:ind w:left="0"/>
        <w:jc w:val="both"/>
      </w:pPr>
      <w:r>
        <w:rPr>
          <w:rFonts w:ascii="Times New Roman"/>
          <w:b w:val="false"/>
          <w:i w:val="false"/>
          <w:color w:val="000000"/>
          <w:sz w:val="28"/>
        </w:rPr>
        <w:t>
      Учитывая наличие потенциала по дальнейшему наращиванию долговой нагрузки, АО "НУХ "Байтерек" следует рассмотреть нижеследующие варианты:</w:t>
      </w:r>
    </w:p>
    <w:bookmarkEnd w:id="383"/>
    <w:p>
      <w:pPr>
        <w:spacing w:after="0"/>
        <w:ind w:left="0"/>
        <w:jc w:val="both"/>
      </w:pPr>
      <w:r>
        <w:rPr>
          <w:rFonts w:ascii="Times New Roman"/>
          <w:b/>
          <w:i w:val="false"/>
          <w:color w:val="000000"/>
          <w:sz w:val="28"/>
        </w:rPr>
        <w:t>Привлечение в иностранной валюте</w:t>
      </w:r>
    </w:p>
    <w:bookmarkStart w:name="z472" w:id="384"/>
    <w:p>
      <w:pPr>
        <w:spacing w:after="0"/>
        <w:ind w:left="0"/>
        <w:jc w:val="both"/>
      </w:pPr>
      <w:r>
        <w:rPr>
          <w:rFonts w:ascii="Times New Roman"/>
          <w:b w:val="false"/>
          <w:i w:val="false"/>
          <w:color w:val="000000"/>
          <w:sz w:val="28"/>
        </w:rPr>
        <w:t>
      Анализ облигационных эмиссий институтов развития за 2011 - 2016 годы показывает, что привлечение заимствования на международных рынках капитала практически подразумевает деноминацию в долларах США или евро (см. рисунок 32 ниже).</w:t>
      </w:r>
    </w:p>
    <w:bookmarkEnd w:id="384"/>
    <w:bookmarkStart w:name="z473" w:id="385"/>
    <w:p>
      <w:pPr>
        <w:spacing w:after="0"/>
        <w:ind w:left="0"/>
        <w:jc w:val="both"/>
      </w:pPr>
      <w:r>
        <w:rPr>
          <w:rFonts w:ascii="Times New Roman"/>
          <w:b w:val="false"/>
          <w:i w:val="false"/>
          <w:color w:val="000000"/>
          <w:sz w:val="28"/>
        </w:rPr>
        <w:t xml:space="preserve">
      </w:t>
      </w:r>
    </w:p>
    <w:bookmarkEnd w:id="385"/>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4" w:id="386"/>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32</w:t>
      </w:r>
      <w:r>
        <w:rPr>
          <w:rFonts w:ascii="Times New Roman"/>
          <w:b w:val="false"/>
          <w:i w:val="false"/>
          <w:color w:val="000000"/>
          <w:sz w:val="28"/>
        </w:rPr>
        <w:t>. Объем выпуска облигаций институтами развития за период с 2011 по 2016 годы, млрд. долларов США</w:t>
      </w:r>
    </w:p>
    <w:bookmarkEnd w:id="386"/>
    <w:bookmarkStart w:name="z475" w:id="387"/>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Bloomberg</w:t>
      </w:r>
    </w:p>
    <w:bookmarkEnd w:id="387"/>
    <w:bookmarkStart w:name="z476" w:id="388"/>
    <w:p>
      <w:pPr>
        <w:spacing w:after="0"/>
        <w:ind w:left="0"/>
        <w:jc w:val="both"/>
      </w:pPr>
      <w:r>
        <w:rPr>
          <w:rFonts w:ascii="Times New Roman"/>
          <w:b w:val="false"/>
          <w:i w:val="false"/>
          <w:color w:val="000000"/>
          <w:sz w:val="28"/>
        </w:rPr>
        <w:t xml:space="preserve">
      При этом международная практика институтов развития предполагает в значительной степени отражение структуры обязательств по валютам в кредитном портфеле, то есть валютные риски транслируются на конечных заемщиков (см. рисунок 33 ниже). Таким образом, валютные привлечения должны быть обеспечены денежными потоками конечного заемщика в аналогичной валюте в целях минимизации валютных рисков и связанных с ними кредитных рисков заемщиков. </w:t>
      </w:r>
    </w:p>
    <w:bookmarkEnd w:id="388"/>
    <w:bookmarkStart w:name="z477" w:id="389"/>
    <w:p>
      <w:pPr>
        <w:spacing w:after="0"/>
        <w:ind w:left="0"/>
        <w:jc w:val="both"/>
      </w:pPr>
      <w:r>
        <w:rPr>
          <w:rFonts w:ascii="Times New Roman"/>
          <w:b w:val="false"/>
          <w:i w:val="false"/>
          <w:color w:val="000000"/>
          <w:sz w:val="28"/>
        </w:rPr>
        <w:t xml:space="preserve">
      </w:t>
      </w:r>
    </w:p>
    <w:bookmarkEnd w:id="389"/>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 w:id="390"/>
    <w:p>
      <w:pPr>
        <w:spacing w:after="0"/>
        <w:ind w:left="0"/>
        <w:jc w:val="both"/>
      </w:pPr>
      <w:r>
        <w:rPr>
          <w:rFonts w:ascii="Times New Roman"/>
          <w:b w:val="false"/>
          <w:i w:val="false"/>
          <w:color w:val="000000"/>
          <w:sz w:val="28"/>
        </w:rPr>
        <w:t xml:space="preserve">
      </w:t>
      </w:r>
      <w:r>
        <w:rPr>
          <w:rFonts w:ascii="Times New Roman"/>
          <w:b w:val="false"/>
          <w:i/>
          <w:color w:val="000000"/>
          <w:sz w:val="28"/>
        </w:rPr>
        <w:t>* Формула расчета: (обменный курс 2016 г.</w:t>
      </w:r>
      <w:r>
        <w:rPr>
          <w:rFonts w:ascii="Times New Roman"/>
          <w:b w:val="false"/>
          <w:i/>
          <w:color w:val="000000"/>
          <w:sz w:val="28"/>
        </w:rPr>
        <w:t>-</w:t>
      </w:r>
      <w:r>
        <w:rPr>
          <w:rFonts w:ascii="Times New Roman"/>
          <w:b w:val="false"/>
          <w:i/>
          <w:color w:val="000000"/>
          <w:sz w:val="28"/>
        </w:rPr>
        <w:t xml:space="preserve"> обменный курс 2006 г.) / обменный курс 2006 г.</w:t>
      </w:r>
    </w:p>
    <w:bookmarkEnd w:id="390"/>
    <w:bookmarkStart w:name="z479" w:id="39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33</w:t>
      </w:r>
      <w:r>
        <w:rPr>
          <w:rFonts w:ascii="Times New Roman"/>
          <w:b w:val="false"/>
          <w:i w:val="false"/>
          <w:color w:val="000000"/>
          <w:sz w:val="28"/>
        </w:rPr>
        <w:t>. Сравнительный анализ кредитного портфеля и обязательств институтов развития из стран со значительным изменением курса валюты.</w:t>
      </w:r>
    </w:p>
    <w:bookmarkEnd w:id="391"/>
    <w:bookmarkStart w:name="z480" w:id="392"/>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финансовая отчетность и годовые отчеты институтов развития</w:t>
      </w:r>
    </w:p>
    <w:bookmarkEnd w:id="392"/>
    <w:bookmarkStart w:name="z481" w:id="393"/>
    <w:p>
      <w:pPr>
        <w:spacing w:after="0"/>
        <w:ind w:left="0"/>
        <w:jc w:val="both"/>
      </w:pPr>
      <w:r>
        <w:rPr>
          <w:rFonts w:ascii="Times New Roman"/>
          <w:b w:val="false"/>
          <w:i w:val="false"/>
          <w:color w:val="000000"/>
          <w:sz w:val="28"/>
        </w:rPr>
        <w:t>
      АО "НУХ "Байтерек" будет учитывать долю экспортоориентированных проектов в портфеле проектов, планируемых к финансированию, при привлечении внешнего заимствования на международных рынках капитала.</w:t>
      </w:r>
    </w:p>
    <w:bookmarkEnd w:id="393"/>
    <w:p>
      <w:pPr>
        <w:spacing w:after="0"/>
        <w:ind w:left="0"/>
        <w:jc w:val="both"/>
      </w:pPr>
      <w:r>
        <w:rPr>
          <w:rFonts w:ascii="Times New Roman"/>
          <w:b/>
          <w:i w:val="false"/>
          <w:color w:val="000000"/>
          <w:sz w:val="28"/>
        </w:rPr>
        <w:t>Увеличение объема привлечений из акционерного общества "Единый накопительный пенсионный фонд" (далее - ЕНПФ) на взаимовыгодных условиях</w:t>
      </w:r>
    </w:p>
    <w:bookmarkStart w:name="z483" w:id="394"/>
    <w:p>
      <w:pPr>
        <w:spacing w:after="0"/>
        <w:ind w:left="0"/>
        <w:jc w:val="both"/>
      </w:pPr>
      <w:r>
        <w:rPr>
          <w:rFonts w:ascii="Times New Roman"/>
          <w:b w:val="false"/>
          <w:i w:val="false"/>
          <w:color w:val="000000"/>
          <w:sz w:val="28"/>
        </w:rPr>
        <w:t>
      С учетом ограничений по привлечению заимствования на международных рынках капитала, связанных с валютными рисками, АО "НУХ "Байтерек" следует более детально рассмотреть потенциал привлечения заимствования в местной валюте. Одним из наиболее крупных негосударственных источников заимствования в местной валюте является ЕНПФ.</w:t>
      </w:r>
    </w:p>
    <w:bookmarkEnd w:id="394"/>
    <w:bookmarkStart w:name="z484" w:id="395"/>
    <w:p>
      <w:pPr>
        <w:spacing w:after="0"/>
        <w:ind w:left="0"/>
        <w:jc w:val="both"/>
      </w:pPr>
      <w:r>
        <w:rPr>
          <w:rFonts w:ascii="Times New Roman"/>
          <w:b w:val="false"/>
          <w:i w:val="false"/>
          <w:color w:val="000000"/>
          <w:sz w:val="28"/>
        </w:rPr>
        <w:t xml:space="preserve">
      Ежегодные нетто поступления (вклады за вычетом выплат) в систему ЕНПФ составляют порядка 400 - 550 млрд. тенге (см. рисунок 34 ниже). Поступления распределяются по инвестиционным инструментам, которые на 40 % представлены корпоративными облигациями казахстанских эмитентов. АО "НУХ "Байтерек" имеет один из наиболее высоких кредитных рейтингов среди корпоративных эмитентов, что снижает премию за риск и повышает привлекательность ценных бумаг при условии предоставления конкурентной процентной ставки. </w:t>
      </w:r>
    </w:p>
    <w:bookmarkEnd w:id="395"/>
    <w:bookmarkStart w:name="z485"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 w:id="397"/>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34</w:t>
      </w:r>
      <w:r>
        <w:rPr>
          <w:rFonts w:ascii="Times New Roman"/>
          <w:b w:val="false"/>
          <w:i w:val="false"/>
          <w:color w:val="000000"/>
          <w:sz w:val="28"/>
        </w:rPr>
        <w:t>. Динамика роста и структура портфеля ЕНПФ за 2011 - 2016 годы.</w:t>
      </w:r>
    </w:p>
    <w:bookmarkEnd w:id="397"/>
    <w:bookmarkStart w:name="z487" w:id="398"/>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Национальный Банк РК; ЕНПФ</w:t>
      </w:r>
    </w:p>
    <w:bookmarkEnd w:id="398"/>
    <w:bookmarkStart w:name="z488" w:id="399"/>
    <w:p>
      <w:pPr>
        <w:spacing w:after="0"/>
        <w:ind w:left="0"/>
        <w:jc w:val="both"/>
      </w:pPr>
      <w:r>
        <w:rPr>
          <w:rFonts w:ascii="Times New Roman"/>
          <w:b w:val="false"/>
          <w:i w:val="false"/>
          <w:color w:val="000000"/>
          <w:sz w:val="28"/>
        </w:rPr>
        <w:t>
      Несмотря на то, что в течение 2016 года (учитывая ограниченность тенговой ликвидности) ЕНПФ стремился размещать денежные ресурсы по 15 % годовых, минимальным приемлемым уровнем вознаграждения для ЕНПФ является "уровень номинальной инфляции плюс спред" с учетом того, что за последние 4 года норма доходности по портфелю ЕНПФ была ниже уровня номинальной инфляции. Внедрение механизма плавающей купонной ставки в формате "номинальная инфляция + спред</w:t>
      </w:r>
      <w:r>
        <w:rPr>
          <w:rFonts w:ascii="Times New Roman"/>
          <w:b w:val="false"/>
          <w:i w:val="false"/>
          <w:color w:val="000000"/>
          <w:vertAlign w:val="superscript"/>
        </w:rPr>
        <w:t>24</w:t>
      </w:r>
      <w:r>
        <w:rPr>
          <w:rFonts w:ascii="Times New Roman"/>
          <w:b w:val="false"/>
          <w:i w:val="false"/>
          <w:color w:val="000000"/>
          <w:sz w:val="28"/>
        </w:rPr>
        <w:t>" должно быть рассмотрено как один из вариантов взаимовыгодных условий сотрудничества ЕНПФ и АО "НУХ "Байтерек". Данный вариант является взаимовыгодным, так как превысит минимальный необходимый уровень доходности для ЕНПФ, а АО "НУХ "Байтерек" сможет привлечь долгосрочное финансирование на низких процентных ставках относительно текущего рынка с учетом того, что Национальный Банк Республики Казахстан и Правительство Республики Казахстан держат курс на таргетирование номинальной инфляции на уровне 6-8 % на 2016 - 2018 годы и 3-4 % на 2019 - 2020 годы (см. рисунок 35 ниже).</w:t>
      </w:r>
    </w:p>
    <w:bookmarkEnd w:id="399"/>
    <w:bookmarkStart w:name="z489" w:id="400"/>
    <w:p>
      <w:pPr>
        <w:spacing w:after="0"/>
        <w:ind w:left="0"/>
        <w:jc w:val="both"/>
      </w:pPr>
      <w:r>
        <w:rPr>
          <w:rFonts w:ascii="Times New Roman"/>
          <w:b w:val="false"/>
          <w:i w:val="false"/>
          <w:color w:val="000000"/>
          <w:sz w:val="28"/>
        </w:rPr>
        <w:t xml:space="preserve">
      </w:t>
      </w:r>
    </w:p>
    <w:bookmarkEnd w:id="400"/>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01"/>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35</w:t>
      </w:r>
      <w:r>
        <w:rPr>
          <w:rFonts w:ascii="Times New Roman"/>
          <w:b w:val="false"/>
          <w:i w:val="false"/>
          <w:color w:val="000000"/>
          <w:sz w:val="28"/>
        </w:rPr>
        <w:t>. Историческая и прогнозная динамика инфляции и нормы доходности ЕНПФ</w:t>
      </w:r>
    </w:p>
    <w:bookmarkEnd w:id="401"/>
    <w:bookmarkStart w:name="z491" w:id="402"/>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МВФ; Национальный Банк РК</w:t>
      </w:r>
    </w:p>
    <w:bookmarkEnd w:id="402"/>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w:t>
      </w:r>
    </w:p>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24</w:t>
      </w:r>
      <w:r>
        <w:rPr>
          <w:rFonts w:ascii="Times New Roman"/>
          <w:b w:val="false"/>
          <w:i w:val="false"/>
          <w:color w:val="000000"/>
          <w:sz w:val="28"/>
        </w:rPr>
        <w:t xml:space="preserve"> Спред должен формироваться с учетом операционных расходов и премии за риск, обозначенных для ЕНПФ. В международной практике данный показатель не превышает 1.5 % от активов под управлением. </w:t>
      </w:r>
    </w:p>
    <w:p>
      <w:pPr>
        <w:spacing w:after="0"/>
        <w:ind w:left="0"/>
        <w:jc w:val="both"/>
      </w:pPr>
      <w:r>
        <w:rPr>
          <w:rFonts w:ascii="Times New Roman"/>
          <w:b/>
          <w:i w:val="false"/>
          <w:color w:val="000000"/>
          <w:sz w:val="28"/>
        </w:rPr>
        <w:t>Рассмотрение потенциала привлечений на зарубежных рынках без увеличения (валютных) рисков</w:t>
      </w:r>
    </w:p>
    <w:bookmarkStart w:name="z493" w:id="403"/>
    <w:p>
      <w:pPr>
        <w:spacing w:after="0"/>
        <w:ind w:left="0"/>
        <w:jc w:val="both"/>
      </w:pPr>
      <w:r>
        <w:rPr>
          <w:rFonts w:ascii="Times New Roman"/>
          <w:b w:val="false"/>
          <w:i w:val="false"/>
          <w:color w:val="000000"/>
          <w:sz w:val="28"/>
        </w:rPr>
        <w:t xml:space="preserve">
      Третьим источником привлечения внешнего заимствования могут являться рынки капитала за пределами Казахстана, которые не подразумевают увеличения валютного риска при выдаче средств конечному заемщику в местной валюте (то есть валютные курсы стран последовательны по отношению к изменениям в макроэкономической среде). На рисунке 36 показано, что российский рубль может рассматриваться одной из валют, имеющих обозначенную характеристику. </w:t>
      </w:r>
    </w:p>
    <w:bookmarkEnd w:id="403"/>
    <w:bookmarkStart w:name="z494" w:id="404"/>
    <w:p>
      <w:pPr>
        <w:spacing w:after="0"/>
        <w:ind w:left="0"/>
        <w:jc w:val="both"/>
      </w:pPr>
      <w:r>
        <w:rPr>
          <w:rFonts w:ascii="Times New Roman"/>
          <w:b w:val="false"/>
          <w:i w:val="false"/>
          <w:color w:val="000000"/>
          <w:sz w:val="28"/>
        </w:rPr>
        <w:t xml:space="preserve">
      </w:t>
      </w:r>
    </w:p>
    <w:bookmarkEnd w:id="404"/>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05"/>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36</w:t>
      </w:r>
      <w:r>
        <w:rPr>
          <w:rFonts w:ascii="Times New Roman"/>
          <w:b w:val="false"/>
          <w:i w:val="false"/>
          <w:color w:val="000000"/>
          <w:sz w:val="28"/>
        </w:rPr>
        <w:t>. Динамика валютной пары тенге - российский рубль с начала 2014 года</w:t>
      </w:r>
    </w:p>
    <w:bookmarkEnd w:id="405"/>
    <w:bookmarkStart w:name="z496" w:id="406"/>
    <w:p>
      <w:pPr>
        <w:spacing w:after="0"/>
        <w:ind w:left="0"/>
        <w:jc w:val="both"/>
      </w:pPr>
      <w:r>
        <w:rPr>
          <w:rFonts w:ascii="Times New Roman"/>
          <w:b w:val="false"/>
          <w:i w:val="false"/>
          <w:color w:val="000000"/>
          <w:sz w:val="28"/>
        </w:rPr>
        <w:t xml:space="preserve">
      </w:t>
      </w:r>
      <w:r>
        <w:rPr>
          <w:rFonts w:ascii="Times New Roman"/>
          <w:b w:val="false"/>
          <w:i/>
          <w:color w:val="000000"/>
          <w:sz w:val="28"/>
        </w:rPr>
        <w:t>Источник: Национальный Банк РК; Центральный Банк РФ</w:t>
      </w:r>
    </w:p>
    <w:bookmarkEnd w:id="406"/>
    <w:bookmarkStart w:name="z497" w:id="407"/>
    <w:p>
      <w:pPr>
        <w:spacing w:after="0"/>
        <w:ind w:left="0"/>
        <w:jc w:val="both"/>
      </w:pPr>
      <w:r>
        <w:rPr>
          <w:rFonts w:ascii="Times New Roman"/>
          <w:b w:val="false"/>
          <w:i w:val="false"/>
          <w:color w:val="000000"/>
          <w:sz w:val="28"/>
        </w:rPr>
        <w:t>
      Важными факторами последовательности валютных колебаний обеих стран являются схожесть структуры экономики (Россия и Казахстан имеют схожую структуру экономики, в значительной степени зависящую от цен на сырьевые ресурсы) и функционирование Евразийского экономического союза (отсутствие ограничений на передвижение капитала и торговые операции между странами). Выход на российский рынок заимствования позволит существенно расширить потенциал привлечений.</w:t>
      </w:r>
    </w:p>
    <w:bookmarkEnd w:id="407"/>
    <w:bookmarkStart w:name="z498" w:id="408"/>
    <w:p>
      <w:pPr>
        <w:spacing w:after="0"/>
        <w:ind w:left="0"/>
        <w:jc w:val="both"/>
      </w:pPr>
      <w:r>
        <w:rPr>
          <w:rFonts w:ascii="Times New Roman"/>
          <w:b w:val="false"/>
          <w:i w:val="false"/>
          <w:color w:val="000000"/>
          <w:sz w:val="28"/>
        </w:rPr>
        <w:t xml:space="preserve">
      В результате реализации мер по снижению доли государственных средств в структуре портфеля заимствования доля негосударственных источников должна достигнуть по итогам 2023 года уровня 80 %/20 % (в 2016 году доля государственных заимствований в общей структуре заимствования АО "НУХ "Байтерек" составила 40 %). </w:t>
      </w:r>
    </w:p>
    <w:bookmarkEnd w:id="408"/>
    <w:p>
      <w:pPr>
        <w:spacing w:after="0"/>
        <w:ind w:left="0"/>
        <w:jc w:val="both"/>
      </w:pPr>
      <w:r>
        <w:rPr>
          <w:rFonts w:ascii="Times New Roman"/>
          <w:b/>
          <w:i w:val="false"/>
          <w:color w:val="000000"/>
          <w:sz w:val="28"/>
        </w:rPr>
        <w:t>4.6.2 Пересмотр портфеля функций ДО (критерии)</w:t>
      </w:r>
    </w:p>
    <w:bookmarkStart w:name="z500" w:id="409"/>
    <w:p>
      <w:pPr>
        <w:spacing w:after="0"/>
        <w:ind w:left="0"/>
        <w:jc w:val="both"/>
      </w:pPr>
      <w:r>
        <w:rPr>
          <w:rFonts w:ascii="Times New Roman"/>
          <w:b w:val="false"/>
          <w:i w:val="false"/>
          <w:color w:val="000000"/>
          <w:sz w:val="28"/>
        </w:rPr>
        <w:t>
      Для эффективного функционирования в пяти направлениях деятельности (поддержка предпринимательства в сегменте крупного бизнеса, поддержка предпринимательства в сегменте МСБ, повышение доступности жилья) АО "НУХ "Байтерек" будет работать над оптимизацией портфеля функций ДО и определением их дальнейшего развития в перспективе до 2023 году. При этом АО "НУХ "Байтерек" будет ориентироваться на следующие критерии при формировании целевого портфеля функций:</w:t>
      </w:r>
    </w:p>
    <w:bookmarkEnd w:id="409"/>
    <w:p>
      <w:pPr>
        <w:spacing w:after="0"/>
        <w:ind w:left="0"/>
        <w:jc w:val="both"/>
      </w:pPr>
      <w:r>
        <w:rPr>
          <w:rFonts w:ascii="Times New Roman"/>
          <w:b/>
          <w:i w:val="false"/>
          <w:color w:val="000000"/>
          <w:sz w:val="28"/>
        </w:rPr>
        <w:t>Отсутствие дублирования функций</w:t>
      </w:r>
    </w:p>
    <w:bookmarkStart w:name="z502" w:id="410"/>
    <w:p>
      <w:pPr>
        <w:spacing w:after="0"/>
        <w:ind w:left="0"/>
        <w:jc w:val="both"/>
      </w:pPr>
      <w:r>
        <w:rPr>
          <w:rFonts w:ascii="Times New Roman"/>
          <w:b w:val="false"/>
          <w:i w:val="false"/>
          <w:color w:val="000000"/>
          <w:sz w:val="28"/>
        </w:rPr>
        <w:t>
      Дублирование функций внутри АО "НУХ "Байтерек", а также с функциями других организаций приводит к неясности в отношении разделения ответственности за результаты деятельности между соответствующими организациями. В случаях, где функции дублируются, - АО "НУХ "Байтерек" будет централизовать функцию как исключительную компетенцию одной из ДО АО "НУХ "Байтерек", либо сократит ее в среднесрочной или долгосрочной перспективе в рамках централизации функции в других государственных органах.</w:t>
      </w:r>
    </w:p>
    <w:bookmarkEnd w:id="410"/>
    <w:p>
      <w:pPr>
        <w:spacing w:after="0"/>
        <w:ind w:left="0"/>
        <w:jc w:val="both"/>
      </w:pPr>
      <w:r>
        <w:rPr>
          <w:rFonts w:ascii="Times New Roman"/>
          <w:b/>
          <w:i w:val="false"/>
          <w:color w:val="000000"/>
          <w:sz w:val="28"/>
        </w:rPr>
        <w:t>Соответствие роли института развития</w:t>
      </w:r>
    </w:p>
    <w:bookmarkStart w:name="z504" w:id="411"/>
    <w:p>
      <w:pPr>
        <w:spacing w:after="0"/>
        <w:ind w:left="0"/>
        <w:jc w:val="both"/>
      </w:pPr>
      <w:r>
        <w:rPr>
          <w:rFonts w:ascii="Times New Roman"/>
          <w:b w:val="false"/>
          <w:i w:val="false"/>
          <w:color w:val="000000"/>
          <w:sz w:val="28"/>
        </w:rPr>
        <w:t>
      АО "НУХ "Байтерек" является финансовым оператором государственных и правительственных программ, при этом функции ДО АО "НУХ "Байтерек" должны соответствовать его роли и миссии.</w:t>
      </w:r>
    </w:p>
    <w:bookmarkEnd w:id="411"/>
    <w:p>
      <w:pPr>
        <w:spacing w:after="0"/>
        <w:ind w:left="0"/>
        <w:jc w:val="both"/>
      </w:pPr>
      <w:r>
        <w:rPr>
          <w:rFonts w:ascii="Times New Roman"/>
          <w:b/>
          <w:i w:val="false"/>
          <w:color w:val="000000"/>
          <w:sz w:val="28"/>
        </w:rPr>
        <w:t xml:space="preserve">Соответствие принципам "YellowPages" </w:t>
      </w:r>
    </w:p>
    <w:bookmarkStart w:name="z506" w:id="412"/>
    <w:p>
      <w:pPr>
        <w:spacing w:after="0"/>
        <w:ind w:left="0"/>
        <w:jc w:val="both"/>
      </w:pPr>
      <w:r>
        <w:rPr>
          <w:rFonts w:ascii="Times New Roman"/>
          <w:b w:val="false"/>
          <w:i w:val="false"/>
          <w:color w:val="000000"/>
          <w:sz w:val="28"/>
        </w:rPr>
        <w:t>
      Одной из приоритетных задач для Правительства Республики Казахстан является сокращение доли участия государства в экономике. В соответствии с данной задачей ДО АО "НУХ "Байтерек" не должны осуществлять функции, которые в достаточном объеме и уровне реализуются в частном секторе.</w:t>
      </w:r>
    </w:p>
    <w:bookmarkEnd w:id="412"/>
    <w:p>
      <w:pPr>
        <w:spacing w:after="0"/>
        <w:ind w:left="0"/>
        <w:jc w:val="both"/>
      </w:pPr>
      <w:r>
        <w:rPr>
          <w:rFonts w:ascii="Times New Roman"/>
          <w:b/>
          <w:i w:val="false"/>
          <w:color w:val="000000"/>
          <w:sz w:val="28"/>
        </w:rPr>
        <w:t>4.6.3 Децентрализация функций управления с корпоративного центра на советы директоров и правления ДО</w:t>
      </w:r>
    </w:p>
    <w:bookmarkStart w:name="z508" w:id="413"/>
    <w:p>
      <w:pPr>
        <w:spacing w:after="0"/>
        <w:ind w:left="0"/>
        <w:jc w:val="both"/>
      </w:pPr>
      <w:r>
        <w:rPr>
          <w:rFonts w:ascii="Times New Roman"/>
          <w:b w:val="false"/>
          <w:i w:val="false"/>
          <w:color w:val="000000"/>
          <w:sz w:val="28"/>
        </w:rPr>
        <w:t>
      В мировой практике существуют четыре основные модели работы корпоративного центра:</w:t>
      </w:r>
    </w:p>
    <w:bookmarkEnd w:id="413"/>
    <w:bookmarkStart w:name="z509" w:id="414"/>
    <w:p>
      <w:pPr>
        <w:spacing w:after="0"/>
        <w:ind w:left="0"/>
        <w:jc w:val="both"/>
      </w:pPr>
      <w:r>
        <w:rPr>
          <w:rFonts w:ascii="Times New Roman"/>
          <w:b w:val="false"/>
          <w:i w:val="false"/>
          <w:color w:val="000000"/>
          <w:sz w:val="28"/>
        </w:rPr>
        <w:t xml:space="preserve">
      </w:t>
      </w:r>
      <w:r>
        <w:rPr>
          <w:rFonts w:ascii="Times New Roman"/>
          <w:b/>
          <w:i w:val="false"/>
          <w:color w:val="000000"/>
          <w:sz w:val="28"/>
        </w:rPr>
        <w:t>Холдинговая структура</w:t>
      </w:r>
      <w:r>
        <w:rPr>
          <w:rFonts w:ascii="Times New Roman"/>
          <w:b w:val="false"/>
          <w:i w:val="false"/>
          <w:color w:val="000000"/>
          <w:sz w:val="28"/>
        </w:rPr>
        <w:t>: портфельное управление разными типами бизнеса с минимальным уровнем вовлечения со стороны корпоративного центра, в большей степени сконцентрированная на мониторинге финансовых показателей;</w:t>
      </w:r>
    </w:p>
    <w:bookmarkEnd w:id="414"/>
    <w:bookmarkStart w:name="z510" w:id="415"/>
    <w:p>
      <w:pPr>
        <w:spacing w:after="0"/>
        <w:ind w:left="0"/>
        <w:jc w:val="both"/>
      </w:pPr>
      <w:r>
        <w:rPr>
          <w:rFonts w:ascii="Times New Roman"/>
          <w:b w:val="false"/>
          <w:i w:val="false"/>
          <w:color w:val="000000"/>
          <w:sz w:val="28"/>
        </w:rPr>
        <w:t xml:space="preserve">
      </w:t>
      </w:r>
      <w:r>
        <w:rPr>
          <w:rFonts w:ascii="Times New Roman"/>
          <w:b/>
          <w:i w:val="false"/>
          <w:color w:val="000000"/>
          <w:sz w:val="28"/>
        </w:rPr>
        <w:t>Стратегический архитектор</w:t>
      </w:r>
      <w:r>
        <w:rPr>
          <w:rFonts w:ascii="Times New Roman"/>
          <w:b w:val="false"/>
          <w:i w:val="false"/>
          <w:color w:val="000000"/>
          <w:sz w:val="28"/>
        </w:rPr>
        <w:t>: структура управления для бизнесов со схожими направлениями деятельности. Корпоративный центр задает единые стандарты и обеспечивает связь между ДО, но предоставляет операционный контроль руководству ДО;</w:t>
      </w:r>
    </w:p>
    <w:bookmarkEnd w:id="415"/>
    <w:bookmarkStart w:name="z511" w:id="416"/>
    <w:p>
      <w:pPr>
        <w:spacing w:after="0"/>
        <w:ind w:left="0"/>
        <w:jc w:val="both"/>
      </w:pPr>
      <w:r>
        <w:rPr>
          <w:rFonts w:ascii="Times New Roman"/>
          <w:b w:val="false"/>
          <w:i w:val="false"/>
          <w:color w:val="000000"/>
          <w:sz w:val="28"/>
        </w:rPr>
        <w:t xml:space="preserve">
      </w:t>
      </w:r>
      <w:r>
        <w:rPr>
          <w:rFonts w:ascii="Times New Roman"/>
          <w:b/>
          <w:i w:val="false"/>
          <w:color w:val="000000"/>
          <w:sz w:val="28"/>
        </w:rPr>
        <w:t>Стратегический контролер</w:t>
      </w:r>
      <w:r>
        <w:rPr>
          <w:rFonts w:ascii="Times New Roman"/>
          <w:b w:val="false"/>
          <w:i w:val="false"/>
          <w:color w:val="000000"/>
          <w:sz w:val="28"/>
        </w:rPr>
        <w:t>: структура управления для бизнесов со схожими операционными моделями. Вовлечение корпоративного центра с целью стандартизации бизнес процессов между ДО с последующим контролем бизнес процессов;</w:t>
      </w:r>
    </w:p>
    <w:bookmarkEnd w:id="416"/>
    <w:bookmarkStart w:name="z512" w:id="417"/>
    <w:p>
      <w:pPr>
        <w:spacing w:after="0"/>
        <w:ind w:left="0"/>
        <w:jc w:val="both"/>
      </w:pPr>
      <w:r>
        <w:rPr>
          <w:rFonts w:ascii="Times New Roman"/>
          <w:b w:val="false"/>
          <w:i w:val="false"/>
          <w:color w:val="000000"/>
          <w:sz w:val="28"/>
        </w:rPr>
        <w:t xml:space="preserve">
      </w:t>
      </w:r>
      <w:r>
        <w:rPr>
          <w:rFonts w:ascii="Times New Roman"/>
          <w:b/>
          <w:i w:val="false"/>
          <w:color w:val="000000"/>
          <w:sz w:val="28"/>
        </w:rPr>
        <w:t>Оператор</w:t>
      </w:r>
      <w:r>
        <w:rPr>
          <w:rFonts w:ascii="Times New Roman"/>
          <w:b w:val="false"/>
          <w:i w:val="false"/>
          <w:color w:val="000000"/>
          <w:sz w:val="28"/>
        </w:rPr>
        <w:t>: структура управления аналогичными бизнес моделями. Корпоративный центр активно вовлекается в управление бизнесами.</w:t>
      </w:r>
    </w:p>
    <w:bookmarkEnd w:id="417"/>
    <w:bookmarkStart w:name="z513" w:id="418"/>
    <w:p>
      <w:pPr>
        <w:spacing w:after="0"/>
        <w:ind w:left="0"/>
        <w:jc w:val="both"/>
      </w:pPr>
      <w:r>
        <w:rPr>
          <w:rFonts w:ascii="Times New Roman"/>
          <w:b w:val="false"/>
          <w:i w:val="false"/>
          <w:color w:val="000000"/>
          <w:sz w:val="28"/>
        </w:rPr>
        <w:t xml:space="preserve">
      Учитывая уникальность действующей структуры АО "НУХ "Байтерек" в пяти стратегических направлениях деятельности, определение единой модели работы корпоративного центра не представляется оптимальным решением, поскольку корпоративный центр осуществляет разного уровня вовлечения в каждом из пяти направлений. </w:t>
      </w:r>
    </w:p>
    <w:bookmarkEnd w:id="418"/>
    <w:bookmarkStart w:name="z514" w:id="419"/>
    <w:p>
      <w:pPr>
        <w:spacing w:after="0"/>
        <w:ind w:left="0"/>
        <w:jc w:val="both"/>
      </w:pPr>
      <w:r>
        <w:rPr>
          <w:rFonts w:ascii="Times New Roman"/>
          <w:b w:val="false"/>
          <w:i w:val="false"/>
          <w:color w:val="000000"/>
          <w:sz w:val="28"/>
        </w:rPr>
        <w:t>
      Действующая структура АО "НУХ "Байтерек" подразумевает создание ценности корпоративным центром только в ограниченном наборе функций управления, включая:</w:t>
      </w:r>
    </w:p>
    <w:bookmarkEnd w:id="419"/>
    <w:bookmarkStart w:name="z515" w:id="420"/>
    <w:p>
      <w:pPr>
        <w:spacing w:after="0"/>
        <w:ind w:left="0"/>
        <w:jc w:val="both"/>
      </w:pPr>
      <w:r>
        <w:rPr>
          <w:rFonts w:ascii="Times New Roman"/>
          <w:b w:val="false"/>
          <w:i w:val="false"/>
          <w:color w:val="000000"/>
          <w:sz w:val="28"/>
        </w:rPr>
        <w:t xml:space="preserve">
      </w:t>
      </w:r>
      <w:r>
        <w:rPr>
          <w:rFonts w:ascii="Times New Roman"/>
          <w:b/>
          <w:i w:val="false"/>
          <w:color w:val="000000"/>
          <w:sz w:val="28"/>
        </w:rPr>
        <w:t>Казначейство/фондирование</w:t>
      </w:r>
      <w:r>
        <w:rPr>
          <w:rFonts w:ascii="Times New Roman"/>
          <w:b w:val="false"/>
          <w:i w:val="false"/>
          <w:color w:val="000000"/>
          <w:sz w:val="28"/>
        </w:rPr>
        <w:t xml:space="preserve">: централизация данной функции уже осуществляется и преследует две цели - повышение эффективности использования имеющейся ликвидности и оптимизация стоимости привлечения заемных средств. </w:t>
      </w:r>
    </w:p>
    <w:bookmarkEnd w:id="420"/>
    <w:bookmarkStart w:name="z516" w:id="421"/>
    <w:p>
      <w:pPr>
        <w:spacing w:after="0"/>
        <w:ind w:left="0"/>
        <w:jc w:val="both"/>
      </w:pPr>
      <w:r>
        <w:rPr>
          <w:rFonts w:ascii="Times New Roman"/>
          <w:b w:val="false"/>
          <w:i w:val="false"/>
          <w:color w:val="000000"/>
          <w:sz w:val="28"/>
        </w:rPr>
        <w:t>
      В рамках повышения эффективности использования текущей ликвидности АО "НУХ "Байтерек" должен при необходимости перераспределять временно свободные ресурсы между ДО.</w:t>
      </w:r>
    </w:p>
    <w:bookmarkEnd w:id="421"/>
    <w:bookmarkStart w:name="z517" w:id="422"/>
    <w:p>
      <w:pPr>
        <w:spacing w:after="0"/>
        <w:ind w:left="0"/>
        <w:jc w:val="both"/>
      </w:pPr>
      <w:r>
        <w:rPr>
          <w:rFonts w:ascii="Times New Roman"/>
          <w:b w:val="false"/>
          <w:i w:val="false"/>
          <w:color w:val="000000"/>
          <w:sz w:val="28"/>
        </w:rPr>
        <w:t>
      В рамках оптимизации стоимости привлечения заемных средств предполагается, что АО "НУХ "Байтерек" сможет привлекать более дешевое фондирование под имеющийся кредитный рейтинг, в том числе для ДО, не имеющих кредитный рейтинг, но которые имеют потенциал к увеличению долговой нагрузки.</w:t>
      </w:r>
    </w:p>
    <w:bookmarkEnd w:id="422"/>
    <w:bookmarkStart w:name="z518" w:id="423"/>
    <w:p>
      <w:pPr>
        <w:spacing w:after="0"/>
        <w:ind w:left="0"/>
        <w:jc w:val="both"/>
      </w:pPr>
      <w:r>
        <w:rPr>
          <w:rFonts w:ascii="Times New Roman"/>
          <w:b w:val="false"/>
          <w:i w:val="false"/>
          <w:color w:val="000000"/>
          <w:sz w:val="28"/>
        </w:rPr>
        <w:t xml:space="preserve">
      </w:t>
      </w:r>
      <w:r>
        <w:rPr>
          <w:rFonts w:ascii="Times New Roman"/>
          <w:b/>
          <w:i w:val="false"/>
          <w:color w:val="000000"/>
          <w:sz w:val="28"/>
        </w:rPr>
        <w:t>Управление рисками на уровне портфеля</w:t>
      </w:r>
      <w:r>
        <w:rPr>
          <w:rFonts w:ascii="Times New Roman"/>
          <w:b w:val="false"/>
          <w:i w:val="false"/>
          <w:color w:val="000000"/>
          <w:sz w:val="28"/>
        </w:rPr>
        <w:t>: АО "НУХ "Байтерек" уже осуществляет данную функцию и создает ценность при управлении консолидированными рисками на уровне портфеля, в частности в отношении валютного, кредитного и процентного рисков. Консолидированное управление рисками на уровне АО "НУХ "Байтерек" позволит избежать концентрации кредитного риска на уровне всего портфеля при финансировании/инвестировании одних и тех же контрагентов (или отраслей) в различных ДО. Более того, консолидированный взгляд позволит более точно определять валютный и процентный дисбаланс между активами и пассивами АО "НУХ "Байтерек" и его ДО и своевременно управлять соответствующими рисками.</w:t>
      </w:r>
    </w:p>
    <w:bookmarkEnd w:id="423"/>
    <w:bookmarkStart w:name="z519" w:id="424"/>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Взаимодействие с государственными органами</w:t>
      </w:r>
      <w:r>
        <w:rPr>
          <w:rFonts w:ascii="Times New Roman"/>
          <w:b w:val="false"/>
          <w:i w:val="false"/>
          <w:color w:val="000000"/>
          <w:sz w:val="28"/>
        </w:rPr>
        <w:t>: АО "НУХ "Байтерек" уже частично реализует данную функцию и может создавать еще большую ценность за счет выполнения роли единого окна по взаимодействию с государственными органами, в дополнение к функциям взаимодействия с единственным акционером в лице Правительства Республики Казахстан. Централизация позволит скоординировано отрабатывать запросы, поступающие по всем ДО АО "НУХ "Байтерек".</w:t>
      </w:r>
    </w:p>
    <w:bookmarkEnd w:id="424"/>
    <w:bookmarkStart w:name="z520" w:id="425"/>
    <w:p>
      <w:pPr>
        <w:spacing w:after="0"/>
        <w:ind w:left="0"/>
        <w:jc w:val="both"/>
      </w:pPr>
      <w:r>
        <w:rPr>
          <w:rFonts w:ascii="Times New Roman"/>
          <w:b w:val="false"/>
          <w:i w:val="false"/>
          <w:color w:val="000000"/>
          <w:sz w:val="28"/>
        </w:rPr>
        <w:t>
      Остальные функции управления в большей степени реализуются в ДО через усиленную систему корпоративного управления, при этом:</w:t>
      </w:r>
    </w:p>
    <w:bookmarkEnd w:id="425"/>
    <w:bookmarkStart w:name="z521" w:id="426"/>
    <w:p>
      <w:pPr>
        <w:spacing w:after="0"/>
        <w:ind w:left="0"/>
        <w:jc w:val="both"/>
      </w:pPr>
      <w:r>
        <w:rPr>
          <w:rFonts w:ascii="Times New Roman"/>
          <w:b w:val="false"/>
          <w:i w:val="false"/>
          <w:color w:val="000000"/>
          <w:sz w:val="28"/>
        </w:rPr>
        <w:t>
      - советы директоров ДО несут ответственность по стратегическим вопросам, таким как:</w:t>
      </w:r>
    </w:p>
    <w:bookmarkEnd w:id="426"/>
    <w:bookmarkStart w:name="z522" w:id="427"/>
    <w:p>
      <w:pPr>
        <w:spacing w:after="0"/>
        <w:ind w:left="0"/>
        <w:jc w:val="both"/>
      </w:pPr>
      <w:r>
        <w:rPr>
          <w:rFonts w:ascii="Times New Roman"/>
          <w:b w:val="false"/>
          <w:i w:val="false"/>
          <w:color w:val="000000"/>
          <w:sz w:val="28"/>
        </w:rPr>
        <w:t>
      1) определение стратегических направлений развития и постановка целевых КПД, исходя из стратегических целей, поставленных Корпоративным центром (как акционером /участником ДО);</w:t>
      </w:r>
    </w:p>
    <w:bookmarkEnd w:id="427"/>
    <w:bookmarkStart w:name="z523" w:id="428"/>
    <w:p>
      <w:pPr>
        <w:spacing w:after="0"/>
        <w:ind w:left="0"/>
        <w:jc w:val="both"/>
      </w:pPr>
      <w:r>
        <w:rPr>
          <w:rFonts w:ascii="Times New Roman"/>
          <w:b w:val="false"/>
          <w:i w:val="false"/>
          <w:color w:val="000000"/>
          <w:sz w:val="28"/>
        </w:rPr>
        <w:t xml:space="preserve">
      2) назначение правления и оценка его работы; </w:t>
      </w:r>
    </w:p>
    <w:bookmarkEnd w:id="428"/>
    <w:bookmarkStart w:name="z524" w:id="429"/>
    <w:p>
      <w:pPr>
        <w:spacing w:after="0"/>
        <w:ind w:left="0"/>
        <w:jc w:val="both"/>
      </w:pPr>
      <w:r>
        <w:rPr>
          <w:rFonts w:ascii="Times New Roman"/>
          <w:b w:val="false"/>
          <w:i w:val="false"/>
          <w:color w:val="000000"/>
          <w:sz w:val="28"/>
        </w:rPr>
        <w:t>
      3) утверждение бюджета, инвестиционных планов и крупных сделок;</w:t>
      </w:r>
    </w:p>
    <w:bookmarkEnd w:id="429"/>
    <w:bookmarkStart w:name="z525" w:id="430"/>
    <w:p>
      <w:pPr>
        <w:spacing w:after="0"/>
        <w:ind w:left="0"/>
        <w:jc w:val="both"/>
      </w:pPr>
      <w:r>
        <w:rPr>
          <w:rFonts w:ascii="Times New Roman"/>
          <w:b w:val="false"/>
          <w:i w:val="false"/>
          <w:color w:val="000000"/>
          <w:sz w:val="28"/>
        </w:rPr>
        <w:t>
      - правления ДО ответственны посредством вовлечения в повседневные вопросы, такие как:</w:t>
      </w:r>
    </w:p>
    <w:bookmarkEnd w:id="430"/>
    <w:bookmarkStart w:name="z526" w:id="431"/>
    <w:p>
      <w:pPr>
        <w:spacing w:after="0"/>
        <w:ind w:left="0"/>
        <w:jc w:val="both"/>
      </w:pPr>
      <w:r>
        <w:rPr>
          <w:rFonts w:ascii="Times New Roman"/>
          <w:b w:val="false"/>
          <w:i w:val="false"/>
          <w:color w:val="000000"/>
          <w:sz w:val="28"/>
        </w:rPr>
        <w:t>
      1) основная операционная деятельность (включая проблемы, обозначенные во втором разделе данного документа);</w:t>
      </w:r>
    </w:p>
    <w:bookmarkEnd w:id="431"/>
    <w:bookmarkStart w:name="z527" w:id="432"/>
    <w:p>
      <w:pPr>
        <w:spacing w:after="0"/>
        <w:ind w:left="0"/>
        <w:jc w:val="both"/>
      </w:pPr>
      <w:r>
        <w:rPr>
          <w:rFonts w:ascii="Times New Roman"/>
          <w:b w:val="false"/>
          <w:i w:val="false"/>
          <w:color w:val="000000"/>
          <w:sz w:val="28"/>
        </w:rPr>
        <w:t>
      2) управление рисками на уровне отдельных сделок;</w:t>
      </w:r>
    </w:p>
    <w:bookmarkEnd w:id="432"/>
    <w:bookmarkStart w:name="z528" w:id="433"/>
    <w:p>
      <w:pPr>
        <w:spacing w:after="0"/>
        <w:ind w:left="0"/>
        <w:jc w:val="both"/>
      </w:pPr>
      <w:r>
        <w:rPr>
          <w:rFonts w:ascii="Times New Roman"/>
          <w:b w:val="false"/>
          <w:i w:val="false"/>
          <w:color w:val="000000"/>
          <w:sz w:val="28"/>
        </w:rPr>
        <w:t>
      3) бухгалтерский учет;</w:t>
      </w:r>
    </w:p>
    <w:bookmarkEnd w:id="433"/>
    <w:bookmarkStart w:name="z529" w:id="434"/>
    <w:p>
      <w:pPr>
        <w:spacing w:after="0"/>
        <w:ind w:left="0"/>
        <w:jc w:val="both"/>
      </w:pPr>
      <w:r>
        <w:rPr>
          <w:rFonts w:ascii="Times New Roman"/>
          <w:b w:val="false"/>
          <w:i w:val="false"/>
          <w:color w:val="000000"/>
          <w:sz w:val="28"/>
        </w:rPr>
        <w:t>
      4) закупки;</w:t>
      </w:r>
    </w:p>
    <w:bookmarkEnd w:id="434"/>
    <w:bookmarkStart w:name="z530" w:id="435"/>
    <w:p>
      <w:pPr>
        <w:spacing w:after="0"/>
        <w:ind w:left="0"/>
        <w:jc w:val="both"/>
      </w:pPr>
      <w:r>
        <w:rPr>
          <w:rFonts w:ascii="Times New Roman"/>
          <w:b w:val="false"/>
          <w:i w:val="false"/>
          <w:color w:val="000000"/>
          <w:sz w:val="28"/>
        </w:rPr>
        <w:t>
      5) администрирование персонала и прочие.</w:t>
      </w:r>
    </w:p>
    <w:bookmarkEnd w:id="435"/>
    <w:p>
      <w:pPr>
        <w:spacing w:after="0"/>
        <w:ind w:left="0"/>
        <w:jc w:val="both"/>
      </w:pPr>
      <w:r>
        <w:rPr>
          <w:rFonts w:ascii="Times New Roman"/>
          <w:b/>
          <w:i w:val="false"/>
          <w:color w:val="000000"/>
          <w:sz w:val="28"/>
        </w:rPr>
        <w:t>Методы усиления системы корпоративного управления через повышение эффективности советов директоров</w:t>
      </w:r>
    </w:p>
    <w:bookmarkStart w:name="z532" w:id="436"/>
    <w:p>
      <w:pPr>
        <w:spacing w:after="0"/>
        <w:ind w:left="0"/>
        <w:jc w:val="both"/>
      </w:pPr>
      <w:r>
        <w:rPr>
          <w:rFonts w:ascii="Times New Roman"/>
          <w:b w:val="false"/>
          <w:i w:val="false"/>
          <w:color w:val="000000"/>
          <w:sz w:val="28"/>
        </w:rPr>
        <w:t>
      Одним из основных путей повышения экономической и операционной эффективности деятельности АО "НУХ "Байтерек" является совершенствование системы корпоративного управления через активное вовлечение в работу советов директоров ДО, как стратегических органов, через которые АО "НУХ "Байтерек" осуществляет управление ДО, выступая в качестве единственного акционера.</w:t>
      </w:r>
    </w:p>
    <w:bookmarkEnd w:id="436"/>
    <w:bookmarkStart w:name="z533" w:id="437"/>
    <w:p>
      <w:pPr>
        <w:spacing w:after="0"/>
        <w:ind w:left="0"/>
        <w:jc w:val="both"/>
      </w:pPr>
      <w:r>
        <w:rPr>
          <w:rFonts w:ascii="Times New Roman"/>
          <w:b w:val="false"/>
          <w:i w:val="false"/>
          <w:color w:val="000000"/>
          <w:sz w:val="28"/>
        </w:rPr>
        <w:t>
      Важными факторами для обеспечения эффективной работы ДО являются:</w:t>
      </w:r>
    </w:p>
    <w:bookmarkEnd w:id="437"/>
    <w:p>
      <w:pPr>
        <w:spacing w:after="0"/>
        <w:ind w:left="0"/>
        <w:jc w:val="both"/>
      </w:pPr>
      <w:r>
        <w:rPr>
          <w:rFonts w:ascii="Times New Roman"/>
          <w:b/>
          <w:i w:val="false"/>
          <w:color w:val="000000"/>
          <w:sz w:val="28"/>
        </w:rPr>
        <w:t>Состав советов директоров</w:t>
      </w:r>
    </w:p>
    <w:bookmarkStart w:name="z535" w:id="438"/>
    <w:p>
      <w:pPr>
        <w:spacing w:after="0"/>
        <w:ind w:left="0"/>
        <w:jc w:val="both"/>
      </w:pPr>
      <w:r>
        <w:rPr>
          <w:rFonts w:ascii="Times New Roman"/>
          <w:b w:val="false"/>
          <w:i w:val="false"/>
          <w:color w:val="000000"/>
          <w:sz w:val="28"/>
        </w:rPr>
        <w:t>
      Примеры в мировой практике показывают, что необходимо обеспечивать оптимальное количество директоров в советах директоров - их должно быть достаточно, чтобы обеспечивать все необходимые компетенции, но не слишком много, чтобы обеспечивать высокую гибкость и эффективность работы. В среднем советы директоров ДО АО "НУХ "Байтерек" состоят из 6 членов (см. рисунок 37 ниже).</w:t>
      </w:r>
    </w:p>
    <w:bookmarkEnd w:id="4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37" w:id="439"/>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37</w:t>
      </w:r>
      <w:r>
        <w:rPr>
          <w:rFonts w:ascii="Times New Roman"/>
          <w:b w:val="false"/>
          <w:i w:val="false"/>
          <w:color w:val="000000"/>
          <w:sz w:val="28"/>
        </w:rPr>
        <w:t>. Структура Советов директоров ДО АО "НУХ "Байтерек" по состоянию на конец 2016 года</w:t>
      </w:r>
    </w:p>
    <w:bookmarkEnd w:id="439"/>
    <w:bookmarkStart w:name="z538" w:id="440"/>
    <w:p>
      <w:pPr>
        <w:spacing w:after="0"/>
        <w:ind w:left="0"/>
        <w:jc w:val="both"/>
      </w:pPr>
      <w:r>
        <w:rPr>
          <w:rFonts w:ascii="Times New Roman"/>
          <w:b w:val="false"/>
          <w:i w:val="false"/>
          <w:color w:val="000000"/>
          <w:sz w:val="28"/>
        </w:rPr>
        <w:t xml:space="preserve">
      В международной практике институтов развития независимые директора составляют не менее 30 % от общего количество членов Совета директоров. Такое же требование закреплено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акционерных обществах" (&lt;50 %). Тем не менее, в соответствии с Методикой диагностики корпоративного управления (решение правления АО "НУХ "Байтерек" от 24 декабря 2014 года № 41/14), разработанной с учетом лучшей международной практики, считается что преобладающее (&gt;50 %) количество независимых директоров дает возможность принимать более независимые и объективные решения. АО "НУХ "Байтерек" будет рассмотрена возможность увеличения доли независимых директоров в советах директоров его ДО в соответствии с лучшей практикой.</w:t>
      </w:r>
    </w:p>
    <w:bookmarkEnd w:id="440"/>
    <w:bookmarkStart w:name="z539" w:id="441"/>
    <w:p>
      <w:pPr>
        <w:spacing w:after="0"/>
        <w:ind w:left="0"/>
        <w:jc w:val="both"/>
      </w:pPr>
      <w:r>
        <w:rPr>
          <w:rFonts w:ascii="Times New Roman"/>
          <w:b w:val="false"/>
          <w:i w:val="false"/>
          <w:color w:val="000000"/>
          <w:sz w:val="28"/>
        </w:rPr>
        <w:t>
      При этом независимость директоров является важнейшим фактором эффективной работы Совета директоров в целях обеспечения прозрачности и открытости деятельности. На данный момент в советах директоров ДО АО "НУХ "Байтерек" наблюдается присутствие большого количества независимых директоров, имеющих недавний или прошлый опыт работы в государственных структурах, связанных с единственным акционером, что может ограничивать беспристрастное суждение членов советов директоров. Учитывая, что исторически государство имеет высокую долю участия в экономике, и многие потенциальные местные кандидаты в советы директоров будут иметь связь с государственными органами, следует расширить практику привлечения (зарубежных) независимых директоров.</w:t>
      </w:r>
    </w:p>
    <w:bookmarkEnd w:id="441"/>
    <w:p>
      <w:pPr>
        <w:spacing w:after="0"/>
        <w:ind w:left="0"/>
        <w:jc w:val="both"/>
      </w:pPr>
      <w:r>
        <w:rPr>
          <w:rFonts w:ascii="Times New Roman"/>
          <w:b/>
          <w:i w:val="false"/>
          <w:color w:val="000000"/>
          <w:sz w:val="28"/>
        </w:rPr>
        <w:t>Полнота набора компетенций членов советов директоров</w:t>
      </w:r>
    </w:p>
    <w:bookmarkStart w:name="z541" w:id="442"/>
    <w:p>
      <w:pPr>
        <w:spacing w:after="0"/>
        <w:ind w:left="0"/>
        <w:jc w:val="both"/>
      </w:pPr>
      <w:r>
        <w:rPr>
          <w:rFonts w:ascii="Times New Roman"/>
          <w:b w:val="false"/>
          <w:i w:val="false"/>
          <w:color w:val="000000"/>
          <w:sz w:val="28"/>
        </w:rPr>
        <w:t>
      Для эффективной работы советов директоров необходимо обеспечить наличие в них всех необходимых ключевых компетенций для соответствующих ДО. Члены советов директоров должны иметь опыт и навыки в следующих критически важных областях/вопросах:</w:t>
      </w:r>
    </w:p>
    <w:bookmarkEnd w:id="442"/>
    <w:bookmarkStart w:name="z542" w:id="443"/>
    <w:p>
      <w:pPr>
        <w:spacing w:after="0"/>
        <w:ind w:left="0"/>
        <w:jc w:val="both"/>
      </w:pPr>
      <w:r>
        <w:rPr>
          <w:rFonts w:ascii="Times New Roman"/>
          <w:b w:val="false"/>
          <w:i w:val="false"/>
          <w:color w:val="000000"/>
          <w:sz w:val="28"/>
        </w:rPr>
        <w:t>
      1) корпоративное управление, включая взаимодействие Совета директоров с акционером и руководителями ДО;</w:t>
      </w:r>
    </w:p>
    <w:bookmarkEnd w:id="443"/>
    <w:bookmarkStart w:name="z543" w:id="444"/>
    <w:p>
      <w:pPr>
        <w:spacing w:after="0"/>
        <w:ind w:left="0"/>
        <w:jc w:val="both"/>
      </w:pPr>
      <w:r>
        <w:rPr>
          <w:rFonts w:ascii="Times New Roman"/>
          <w:b w:val="false"/>
          <w:i w:val="false"/>
          <w:color w:val="000000"/>
          <w:sz w:val="28"/>
        </w:rPr>
        <w:t>
      2) отраслевые знания;</w:t>
      </w:r>
    </w:p>
    <w:bookmarkEnd w:id="444"/>
    <w:bookmarkStart w:name="z544" w:id="445"/>
    <w:p>
      <w:pPr>
        <w:spacing w:after="0"/>
        <w:ind w:left="0"/>
        <w:jc w:val="both"/>
      </w:pPr>
      <w:r>
        <w:rPr>
          <w:rFonts w:ascii="Times New Roman"/>
          <w:b w:val="false"/>
          <w:i w:val="false"/>
          <w:color w:val="000000"/>
          <w:sz w:val="28"/>
        </w:rPr>
        <w:t>
      3) политическое и экономическое видение;</w:t>
      </w:r>
    </w:p>
    <w:bookmarkEnd w:id="445"/>
    <w:bookmarkStart w:name="z545" w:id="446"/>
    <w:p>
      <w:pPr>
        <w:spacing w:after="0"/>
        <w:ind w:left="0"/>
        <w:jc w:val="both"/>
      </w:pPr>
      <w:r>
        <w:rPr>
          <w:rFonts w:ascii="Times New Roman"/>
          <w:b w:val="false"/>
          <w:i w:val="false"/>
          <w:color w:val="000000"/>
          <w:sz w:val="28"/>
        </w:rPr>
        <w:t>
      4) операционная деятельность организации;</w:t>
      </w:r>
    </w:p>
    <w:bookmarkEnd w:id="446"/>
    <w:bookmarkStart w:name="z546" w:id="447"/>
    <w:p>
      <w:pPr>
        <w:spacing w:after="0"/>
        <w:ind w:left="0"/>
        <w:jc w:val="both"/>
      </w:pPr>
      <w:r>
        <w:rPr>
          <w:rFonts w:ascii="Times New Roman"/>
          <w:b w:val="false"/>
          <w:i w:val="false"/>
          <w:color w:val="000000"/>
          <w:sz w:val="28"/>
        </w:rPr>
        <w:t>
      5) стратегические варианты развития и связанные с ними риски;</w:t>
      </w:r>
    </w:p>
    <w:bookmarkEnd w:id="447"/>
    <w:bookmarkStart w:name="z547" w:id="448"/>
    <w:p>
      <w:pPr>
        <w:spacing w:after="0"/>
        <w:ind w:left="0"/>
        <w:jc w:val="both"/>
      </w:pPr>
      <w:r>
        <w:rPr>
          <w:rFonts w:ascii="Times New Roman"/>
          <w:b w:val="false"/>
          <w:i w:val="false"/>
          <w:color w:val="000000"/>
          <w:sz w:val="28"/>
        </w:rPr>
        <w:t>
      6) сильные и слабые стороны организаций.</w:t>
      </w:r>
    </w:p>
    <w:bookmarkEnd w:id="448"/>
    <w:bookmarkStart w:name="z548" w:id="449"/>
    <w:p>
      <w:pPr>
        <w:spacing w:after="0"/>
        <w:ind w:left="0"/>
        <w:jc w:val="both"/>
      </w:pPr>
      <w:r>
        <w:rPr>
          <w:rFonts w:ascii="Times New Roman"/>
          <w:b w:val="false"/>
          <w:i w:val="false"/>
          <w:color w:val="000000"/>
          <w:sz w:val="28"/>
        </w:rPr>
        <w:t>
      По состоянию на конец 2016 года советы директоров некоторых ДО имеют неполный набор необходимых компетенций.</w:t>
      </w:r>
    </w:p>
    <w:bookmarkEnd w:id="449"/>
    <w:bookmarkStart w:name="z549"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26162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616200" cy="39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0" w:id="451"/>
    <w:p>
      <w:pPr>
        <w:spacing w:after="0"/>
        <w:ind w:left="0"/>
        <w:jc w:val="both"/>
      </w:pPr>
      <w:r>
        <w:rPr>
          <w:rFonts w:ascii="Times New Roman"/>
          <w:b w:val="false"/>
          <w:i w:val="false"/>
          <w:color w:val="000000"/>
          <w:sz w:val="28"/>
        </w:rPr>
        <w:t xml:space="preserve">
      </w:t>
      </w:r>
    </w:p>
    <w:bookmarkEnd w:id="451"/>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1" w:id="452"/>
    <w:p>
      <w:pPr>
        <w:spacing w:after="0"/>
        <w:ind w:left="0"/>
        <w:jc w:val="both"/>
      </w:pPr>
      <w:r>
        <w:rPr>
          <w:rFonts w:ascii="Times New Roman"/>
          <w:b w:val="false"/>
          <w:i w:val="false"/>
          <w:color w:val="000000"/>
          <w:sz w:val="28"/>
        </w:rPr>
        <w:t xml:space="preserve">
      </w:t>
      </w:r>
      <w:r>
        <w:rPr>
          <w:rFonts w:ascii="Times New Roman"/>
          <w:b/>
          <w:i w:val="false"/>
          <w:color w:val="000000"/>
          <w:sz w:val="28"/>
        </w:rPr>
        <w:t>Рисунок 38</w:t>
      </w:r>
      <w:r>
        <w:rPr>
          <w:rFonts w:ascii="Times New Roman"/>
          <w:b w:val="false"/>
          <w:i w:val="false"/>
          <w:color w:val="000000"/>
          <w:sz w:val="28"/>
        </w:rPr>
        <w:t>. Пример матрицы компетенций, построенный на примере анализа компетенций действующих членов Совета директоров одной из ДО АО "НУХ "Байтерек"</w:t>
      </w:r>
    </w:p>
    <w:bookmarkEnd w:id="452"/>
    <w:bookmarkStart w:name="z552" w:id="453"/>
    <w:p>
      <w:pPr>
        <w:spacing w:after="0"/>
        <w:ind w:left="0"/>
        <w:jc w:val="both"/>
      </w:pPr>
      <w:r>
        <w:rPr>
          <w:rFonts w:ascii="Times New Roman"/>
          <w:b w:val="false"/>
          <w:i w:val="false"/>
          <w:color w:val="000000"/>
          <w:sz w:val="28"/>
        </w:rPr>
        <w:t>
       </w:t>
      </w:r>
      <w:r>
        <w:rPr>
          <w:rFonts w:ascii="Times New Roman"/>
          <w:b w:val="false"/>
          <w:i w:val="false"/>
          <w:color w:val="000000"/>
          <w:sz w:val="28"/>
        </w:rPr>
        <w:t>АО "НУХ "Байтерек" проведет работу по анализу необходимых компетенций для всех ДО, рассмотрению состава действующих советов директоров с целью выявления недостающих компетенций и обеспечения их наличия в обновленных составах советов директоров ДО (см. рисунок 38 для примера).</w:t>
      </w:r>
    </w:p>
    <w:bookmarkEnd w:id="453"/>
    <w:p>
      <w:pPr>
        <w:spacing w:after="0"/>
        <w:ind w:left="0"/>
        <w:jc w:val="both"/>
      </w:pPr>
      <w:r>
        <w:rPr>
          <w:rFonts w:ascii="Times New Roman"/>
          <w:b/>
          <w:i w:val="false"/>
          <w:color w:val="000000"/>
          <w:sz w:val="28"/>
        </w:rPr>
        <w:t> </w:t>
      </w:r>
      <w:r>
        <w:rPr>
          <w:rFonts w:ascii="Times New Roman"/>
          <w:b/>
          <w:i w:val="false"/>
          <w:color w:val="000000"/>
          <w:sz w:val="28"/>
        </w:rPr>
        <w:t>Формат и регулярность заседаний советов директоров</w:t>
      </w:r>
    </w:p>
    <w:bookmarkStart w:name="z556" w:id="454"/>
    <w:p>
      <w:pPr>
        <w:spacing w:after="0"/>
        <w:ind w:left="0"/>
        <w:jc w:val="both"/>
      </w:pPr>
      <w:r>
        <w:rPr>
          <w:rFonts w:ascii="Times New Roman"/>
          <w:b w:val="false"/>
          <w:i w:val="false"/>
          <w:color w:val="000000"/>
          <w:sz w:val="28"/>
        </w:rPr>
        <w:t xml:space="preserve">
      АО "НУХ "Байтерек" будет определено оптимальное количество заседаний советов директоров ДО. Среднее количество регулярных заседаний советов директоров в европейских организациях составляет 9-10 раз в год, а в соответствии с Типовым кодексом корпоративного управления для акционерных обществ с государственным участием, утвержденным приказом Заместителя Премьер-Министра - Министра национальной экономики Республики Казахстан от 17 мая 2007 года№ 86 (с изменениями от 1 ноября 2016 года № 465 в приказ Министра национальной экономики Республики Казахстан) 6-12 заседаний в год. </w:t>
      </w:r>
    </w:p>
    <w:bookmarkEnd w:id="454"/>
    <w:bookmarkStart w:name="z557" w:id="455"/>
    <w:p>
      <w:pPr>
        <w:spacing w:after="0"/>
        <w:ind w:left="0"/>
        <w:jc w:val="both"/>
      </w:pPr>
      <w:r>
        <w:rPr>
          <w:rFonts w:ascii="Times New Roman"/>
          <w:b w:val="false"/>
          <w:i w:val="false"/>
          <w:color w:val="000000"/>
          <w:sz w:val="28"/>
        </w:rPr>
        <w:t xml:space="preserve">
      Согласно Кодексу корпоративного управления АО "НУХ "Байтерек" заседания Советов директоров ДО должны проводиться не реже 6 раз в год. </w:t>
      </w:r>
    </w:p>
    <w:bookmarkEnd w:id="455"/>
    <w:bookmarkStart w:name="z558" w:id="456"/>
    <w:p>
      <w:pPr>
        <w:spacing w:after="0"/>
        <w:ind w:left="0"/>
        <w:jc w:val="both"/>
      </w:pPr>
      <w:r>
        <w:rPr>
          <w:rFonts w:ascii="Times New Roman"/>
          <w:b w:val="false"/>
          <w:i w:val="false"/>
          <w:color w:val="000000"/>
          <w:sz w:val="28"/>
        </w:rPr>
        <w:t>
      В связи с этим АО "НУХ "Байтерек" продолжит работу по усилению эффективности работы заседаний Совета директоров ДО и внедрению лучших мировых практик с точки зрения управления повесткой заседаний, а также оптимального объема материалов, подаваемых на рассмотрение Совету директоров.</w:t>
      </w:r>
    </w:p>
    <w:bookmarkEnd w:id="456"/>
    <w:p>
      <w:pPr>
        <w:spacing w:after="0"/>
        <w:ind w:left="0"/>
        <w:jc w:val="both"/>
      </w:pPr>
      <w:r>
        <w:rPr>
          <w:rFonts w:ascii="Times New Roman"/>
          <w:b/>
          <w:i w:val="false"/>
          <w:color w:val="000000"/>
          <w:sz w:val="28"/>
        </w:rPr>
        <w:t> </w:t>
      </w:r>
      <w:r>
        <w:rPr>
          <w:rFonts w:ascii="Times New Roman"/>
          <w:b/>
          <w:i w:val="false"/>
          <w:color w:val="000000"/>
          <w:sz w:val="28"/>
        </w:rPr>
        <w:t>Объективная оценка деятельности советов директоров</w:t>
      </w:r>
    </w:p>
    <w:bookmarkStart w:name="z561" w:id="457"/>
    <w:p>
      <w:pPr>
        <w:spacing w:after="0"/>
        <w:ind w:left="0"/>
        <w:jc w:val="both"/>
      </w:pPr>
      <w:r>
        <w:rPr>
          <w:rFonts w:ascii="Times New Roman"/>
          <w:b w:val="false"/>
          <w:i w:val="false"/>
          <w:color w:val="000000"/>
          <w:sz w:val="28"/>
        </w:rPr>
        <w:t xml:space="preserve">
      Процедура проведения оценки деятельности советов директоров ДО также нуждается в улучшении в соответствии с практикой институтов развития других стран. Нынешняя форма оценки индивидуальной деятельности директоров очень формалистичная и не способствует объективной оценке навыков и качества деятельности директора. Формы оценки рекомендуется дополнить вопросами о компетенциях, степени вовлеченности в обсуждениях, а также индивидуальной деятельности директоров. Этап заполнения и сбора форм оценки также нуждается в доработке - директоры должны заполнять формы, соблюдая анонимность. Для более прозрачной оценки рекомендуется привлечение внешнего независимого эксперта для сбора и анализа оценочных листов. Внешний независимый эксперт должен готовить индивидуальные отчеты по деятельности каждого директора и распространять их конфиденциально. Данные отчеты должны обсуждаться директорами напрямую с председателями советов директоров ДО в индивидуальном порядке. Также внешний независимый эксперт готовит общий отчет по оценке деятельности совета директоров, который обсуждается на закрытом заседании совета директоров ДО. Изменения в этапах проведения оценки советов директоров в соответствии с мировыми практиками могут значительно улучшить эффективность их деятельности. </w:t>
      </w:r>
    </w:p>
    <w:bookmarkEnd w:id="457"/>
    <w:bookmarkStart w:name="z562" w:id="458"/>
    <w:p>
      <w:pPr>
        <w:spacing w:after="0"/>
        <w:ind w:left="0"/>
        <w:jc w:val="both"/>
      </w:pPr>
      <w:r>
        <w:rPr>
          <w:rFonts w:ascii="Times New Roman"/>
          <w:b w:val="false"/>
          <w:i w:val="false"/>
          <w:color w:val="000000"/>
          <w:sz w:val="28"/>
        </w:rPr>
        <w:t xml:space="preserve">
      Для соблюдения вышеперечисленных принципов деятельности советов директоров в ДО АО "НУХ "Байтерек" будет рассмотрена необходимость внедрения практики старшего независимого директора, в чьи функции входит обеспечивать руководство над независимыми директорами, обеспечивать поддержку и консультации председателя правления и председателя совета директоров ДО. </w:t>
      </w:r>
    </w:p>
    <w:bookmarkEnd w:id="458"/>
    <w:bookmarkStart w:name="z563" w:id="459"/>
    <w:p>
      <w:pPr>
        <w:spacing w:after="0"/>
        <w:ind w:left="0"/>
        <w:jc w:val="both"/>
      </w:pPr>
      <w:r>
        <w:rPr>
          <w:rFonts w:ascii="Times New Roman"/>
          <w:b w:val="false"/>
          <w:i w:val="false"/>
          <w:color w:val="000000"/>
          <w:sz w:val="28"/>
        </w:rPr>
        <w:t>
      Изменения системы корпоративного управления, изложенные выше, усилят роль и ответственность советов директоров и правления ДО, следовательно, необходимо разработать и внедрить систему страхования имущественных интересов ДО АО "НУХ "Байтерек" (политику страховой защиты), отвечающую современным международным стандартам организации комплексной страховой защиты финансовых институтов, в том числе устоявшуюся практику страхования ведущих иностранных кредитных организаций, инвестиционных фондов и управляющих компаний от преступных посягательств, компьютерных преступлений и рисков утраты цифровых данных, кибернетических рисков и рисков гражданско-правовой ответственности за причинение вреда вследствие недостатков оказанных услуг (ошибок и упущений по неосторожности). Разработать рекомендации и требования по вмененному страхованию части имущественных интересов ДО АО "НУХ "Байтерек" их контрагентами.</w:t>
      </w:r>
    </w:p>
    <w:bookmarkEnd w:id="459"/>
    <w:bookmarkStart w:name="z564" w:id="460"/>
    <w:p>
      <w:pPr>
        <w:spacing w:after="0"/>
        <w:ind w:left="0"/>
        <w:jc w:val="both"/>
      </w:pPr>
      <w:r>
        <w:rPr>
          <w:rFonts w:ascii="Times New Roman"/>
          <w:b w:val="false"/>
          <w:i w:val="false"/>
          <w:color w:val="000000"/>
          <w:sz w:val="28"/>
        </w:rPr>
        <w:t xml:space="preserve">
      Примерами финансовых институтов развития, успешно внедривших комплексное страхование от преступных посягательств, компьютерных рисков и ответственности за вред вследствие ненадлежащего качества услуг (ошибок и упущений), являются: EBRD, The World Bank, Asian Development Bank, Crown Agents (Великобритания). </w:t>
      </w:r>
    </w:p>
    <w:bookmarkEnd w:id="460"/>
    <w:p>
      <w:pPr>
        <w:spacing w:after="0"/>
        <w:ind w:left="0"/>
        <w:jc w:val="both"/>
      </w:pPr>
      <w:r>
        <w:rPr>
          <w:rFonts w:ascii="Times New Roman"/>
          <w:b/>
          <w:i w:val="false"/>
          <w:color w:val="000000"/>
          <w:sz w:val="28"/>
        </w:rPr>
        <w:t>4.6.4 Построение новых компетенций и методов организации работы</w:t>
      </w:r>
    </w:p>
    <w:p>
      <w:pPr>
        <w:spacing w:after="0"/>
        <w:ind w:left="0"/>
        <w:jc w:val="both"/>
      </w:pPr>
      <w:r>
        <w:rPr>
          <w:rFonts w:ascii="Times New Roman"/>
          <w:b/>
          <w:i w:val="false"/>
          <w:color w:val="000000"/>
          <w:sz w:val="28"/>
        </w:rPr>
        <w:t>Аналитический центр</w:t>
      </w:r>
    </w:p>
    <w:bookmarkStart w:name="z567" w:id="461"/>
    <w:p>
      <w:pPr>
        <w:spacing w:after="0"/>
        <w:ind w:left="0"/>
        <w:jc w:val="both"/>
      </w:pPr>
      <w:r>
        <w:rPr>
          <w:rFonts w:ascii="Times New Roman"/>
          <w:b w:val="false"/>
          <w:i w:val="false"/>
          <w:color w:val="000000"/>
          <w:sz w:val="28"/>
        </w:rPr>
        <w:t>
      В настоящее время АО "НУХ "Байтерек" руководствуется приоритетами, обозначенными государством в рамках утвержденных программ поддержки и развития экономики, решений и поручений Правительства Республики Казахстан и других государственных органов. Наработанный опыт, накопленная институциональная память АО "НУХ "Байтерек" и его ДО могут быть использованы в определении приоритетов.</w:t>
      </w:r>
    </w:p>
    <w:bookmarkEnd w:id="461"/>
    <w:bookmarkStart w:name="z568" w:id="462"/>
    <w:p>
      <w:pPr>
        <w:spacing w:after="0"/>
        <w:ind w:left="0"/>
        <w:jc w:val="both"/>
      </w:pPr>
      <w:r>
        <w:rPr>
          <w:rFonts w:ascii="Times New Roman"/>
          <w:b w:val="false"/>
          <w:i w:val="false"/>
          <w:color w:val="000000"/>
          <w:sz w:val="28"/>
        </w:rPr>
        <w:t>
      Благодаря наработанному опыту, АО "НУХ "Байтерек" и его ДО имеют глубокое понимание потребностей клиентов, в частности на основе институциональной памяти, в пяти стратегических направлениях деятельности - поддержке предпринимательства в сегменте крупного бизнеса, поддержке предпринимательства в сегменте МСБ, повышении доступности жилья, повышении экспортного потенциала, а также трансферта и внедрения инноваций. Прямой контакт ДО АО "НУХ "Байтерек" с клиентами - получателями услуг позволяет получать актуальную информацию относительно существующих проблем и сложностей, текущих и будущих потребностей, а также необходимых инструментов и объемов поддержки со стороны институтов развития. АО "НУХ "Байтерек" может эффективно использовать доступ к данной информации и централизованно обрабатывать ее в аналитическом центре. В рамках привлечения негосударственных источников фондирования АО "НУХ "Байтерек" может самостоятельно определять пути решения задач социально-экономического развития страны (создание новых рабочих мест, повышение производительности труда, увеличение объема несырьевого экспорта, повышение доступности жилья).</w:t>
      </w:r>
    </w:p>
    <w:bookmarkEnd w:id="462"/>
    <w:bookmarkStart w:name="z569" w:id="463"/>
    <w:p>
      <w:pPr>
        <w:spacing w:after="0"/>
        <w:ind w:left="0"/>
        <w:jc w:val="both"/>
      </w:pPr>
      <w:r>
        <w:rPr>
          <w:rFonts w:ascii="Times New Roman"/>
          <w:b w:val="false"/>
          <w:i w:val="false"/>
          <w:color w:val="000000"/>
          <w:sz w:val="28"/>
        </w:rPr>
        <w:t xml:space="preserve">
      Динамичный процесс принятия решений по актуальным вопросам развития требует системных знаний, основанных на изучении и обобщении положительного опыта. Аналитический центр может оказывать не только аналитическую поддержку деятельности АО "НУХ "Байтерек" и его ДО, но и обеспечивать информационную и консультационную поддержку. </w:t>
      </w:r>
    </w:p>
    <w:bookmarkEnd w:id="463"/>
    <w:bookmarkStart w:name="z570" w:id="464"/>
    <w:p>
      <w:pPr>
        <w:spacing w:after="0"/>
        <w:ind w:left="0"/>
        <w:jc w:val="both"/>
      </w:pPr>
      <w:r>
        <w:rPr>
          <w:rFonts w:ascii="Times New Roman"/>
          <w:b w:val="false"/>
          <w:i w:val="false"/>
          <w:color w:val="000000"/>
          <w:sz w:val="28"/>
        </w:rPr>
        <w:t>
      Основными задачами для аналитического центра могут быть:</w:t>
      </w:r>
    </w:p>
    <w:bookmarkEnd w:id="464"/>
    <w:bookmarkStart w:name="z571" w:id="465"/>
    <w:p>
      <w:pPr>
        <w:spacing w:after="0"/>
        <w:ind w:left="0"/>
        <w:jc w:val="both"/>
      </w:pPr>
      <w:r>
        <w:rPr>
          <w:rFonts w:ascii="Times New Roman"/>
          <w:b w:val="false"/>
          <w:i w:val="false"/>
          <w:color w:val="000000"/>
          <w:sz w:val="28"/>
        </w:rPr>
        <w:t>
      1) определение приоритетов в поддержке развития экономики на основе государственных и правительственных программ развития, а также расширенного анализа макроэкономических и отраслевых данных;</w:t>
      </w:r>
    </w:p>
    <w:bookmarkEnd w:id="465"/>
    <w:bookmarkStart w:name="z572" w:id="466"/>
    <w:p>
      <w:pPr>
        <w:spacing w:after="0"/>
        <w:ind w:left="0"/>
        <w:jc w:val="both"/>
      </w:pPr>
      <w:r>
        <w:rPr>
          <w:rFonts w:ascii="Times New Roman"/>
          <w:b w:val="false"/>
          <w:i w:val="false"/>
          <w:color w:val="000000"/>
          <w:sz w:val="28"/>
        </w:rPr>
        <w:t>
      2) верификация соответствия проектов ДО приоритетам АО "НУХ "Байтерек" и их обоснование на уровне макроэкономики;</w:t>
      </w:r>
    </w:p>
    <w:bookmarkEnd w:id="466"/>
    <w:bookmarkStart w:name="z573" w:id="467"/>
    <w:p>
      <w:pPr>
        <w:spacing w:after="0"/>
        <w:ind w:left="0"/>
        <w:jc w:val="both"/>
      </w:pPr>
      <w:r>
        <w:rPr>
          <w:rFonts w:ascii="Times New Roman"/>
          <w:b w:val="false"/>
          <w:i w:val="false"/>
          <w:color w:val="000000"/>
          <w:sz w:val="28"/>
        </w:rPr>
        <w:t>
      3) выявление синергии через комплексную поддержку клиентов на основе единой базы данных клиентов (CRM);</w:t>
      </w:r>
    </w:p>
    <w:bookmarkEnd w:id="467"/>
    <w:bookmarkStart w:name="z574" w:id="468"/>
    <w:p>
      <w:pPr>
        <w:spacing w:after="0"/>
        <w:ind w:left="0"/>
        <w:jc w:val="both"/>
      </w:pPr>
      <w:r>
        <w:rPr>
          <w:rFonts w:ascii="Times New Roman"/>
          <w:b w:val="false"/>
          <w:i w:val="false"/>
          <w:color w:val="000000"/>
          <w:sz w:val="28"/>
        </w:rPr>
        <w:t>
      4) анализ результативности деятельности АО "НУХ "Байтерек" и его ДО, включая сравнительный анализ с сопоставимыми институтами развития.</w:t>
      </w:r>
    </w:p>
    <w:bookmarkEnd w:id="468"/>
    <w:bookmarkStart w:name="z575" w:id="469"/>
    <w:p>
      <w:pPr>
        <w:spacing w:after="0"/>
        <w:ind w:left="0"/>
        <w:jc w:val="both"/>
      </w:pPr>
      <w:r>
        <w:rPr>
          <w:rFonts w:ascii="Times New Roman"/>
          <w:b w:val="false"/>
          <w:i w:val="false"/>
          <w:color w:val="000000"/>
          <w:sz w:val="28"/>
        </w:rPr>
        <w:t>
      Примерами результатов работы аналитического центра, соответственно, могут быть:</w:t>
      </w:r>
    </w:p>
    <w:bookmarkEnd w:id="469"/>
    <w:bookmarkStart w:name="z576" w:id="470"/>
    <w:p>
      <w:pPr>
        <w:spacing w:after="0"/>
        <w:ind w:left="0"/>
        <w:jc w:val="both"/>
      </w:pPr>
      <w:r>
        <w:rPr>
          <w:rFonts w:ascii="Times New Roman"/>
          <w:b w:val="false"/>
          <w:i w:val="false"/>
          <w:color w:val="000000"/>
          <w:sz w:val="28"/>
        </w:rPr>
        <w:t>
      1) предложения Правительству Республики Казахстан по государственным программам развития экономики;</w:t>
      </w:r>
    </w:p>
    <w:bookmarkEnd w:id="470"/>
    <w:bookmarkStart w:name="z577" w:id="471"/>
    <w:p>
      <w:pPr>
        <w:spacing w:after="0"/>
        <w:ind w:left="0"/>
        <w:jc w:val="both"/>
      </w:pPr>
      <w:r>
        <w:rPr>
          <w:rFonts w:ascii="Times New Roman"/>
          <w:b w:val="false"/>
          <w:i w:val="false"/>
          <w:color w:val="000000"/>
          <w:sz w:val="28"/>
        </w:rPr>
        <w:t>
      2) коммуникация с потенциальными инвесторами по перспективным направлениям поддержки;</w:t>
      </w:r>
    </w:p>
    <w:bookmarkEnd w:id="471"/>
    <w:bookmarkStart w:name="z578" w:id="472"/>
    <w:p>
      <w:pPr>
        <w:spacing w:after="0"/>
        <w:ind w:left="0"/>
        <w:jc w:val="both"/>
      </w:pPr>
      <w:r>
        <w:rPr>
          <w:rFonts w:ascii="Times New Roman"/>
          <w:b w:val="false"/>
          <w:i w:val="false"/>
          <w:color w:val="000000"/>
          <w:sz w:val="28"/>
        </w:rPr>
        <w:t>
      3) варианты структурирования комплексной поддержки клиентов с кросс-продажей инструментов разных ДО;</w:t>
      </w:r>
    </w:p>
    <w:bookmarkEnd w:id="472"/>
    <w:bookmarkStart w:name="z579" w:id="473"/>
    <w:p>
      <w:pPr>
        <w:spacing w:after="0"/>
        <w:ind w:left="0"/>
        <w:jc w:val="both"/>
      </w:pPr>
      <w:r>
        <w:rPr>
          <w:rFonts w:ascii="Times New Roman"/>
          <w:b w:val="false"/>
          <w:i w:val="false"/>
          <w:color w:val="000000"/>
          <w:sz w:val="28"/>
        </w:rPr>
        <w:t>
      4) подтверждение соответствия конкретных проектов ДО приоритетам АО "НУХ "Байтерек" и оценка их целесообразности в контексте экономики Республики Казахстан;</w:t>
      </w:r>
    </w:p>
    <w:bookmarkEnd w:id="473"/>
    <w:bookmarkStart w:name="z580" w:id="474"/>
    <w:p>
      <w:pPr>
        <w:spacing w:after="0"/>
        <w:ind w:left="0"/>
        <w:jc w:val="both"/>
      </w:pPr>
      <w:r>
        <w:rPr>
          <w:rFonts w:ascii="Times New Roman"/>
          <w:b w:val="false"/>
          <w:i w:val="false"/>
          <w:color w:val="000000"/>
          <w:sz w:val="28"/>
        </w:rPr>
        <w:t>
      5) рекомендации по КПД АО "НУХ "Байтерек" и ДО и их оптимальным целевым значениям.</w:t>
      </w:r>
    </w:p>
    <w:bookmarkEnd w:id="474"/>
    <w:p>
      <w:pPr>
        <w:spacing w:after="0"/>
        <w:ind w:left="0"/>
        <w:jc w:val="both"/>
      </w:pPr>
      <w:r>
        <w:rPr>
          <w:rFonts w:ascii="Times New Roman"/>
          <w:b/>
          <w:i w:val="false"/>
          <w:color w:val="000000"/>
          <w:sz w:val="28"/>
        </w:rPr>
        <w:t>Комплексная поддержка клиентов по принципу "одного окна"</w:t>
      </w:r>
    </w:p>
    <w:bookmarkStart w:name="z582" w:id="475"/>
    <w:p>
      <w:pPr>
        <w:spacing w:after="0"/>
        <w:ind w:left="0"/>
        <w:jc w:val="both"/>
      </w:pPr>
      <w:r>
        <w:rPr>
          <w:rFonts w:ascii="Times New Roman"/>
          <w:b w:val="false"/>
          <w:i w:val="false"/>
          <w:color w:val="000000"/>
          <w:sz w:val="28"/>
        </w:rPr>
        <w:t xml:space="preserve">
      Одним из шагов в рамках развития клиентоориентированного подхода АО "НУХ "Байтерек" планирует внедрить принцип "одного окна" (one-stop-shop) в целях повышения уровня работы с клиентами через структуру АО "НУХ "Байтерек" и предоставления комплексных решений. </w:t>
      </w:r>
    </w:p>
    <w:bookmarkEnd w:id="475"/>
    <w:bookmarkStart w:name="z583" w:id="476"/>
    <w:p>
      <w:pPr>
        <w:spacing w:after="0"/>
        <w:ind w:left="0"/>
        <w:jc w:val="both"/>
      </w:pPr>
      <w:r>
        <w:rPr>
          <w:rFonts w:ascii="Times New Roman"/>
          <w:b w:val="false"/>
          <w:i w:val="false"/>
          <w:color w:val="000000"/>
          <w:sz w:val="28"/>
        </w:rPr>
        <w:t>
      Принцип "одного окна" подразумевает формирование комплексной поддержки на уровне АО "НУХ "Байтерек" на базе аналитического центра. При этом непосредственная реализация и предоставление инструментов комплексной поддержки будут осуществляться на уровне ДО с ограниченной вовлеченностью со стороны АО "НУХ "Байтерек" в рамках администрирования процесса без привлечения дополнительных человеческих ресурсов.</w:t>
      </w:r>
    </w:p>
    <w:bookmarkEnd w:id="476"/>
    <w:p>
      <w:pPr>
        <w:spacing w:after="0"/>
        <w:ind w:left="0"/>
        <w:jc w:val="both"/>
      </w:pPr>
      <w:r>
        <w:rPr>
          <w:rFonts w:ascii="Times New Roman"/>
          <w:b/>
          <w:i w:val="false"/>
          <w:color w:val="000000"/>
          <w:sz w:val="28"/>
        </w:rPr>
        <w:t>Реализация комплексной поддержки предпринимательства</w:t>
      </w:r>
    </w:p>
    <w:bookmarkStart w:name="z585" w:id="477"/>
    <w:p>
      <w:pPr>
        <w:spacing w:after="0"/>
        <w:ind w:left="0"/>
        <w:jc w:val="both"/>
      </w:pPr>
      <w:r>
        <w:rPr>
          <w:rFonts w:ascii="Times New Roman"/>
          <w:b w:val="false"/>
          <w:i w:val="false"/>
          <w:color w:val="000000"/>
          <w:sz w:val="28"/>
        </w:rPr>
        <w:t>
      Примером комплексной поддержки может стать нижеследующий пример:</w:t>
      </w:r>
    </w:p>
    <w:bookmarkEnd w:id="477"/>
    <w:bookmarkStart w:name="z586" w:id="478"/>
    <w:p>
      <w:pPr>
        <w:spacing w:after="0"/>
        <w:ind w:left="0"/>
        <w:jc w:val="both"/>
      </w:pPr>
      <w:r>
        <w:rPr>
          <w:rFonts w:ascii="Times New Roman"/>
          <w:b w:val="false"/>
          <w:i w:val="false"/>
          <w:color w:val="000000"/>
          <w:sz w:val="28"/>
        </w:rPr>
        <w:t>
      1) разработка проектной документации и структурирование проекта - KPPF;</w:t>
      </w:r>
    </w:p>
    <w:bookmarkEnd w:id="478"/>
    <w:bookmarkStart w:name="z587" w:id="479"/>
    <w:p>
      <w:pPr>
        <w:spacing w:after="0"/>
        <w:ind w:left="0"/>
        <w:jc w:val="both"/>
      </w:pPr>
      <w:r>
        <w:rPr>
          <w:rFonts w:ascii="Times New Roman"/>
          <w:b w:val="false"/>
          <w:i w:val="false"/>
          <w:color w:val="000000"/>
          <w:sz w:val="28"/>
        </w:rPr>
        <w:t>
      2) долговое и проектное финансирование, лизинг - БРК;</w:t>
      </w:r>
    </w:p>
    <w:bookmarkEnd w:id="479"/>
    <w:bookmarkStart w:name="z588" w:id="480"/>
    <w:p>
      <w:pPr>
        <w:spacing w:after="0"/>
        <w:ind w:left="0"/>
        <w:jc w:val="both"/>
      </w:pPr>
      <w:r>
        <w:rPr>
          <w:rFonts w:ascii="Times New Roman"/>
          <w:b w:val="false"/>
          <w:i w:val="false"/>
          <w:color w:val="000000"/>
          <w:sz w:val="28"/>
        </w:rPr>
        <w:t>
      3) долевое финансирование - ККМ;</w:t>
      </w:r>
    </w:p>
    <w:bookmarkEnd w:id="480"/>
    <w:bookmarkStart w:name="z589" w:id="481"/>
    <w:p>
      <w:pPr>
        <w:spacing w:after="0"/>
        <w:ind w:left="0"/>
        <w:jc w:val="both"/>
      </w:pPr>
      <w:r>
        <w:rPr>
          <w:rFonts w:ascii="Times New Roman"/>
          <w:b w:val="false"/>
          <w:i w:val="false"/>
          <w:color w:val="000000"/>
          <w:sz w:val="28"/>
        </w:rPr>
        <w:t>
      4) страхование экспортных контрактов - КазахЭкспорт.</w:t>
      </w:r>
    </w:p>
    <w:bookmarkEnd w:id="481"/>
    <w:bookmarkStart w:name="z590" w:id="482"/>
    <w:p>
      <w:pPr>
        <w:spacing w:after="0"/>
        <w:ind w:left="0"/>
        <w:jc w:val="both"/>
      </w:pPr>
      <w:r>
        <w:rPr>
          <w:rFonts w:ascii="Times New Roman"/>
          <w:b w:val="false"/>
          <w:i w:val="false"/>
          <w:color w:val="000000"/>
          <w:sz w:val="28"/>
        </w:rPr>
        <w:t>
      В целях реализации данного принципа работы АО "НУХ "Байтерек" требуется эффективная CRM-система, позволяющая отслеживать на уровне АО "НУХ "Байтерек" все клиентские заявки, поступающие в ДО, и реагировать на запросы клиентов. Данная система планируется к внедрению до конца 2017 года.</w:t>
      </w:r>
    </w:p>
    <w:bookmarkEnd w:id="482"/>
    <w:p>
      <w:pPr>
        <w:spacing w:after="0"/>
        <w:ind w:left="0"/>
        <w:jc w:val="both"/>
      </w:pPr>
      <w:r>
        <w:rPr>
          <w:rFonts w:ascii="Times New Roman"/>
          <w:b/>
          <w:i w:val="false"/>
          <w:color w:val="000000"/>
          <w:sz w:val="28"/>
        </w:rPr>
        <w:t>Горизонтальная, гибкая организация в формате проектного офиса</w:t>
      </w:r>
    </w:p>
    <w:bookmarkStart w:name="z592" w:id="483"/>
    <w:p>
      <w:pPr>
        <w:spacing w:after="0"/>
        <w:ind w:left="0"/>
        <w:jc w:val="both"/>
      </w:pPr>
      <w:r>
        <w:rPr>
          <w:rFonts w:ascii="Times New Roman"/>
          <w:b w:val="false"/>
          <w:i w:val="false"/>
          <w:color w:val="000000"/>
          <w:sz w:val="28"/>
        </w:rPr>
        <w:t>
      Гибкая организационная структура - это современный метод ведения бизнеса, который применяется во многих передовых организациях. Термин "гибкая структура" (англ. Agile) происходит от термина информационных технологий по созданию программного обеспечения "гибкая методология разработки". Это набор подходов, который строится на принципах командного взаимодействия, быстроты, отсутствия формализма в общении с заказчиком и гибкости в изменении первоначального плана действий. Главным критерием результативности является работоспособный продукт, полученный в заданные сроки. Основные принципы построения данной структуры:</w:t>
      </w:r>
    </w:p>
    <w:bookmarkEnd w:id="483"/>
    <w:bookmarkStart w:name="z593" w:id="484"/>
    <w:p>
      <w:pPr>
        <w:spacing w:after="0"/>
        <w:ind w:left="0"/>
        <w:jc w:val="both"/>
      </w:pPr>
      <w:r>
        <w:rPr>
          <w:rFonts w:ascii="Times New Roman"/>
          <w:b w:val="false"/>
          <w:i w:val="false"/>
          <w:color w:val="000000"/>
          <w:sz w:val="28"/>
        </w:rPr>
        <w:t xml:space="preserve">
      </w:t>
      </w:r>
      <w:r>
        <w:rPr>
          <w:rFonts w:ascii="Times New Roman"/>
          <w:b/>
          <w:i w:val="false"/>
          <w:color w:val="000000"/>
          <w:sz w:val="28"/>
        </w:rPr>
        <w:t>Горизонтальная, гибкая организационная структура</w:t>
      </w:r>
      <w:r>
        <w:rPr>
          <w:rFonts w:ascii="Times New Roman"/>
          <w:b w:val="false"/>
          <w:i w:val="false"/>
          <w:color w:val="000000"/>
          <w:sz w:val="28"/>
        </w:rPr>
        <w:t>: горизонтальная, гибкая организационная структура подразумевает меньшее число уровней иерархии, чем вертикальная структура. Данный подход повышает динамичность деятельности организации, снижает издержки, повышает эффективность и экономит время принятия решений. Основной рабочей единицей становится кросс-функциональная команда, обладающая всеми необходимыми навыками, инструментариями и полномочиями для выполнения той или иной задачи. Функциональные руководители организации могут отвечать за результаты одновременно нескольких команд.</w:t>
      </w:r>
    </w:p>
    <w:bookmarkEnd w:id="484"/>
    <w:bookmarkStart w:name="z594" w:id="485"/>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Краткосрочные задания, нацеленные на решение задачи</w:t>
      </w:r>
      <w:r>
        <w:rPr>
          <w:rFonts w:ascii="Times New Roman"/>
          <w:b w:val="false"/>
          <w:i w:val="false"/>
          <w:color w:val="000000"/>
          <w:sz w:val="28"/>
        </w:rPr>
        <w:t xml:space="preserve">: рабочий процесс разбивается на короткие циклы, которые длятся не более 2-3 недель. По окончании каждого из них подводятся промежуточные итоги, команды мотивируются на дальнейшую работу в том же темпе. Рабочий процесс основывается на постоянной обратной связи. Данный метод работы предотвращает появление ситуаций, когда команда подготовила решение, но в результате длительного периода его выработки оно уже теряет свою актуальность. </w:t>
      </w:r>
    </w:p>
    <w:bookmarkEnd w:id="485"/>
    <w:p>
      <w:pPr>
        <w:spacing w:after="0"/>
        <w:ind w:left="0"/>
        <w:jc w:val="both"/>
      </w:pPr>
      <w:r>
        <w:rPr>
          <w:rFonts w:ascii="Times New Roman"/>
          <w:b/>
          <w:i w:val="false"/>
          <w:color w:val="000000"/>
          <w:sz w:val="28"/>
        </w:rPr>
        <w:t xml:space="preserve">Формирование единой кадровой политики </w:t>
      </w:r>
    </w:p>
    <w:bookmarkStart w:name="z596" w:id="486"/>
    <w:p>
      <w:pPr>
        <w:spacing w:after="0"/>
        <w:ind w:left="0"/>
        <w:jc w:val="both"/>
      </w:pPr>
      <w:r>
        <w:rPr>
          <w:rFonts w:ascii="Times New Roman"/>
          <w:b w:val="false"/>
          <w:i w:val="false"/>
          <w:color w:val="000000"/>
          <w:sz w:val="28"/>
        </w:rPr>
        <w:t xml:space="preserve">
      В целях обеспечения группы АО "НУХ "Байтерек" необходимыми человеческими ресурсами с необходимой квалификацией и требуемой мотивацией АО "НУХ "Байтерек" проведет работу по формированию и внедрению единой кадровой политики. Задачами кадровой политики являются привлечение и удержание в группе компаний АО "НУХ "Байтерек" профессионалов, способных внести ценный вклад в развитие и рост эффективности АО "НУХ "Байтерек", а также получение максимальной отдачи от инвестиций в человеческие ресурсы. </w:t>
      </w:r>
    </w:p>
    <w:bookmarkEnd w:id="486"/>
    <w:bookmarkStart w:name="z597" w:id="487"/>
    <w:p>
      <w:pPr>
        <w:spacing w:after="0"/>
        <w:ind w:left="0"/>
        <w:jc w:val="both"/>
      </w:pPr>
      <w:r>
        <w:rPr>
          <w:rFonts w:ascii="Times New Roman"/>
          <w:b w:val="false"/>
          <w:i w:val="false"/>
          <w:color w:val="000000"/>
          <w:sz w:val="28"/>
        </w:rPr>
        <w:t xml:space="preserve">
      Исходя из этого единая кадровая политика будет развиваться по следующим направлениям: </w:t>
      </w:r>
    </w:p>
    <w:bookmarkEnd w:id="487"/>
    <w:bookmarkStart w:name="z598" w:id="488"/>
    <w:p>
      <w:pPr>
        <w:spacing w:after="0"/>
        <w:ind w:left="0"/>
        <w:jc w:val="both"/>
      </w:pPr>
      <w:r>
        <w:rPr>
          <w:rFonts w:ascii="Times New Roman"/>
          <w:b w:val="false"/>
          <w:i w:val="false"/>
          <w:color w:val="000000"/>
          <w:sz w:val="28"/>
        </w:rPr>
        <w:t xml:space="preserve">
      1) эффективное планирование трудовых ресурсов будет осуществляться через применение политики открытого конкурсного отбора персонала, обеспечивающего прозрачность, создание интегрированного кадрового резерва из лучших работников для дальнейшего развития и продвижения профессиональных кадров внутри группы компаний АО "НУХ "Байтерек", проведение анализа, рационализации и оптимизации организационной структуры группы компаний АО "НУХ "Байтерек"; </w:t>
      </w:r>
    </w:p>
    <w:bookmarkEnd w:id="488"/>
    <w:bookmarkStart w:name="z599" w:id="489"/>
    <w:p>
      <w:pPr>
        <w:spacing w:after="0"/>
        <w:ind w:left="0"/>
        <w:jc w:val="both"/>
      </w:pPr>
      <w:r>
        <w:rPr>
          <w:rFonts w:ascii="Times New Roman"/>
          <w:b w:val="false"/>
          <w:i w:val="false"/>
          <w:color w:val="000000"/>
          <w:sz w:val="28"/>
        </w:rPr>
        <w:t xml:space="preserve">
      2) обеспечение справедливого и конкурентоспособного вознаграждения за труд на основе внедренной системы грейдов и с учетом регулярного обзора заработных плат на рынке и сопоставимой отрасли, проведения мотивационных исследований, реагирование на изменения в законодательстве Республики Казахстан и т.д.; </w:t>
      </w:r>
    </w:p>
    <w:bookmarkEnd w:id="489"/>
    <w:bookmarkStart w:name="z600" w:id="490"/>
    <w:p>
      <w:pPr>
        <w:spacing w:after="0"/>
        <w:ind w:left="0"/>
        <w:jc w:val="both"/>
      </w:pPr>
      <w:r>
        <w:rPr>
          <w:rFonts w:ascii="Times New Roman"/>
          <w:b w:val="false"/>
          <w:i w:val="false"/>
          <w:color w:val="000000"/>
          <w:sz w:val="28"/>
        </w:rPr>
        <w:t xml:space="preserve">
      3) повышение уровня производительности труда работников через справедливую и систематизированную оценку деятельности способом применения КПД, аттестации персонала и мотивационных мер; </w:t>
      </w:r>
    </w:p>
    <w:bookmarkEnd w:id="490"/>
    <w:bookmarkStart w:name="z601" w:id="491"/>
    <w:p>
      <w:pPr>
        <w:spacing w:after="0"/>
        <w:ind w:left="0"/>
        <w:jc w:val="both"/>
      </w:pPr>
      <w:r>
        <w:rPr>
          <w:rFonts w:ascii="Times New Roman"/>
          <w:b w:val="false"/>
          <w:i w:val="false"/>
          <w:color w:val="000000"/>
          <w:sz w:val="28"/>
        </w:rPr>
        <w:t xml:space="preserve">
      4) продуктивное управление человеческим капиталом обеспечит система постоянного обучения и развития персонала, внедрение и применение в трудовых процессах современных технологий и систем управления информацией, в том числе автоматизации процессов управления знаниями; </w:t>
      </w:r>
    </w:p>
    <w:bookmarkEnd w:id="491"/>
    <w:bookmarkStart w:name="z602" w:id="492"/>
    <w:p>
      <w:pPr>
        <w:spacing w:after="0"/>
        <w:ind w:left="0"/>
        <w:jc w:val="both"/>
      </w:pPr>
      <w:r>
        <w:rPr>
          <w:rFonts w:ascii="Times New Roman"/>
          <w:b w:val="false"/>
          <w:i w:val="false"/>
          <w:color w:val="000000"/>
          <w:sz w:val="28"/>
        </w:rPr>
        <w:t>
      5) эффективная коммуникация и взаимодействие работников будет обеспечиваться путем организации внутренних корпоративных источников регулярного информирования работников и каналов коммуникации, в том числе через работу внутреннего портала (интранет), регулярного изучения мнений и предложений работников, организации деятельности рабочих групп, развития института представителей работников и органов социального партнерства на местах.</w:t>
      </w:r>
    </w:p>
    <w:bookmarkEnd w:id="492"/>
    <w:p>
      <w:pPr>
        <w:spacing w:after="0"/>
        <w:ind w:left="0"/>
        <w:jc w:val="both"/>
      </w:pPr>
      <w:r>
        <w:rPr>
          <w:rFonts w:ascii="Times New Roman"/>
          <w:b/>
          <w:i w:val="false"/>
          <w:color w:val="000000"/>
          <w:sz w:val="28"/>
        </w:rPr>
        <w:t>Повышение прозрачности в деятельности АО "НУХ "Байтерек" и ДО</w:t>
      </w:r>
    </w:p>
    <w:bookmarkStart w:name="z604" w:id="493"/>
    <w:p>
      <w:pPr>
        <w:spacing w:after="0"/>
        <w:ind w:left="0"/>
        <w:jc w:val="both"/>
      </w:pPr>
      <w:r>
        <w:rPr>
          <w:rFonts w:ascii="Times New Roman"/>
          <w:b w:val="false"/>
          <w:i w:val="false"/>
          <w:color w:val="000000"/>
          <w:sz w:val="28"/>
        </w:rPr>
        <w:t xml:space="preserve">
      Учитывая высокую экономическую и социальную значимость деятельности институтов развития в лице АО "НУХ "Байтерек" и его ДО, АО "НУХ "Байтерек" будет стремиться к активному информированию целевых аудиторий о своей деятельности. Это позволит добиваться вовлечения граждан и делового сообщества в программы, реализуемые АО "НУХ "Байтерек", а также целенаправленно укреплять его деловую репутацию. </w:t>
      </w:r>
    </w:p>
    <w:bookmarkEnd w:id="493"/>
    <w:bookmarkStart w:name="z605" w:id="494"/>
    <w:p>
      <w:pPr>
        <w:spacing w:after="0"/>
        <w:ind w:left="0"/>
        <w:jc w:val="both"/>
      </w:pPr>
      <w:r>
        <w:rPr>
          <w:rFonts w:ascii="Times New Roman"/>
          <w:b w:val="false"/>
          <w:i w:val="false"/>
          <w:color w:val="000000"/>
          <w:sz w:val="28"/>
        </w:rPr>
        <w:t xml:space="preserve">
      В рамках реализации данной задачи АО "НУХ "Байтерек" осуществляется комплекс специальных мероприятий по связям с общественностью и реклама на основе единой коммуникационной стратегии. </w:t>
      </w:r>
    </w:p>
    <w:bookmarkEnd w:id="494"/>
    <w:bookmarkStart w:name="z606" w:id="495"/>
    <w:p>
      <w:pPr>
        <w:spacing w:after="0"/>
        <w:ind w:left="0"/>
        <w:jc w:val="both"/>
      </w:pPr>
      <w:r>
        <w:rPr>
          <w:rFonts w:ascii="Times New Roman"/>
          <w:b w:val="false"/>
          <w:i w:val="false"/>
          <w:color w:val="000000"/>
          <w:sz w:val="28"/>
        </w:rPr>
        <w:t xml:space="preserve">
      Учитывая высокий уровень внимания к деятельности АО "НУХ "Байтерек", как к субъекту квазигосударственного сектора, АО "НУХ "Байтерек" обеспечит высокий уровень прозрачности принимаемых решений в части реализации государственных и правительственных программ, а также отдельных внутренних процедур, привлекающих наибольшее внимание внешних аудиторий (закупки, прием на работу, предоставление финансовых и нефинансовых инструментов поддержки). Для выполнения данной задачи планируется использовать возможности современных информационных технологий и традиционные средства коммуникаций. </w:t>
      </w:r>
    </w:p>
    <w:bookmarkEnd w:id="495"/>
    <w:bookmarkStart w:name="z607" w:id="496"/>
    <w:p>
      <w:pPr>
        <w:spacing w:after="0"/>
        <w:ind w:left="0"/>
        <w:jc w:val="both"/>
      </w:pPr>
      <w:r>
        <w:rPr>
          <w:rFonts w:ascii="Times New Roman"/>
          <w:b w:val="false"/>
          <w:i w:val="false"/>
          <w:color w:val="000000"/>
          <w:sz w:val="28"/>
        </w:rPr>
        <w:t>
      По аналогии с сопоставимыми институтами развития, а также в соответствии с действующим законодательством Республики Казахстан об акционерных обществах, АО "НУХ "Байтерек" будет стремиться к раскрытию актуальной информации о финансовом состоянии, дивидендной политике и кредитной истории, а также перспективах развития ДО, что будет способствовать повышению статуса АО "НУХ "Байтерек" и его ДО. Повышение прозрачности деятельности также необходимо для повышения уровня доверия населения.</w:t>
      </w:r>
    </w:p>
    <w:bookmarkEnd w:id="496"/>
    <w:bookmarkStart w:name="z608" w:id="497"/>
    <w:p>
      <w:pPr>
        <w:spacing w:after="0"/>
        <w:ind w:left="0"/>
        <w:jc w:val="both"/>
      </w:pPr>
      <w:r>
        <w:rPr>
          <w:rFonts w:ascii="Times New Roman"/>
          <w:b w:val="false"/>
          <w:i w:val="false"/>
          <w:color w:val="000000"/>
          <w:sz w:val="28"/>
        </w:rPr>
        <w:t>
      Важным фактором повышения доверия целевых аудиторий к деятельности АО "НУХ "Байтерек" станет последовательное усиление уровня удовлетворенности клиентов качеством услуг, оказываемых АО "НУХ "Байтерек" и его ДО. Для этого АО "НУХ "Байтерек" будет проводить оценку уровня клиентоориентированности и целенаправленно улучшать данный показатель.</w:t>
      </w:r>
    </w:p>
    <w:bookmarkEnd w:id="497"/>
    <w:bookmarkStart w:name="z609" w:id="498"/>
    <w:p>
      <w:pPr>
        <w:spacing w:after="0"/>
        <w:ind w:left="0"/>
        <w:jc w:val="both"/>
      </w:pPr>
      <w:r>
        <w:rPr>
          <w:rFonts w:ascii="Times New Roman"/>
          <w:b w:val="false"/>
          <w:i w:val="false"/>
          <w:color w:val="000000"/>
          <w:sz w:val="28"/>
        </w:rPr>
        <w:t>
      Повышение уровня доверия к деятельности АО "НУХ "Байтерек" позитивно отразится на эффективности его деятельности, так как недостаточный уровень прозрачности может влиять на привлечение внешнего фондирования и его стоимость.</w:t>
      </w:r>
    </w:p>
    <w:bookmarkEnd w:id="498"/>
    <w:bookmarkStart w:name="z610" w:id="499"/>
    <w:p>
      <w:pPr>
        <w:spacing w:after="0"/>
        <w:ind w:left="0"/>
        <w:jc w:val="both"/>
      </w:pPr>
      <w:r>
        <w:rPr>
          <w:rFonts w:ascii="Times New Roman"/>
          <w:b w:val="false"/>
          <w:i w:val="false"/>
          <w:color w:val="000000"/>
          <w:sz w:val="28"/>
        </w:rPr>
        <w:t>
      Новый уровень прозрачности АО "НУХ "Байтерек" и ДО для внутренних и внешних заинтересованных лиц будет включать несколько направлений:</w:t>
      </w:r>
    </w:p>
    <w:bookmarkEnd w:id="499"/>
    <w:bookmarkStart w:name="z611" w:id="500"/>
    <w:p>
      <w:pPr>
        <w:spacing w:after="0"/>
        <w:ind w:left="0"/>
        <w:jc w:val="both"/>
      </w:pPr>
      <w:r>
        <w:rPr>
          <w:rFonts w:ascii="Times New Roman"/>
          <w:b w:val="false"/>
          <w:i w:val="false"/>
          <w:color w:val="000000"/>
          <w:sz w:val="28"/>
        </w:rPr>
        <w:t>
      1) проактивная коммуникация подходов к принятию инвестиционных и стратегических решений;</w:t>
      </w:r>
    </w:p>
    <w:bookmarkEnd w:id="500"/>
    <w:bookmarkStart w:name="z612" w:id="501"/>
    <w:p>
      <w:pPr>
        <w:spacing w:after="0"/>
        <w:ind w:left="0"/>
        <w:jc w:val="both"/>
      </w:pPr>
      <w:r>
        <w:rPr>
          <w:rFonts w:ascii="Times New Roman"/>
          <w:b w:val="false"/>
          <w:i w:val="false"/>
          <w:color w:val="000000"/>
          <w:sz w:val="28"/>
        </w:rPr>
        <w:t>
      2) всестороннее информирование клиентов об инструментах и принципах работы ДО;</w:t>
      </w:r>
    </w:p>
    <w:bookmarkEnd w:id="501"/>
    <w:bookmarkStart w:name="z613" w:id="502"/>
    <w:p>
      <w:pPr>
        <w:spacing w:after="0"/>
        <w:ind w:left="0"/>
        <w:jc w:val="both"/>
      </w:pPr>
      <w:r>
        <w:rPr>
          <w:rFonts w:ascii="Times New Roman"/>
          <w:b w:val="false"/>
          <w:i w:val="false"/>
          <w:color w:val="000000"/>
          <w:sz w:val="28"/>
        </w:rPr>
        <w:t>
      3) информирование о достигнутом социально-экономическом эффекте, включая раскрытие информации о влиянии деятельности АО "НУХ "Байтерек" на ВВП страны, создание рабочих мест;</w:t>
      </w:r>
    </w:p>
    <w:bookmarkEnd w:id="502"/>
    <w:bookmarkStart w:name="z614" w:id="503"/>
    <w:p>
      <w:pPr>
        <w:spacing w:after="0"/>
        <w:ind w:left="0"/>
        <w:jc w:val="both"/>
      </w:pPr>
      <w:r>
        <w:rPr>
          <w:rFonts w:ascii="Times New Roman"/>
          <w:b w:val="false"/>
          <w:i w:val="false"/>
          <w:color w:val="000000"/>
          <w:sz w:val="28"/>
        </w:rPr>
        <w:t>
      4) примеры действий по расширению диалога между АО "НУХ "Байтерек" и внешними заинтересованными сторонами:</w:t>
      </w:r>
    </w:p>
    <w:bookmarkEnd w:id="503"/>
    <w:bookmarkStart w:name="z615" w:id="504"/>
    <w:p>
      <w:pPr>
        <w:spacing w:after="0"/>
        <w:ind w:left="0"/>
        <w:jc w:val="both"/>
      </w:pPr>
      <w:r>
        <w:rPr>
          <w:rFonts w:ascii="Times New Roman"/>
          <w:b w:val="false"/>
          <w:i w:val="false"/>
          <w:color w:val="000000"/>
          <w:sz w:val="28"/>
        </w:rPr>
        <w:t>
      - организация регулярных встреч с общественностью (круглых столов, брифингов, размещение информации в открытом доступе) для обсуждения хода реализации программ, обмена мнениями между АО "НУХ "Байтерек", Парламентом Республики Казахстан и общественностью;</w:t>
      </w:r>
    </w:p>
    <w:bookmarkEnd w:id="504"/>
    <w:bookmarkStart w:name="z616" w:id="505"/>
    <w:p>
      <w:pPr>
        <w:spacing w:after="0"/>
        <w:ind w:left="0"/>
        <w:jc w:val="both"/>
      </w:pPr>
      <w:r>
        <w:rPr>
          <w:rFonts w:ascii="Times New Roman"/>
          <w:b w:val="false"/>
          <w:i w:val="false"/>
          <w:color w:val="000000"/>
          <w:sz w:val="28"/>
        </w:rPr>
        <w:t>
      - доведение до клиентов информации о новых инструментах и принципах работы;</w:t>
      </w:r>
    </w:p>
    <w:bookmarkEnd w:id="505"/>
    <w:bookmarkStart w:name="z617" w:id="506"/>
    <w:p>
      <w:pPr>
        <w:spacing w:after="0"/>
        <w:ind w:left="0"/>
        <w:jc w:val="both"/>
      </w:pPr>
      <w:r>
        <w:rPr>
          <w:rFonts w:ascii="Times New Roman"/>
          <w:b w:val="false"/>
          <w:i w:val="false"/>
          <w:color w:val="000000"/>
          <w:sz w:val="28"/>
        </w:rPr>
        <w:t>
      - получение обратной связи.</w:t>
      </w:r>
    </w:p>
    <w:bookmarkEnd w:id="506"/>
    <w:p>
      <w:pPr>
        <w:spacing w:after="0"/>
        <w:ind w:left="0"/>
        <w:jc w:val="both"/>
      </w:pPr>
      <w:r>
        <w:rPr>
          <w:rFonts w:ascii="Times New Roman"/>
          <w:b/>
          <w:i w:val="false"/>
          <w:color w:val="000000"/>
          <w:sz w:val="28"/>
        </w:rPr>
        <w:t>5. КПД АО "НУХ "Байтерек" до 2023 года и методология расчета показателей</w:t>
      </w:r>
    </w:p>
    <w:bookmarkStart w:name="z619" w:id="507"/>
    <w:p>
      <w:pPr>
        <w:spacing w:after="0"/>
        <w:ind w:left="0"/>
        <w:jc w:val="both"/>
      </w:pPr>
      <w:r>
        <w:rPr>
          <w:rFonts w:ascii="Times New Roman"/>
          <w:b w:val="false"/>
          <w:i w:val="false"/>
          <w:color w:val="000000"/>
          <w:sz w:val="28"/>
        </w:rPr>
        <w:t>
      С момента утверждения Стратегии в 2014 году АО "НУХ "Байтерек" для анализа эффективности своей деятельности на постоянной основе проводил мониторинг и анализ достижения поставленных целей по 28 КПД, которые были сгруппированы по шести направлениям:</w:t>
      </w:r>
    </w:p>
    <w:bookmarkEnd w:id="507"/>
    <w:bookmarkStart w:name="z620" w:id="508"/>
    <w:p>
      <w:pPr>
        <w:spacing w:after="0"/>
        <w:ind w:left="0"/>
        <w:jc w:val="both"/>
      </w:pPr>
      <w:r>
        <w:rPr>
          <w:rFonts w:ascii="Times New Roman"/>
          <w:b w:val="false"/>
          <w:i w:val="false"/>
          <w:color w:val="000000"/>
          <w:sz w:val="28"/>
        </w:rPr>
        <w:t>
      1) становление АО "НУХ "Байтерек" в качестве интегрированного института развития;</w:t>
      </w:r>
    </w:p>
    <w:bookmarkEnd w:id="508"/>
    <w:bookmarkStart w:name="z621" w:id="509"/>
    <w:p>
      <w:pPr>
        <w:spacing w:after="0"/>
        <w:ind w:left="0"/>
        <w:jc w:val="both"/>
      </w:pPr>
      <w:r>
        <w:rPr>
          <w:rFonts w:ascii="Times New Roman"/>
          <w:b w:val="false"/>
          <w:i w:val="false"/>
          <w:color w:val="000000"/>
          <w:sz w:val="28"/>
        </w:rPr>
        <w:t>
      2) содействие устойчивому развитию экономики Республики Казахстан посредством оказания финансовой поддержки приоритетным секторам экономики;</w:t>
      </w:r>
    </w:p>
    <w:bookmarkEnd w:id="509"/>
    <w:bookmarkStart w:name="z622" w:id="510"/>
    <w:p>
      <w:pPr>
        <w:spacing w:after="0"/>
        <w:ind w:left="0"/>
        <w:jc w:val="both"/>
      </w:pPr>
      <w:r>
        <w:rPr>
          <w:rFonts w:ascii="Times New Roman"/>
          <w:b w:val="false"/>
          <w:i w:val="false"/>
          <w:color w:val="000000"/>
          <w:sz w:val="28"/>
        </w:rPr>
        <w:t>
      3) поддержка малого и среднего предпринимательства;</w:t>
      </w:r>
    </w:p>
    <w:bookmarkEnd w:id="510"/>
    <w:bookmarkStart w:name="z623" w:id="511"/>
    <w:p>
      <w:pPr>
        <w:spacing w:after="0"/>
        <w:ind w:left="0"/>
        <w:jc w:val="both"/>
      </w:pPr>
      <w:r>
        <w:rPr>
          <w:rFonts w:ascii="Times New Roman"/>
          <w:b w:val="false"/>
          <w:i w:val="false"/>
          <w:color w:val="000000"/>
          <w:sz w:val="28"/>
        </w:rPr>
        <w:t>
      4) поддержка новых, современных отраслей экономики и развитие инноваций;</w:t>
      </w:r>
    </w:p>
    <w:bookmarkEnd w:id="511"/>
    <w:bookmarkStart w:name="z624" w:id="512"/>
    <w:p>
      <w:pPr>
        <w:spacing w:after="0"/>
        <w:ind w:left="0"/>
        <w:jc w:val="both"/>
      </w:pPr>
      <w:r>
        <w:rPr>
          <w:rFonts w:ascii="Times New Roman"/>
          <w:b w:val="false"/>
          <w:i w:val="false"/>
          <w:color w:val="000000"/>
          <w:sz w:val="28"/>
        </w:rPr>
        <w:t>
      5) поддержка экспортной деятельности казахстанских компаний;</w:t>
      </w:r>
    </w:p>
    <w:bookmarkEnd w:id="512"/>
    <w:bookmarkStart w:name="z625" w:id="513"/>
    <w:p>
      <w:pPr>
        <w:spacing w:after="0"/>
        <w:ind w:left="0"/>
        <w:jc w:val="both"/>
      </w:pPr>
      <w:r>
        <w:rPr>
          <w:rFonts w:ascii="Times New Roman"/>
          <w:b w:val="false"/>
          <w:i w:val="false"/>
          <w:color w:val="000000"/>
          <w:sz w:val="28"/>
        </w:rPr>
        <w:t>
      6) содействие решению социально-ориентированных задач государства.</w:t>
      </w:r>
    </w:p>
    <w:bookmarkEnd w:id="513"/>
    <w:bookmarkStart w:name="z626" w:id="514"/>
    <w:p>
      <w:pPr>
        <w:spacing w:after="0"/>
        <w:ind w:left="0"/>
        <w:jc w:val="both"/>
      </w:pPr>
      <w:r>
        <w:rPr>
          <w:rFonts w:ascii="Times New Roman"/>
          <w:b w:val="false"/>
          <w:i w:val="false"/>
          <w:color w:val="000000"/>
          <w:sz w:val="28"/>
        </w:rPr>
        <w:t>
      Набор из 28 КПД не был оптимальным ввиду следующих причин:</w:t>
      </w:r>
    </w:p>
    <w:bookmarkEnd w:id="514"/>
    <w:bookmarkStart w:name="z627" w:id="515"/>
    <w:p>
      <w:pPr>
        <w:spacing w:after="0"/>
        <w:ind w:left="0"/>
        <w:jc w:val="both"/>
      </w:pPr>
      <w:r>
        <w:rPr>
          <w:rFonts w:ascii="Times New Roman"/>
          <w:b w:val="false"/>
          <w:i w:val="false"/>
          <w:color w:val="000000"/>
          <w:sz w:val="28"/>
        </w:rPr>
        <w:t xml:space="preserve">
      </w:t>
      </w:r>
      <w:r>
        <w:rPr>
          <w:rFonts w:ascii="Times New Roman"/>
          <w:b/>
          <w:i w:val="false"/>
          <w:color w:val="000000"/>
          <w:sz w:val="28"/>
        </w:rPr>
        <w:t>1) количество КПД:</w:t>
      </w:r>
      <w:r>
        <w:rPr>
          <w:rFonts w:ascii="Times New Roman"/>
          <w:b w:val="false"/>
          <w:i w:val="false"/>
          <w:color w:val="000000"/>
          <w:sz w:val="28"/>
        </w:rPr>
        <w:t xml:space="preserve"> термин КПД расшифровывается как "ключевой показатель деятельности", подразумевая лишь ограниченное количество метрик, которые являются ключевыми для достижения того или иного результата. Большое количество стратегических КПД не позволяет организации полноценно сфокусироваться на основной деятельности и исключительно важных параметрах. Это происходит во многом из-за того, что вес отдельно взятого КПД для реализации стратегии в целом становится уже не столь значителен. </w:t>
      </w:r>
    </w:p>
    <w:bookmarkEnd w:id="515"/>
    <w:bookmarkStart w:name="z628" w:id="516"/>
    <w:p>
      <w:pPr>
        <w:spacing w:after="0"/>
        <w:ind w:left="0"/>
        <w:jc w:val="both"/>
      </w:pPr>
      <w:r>
        <w:rPr>
          <w:rFonts w:ascii="Times New Roman"/>
          <w:b w:val="false"/>
          <w:i w:val="false"/>
          <w:color w:val="000000"/>
          <w:sz w:val="28"/>
        </w:rPr>
        <w:t>
      Также в ситуациях, когда много КПД не достигнуто, при большом их общем количестве, происходит размывание ответственности в определенной степени, так как ответственные за исполнение отдельных КПД бизнес единицы (ответственные лица, департаменты, ДО) являются ответственными лишь за малую часть "невыполнения". В случае АО "НУХ "Байтерек" и его 28 КПД - невыполнение одного из них влечет за собой недостижение всего 3,6 % от общей цели.</w:t>
      </w:r>
    </w:p>
    <w:bookmarkEnd w:id="516"/>
    <w:bookmarkStart w:name="z629" w:id="517"/>
    <w:p>
      <w:pPr>
        <w:spacing w:after="0"/>
        <w:ind w:left="0"/>
        <w:jc w:val="both"/>
      </w:pPr>
      <w:r>
        <w:rPr>
          <w:rFonts w:ascii="Times New Roman"/>
          <w:b w:val="false"/>
          <w:i w:val="false"/>
          <w:color w:val="000000"/>
          <w:sz w:val="28"/>
        </w:rPr>
        <w:t>
      Для крупных и комплексных организаций зачастую устанавливаются не более 5-10 КПД, чтобы обозначить самые главные приоритеты, выполнение которых критически важно для эффективности организации. Прочие показатели могут использоваться для внутреннего операционного и управленческого контроля, но не для общей оценки эффективности.</w:t>
      </w:r>
    </w:p>
    <w:bookmarkEnd w:id="517"/>
    <w:bookmarkStart w:name="z630" w:id="518"/>
    <w:p>
      <w:pPr>
        <w:spacing w:after="0"/>
        <w:ind w:left="0"/>
        <w:jc w:val="both"/>
      </w:pPr>
      <w:r>
        <w:rPr>
          <w:rFonts w:ascii="Times New Roman"/>
          <w:b w:val="false"/>
          <w:i w:val="false"/>
          <w:color w:val="000000"/>
          <w:sz w:val="28"/>
        </w:rPr>
        <w:t>
      Таким образом, в набор КПД АО "НУХ "Байтерек" должны попасть избранные, стратегически важные метрики, в ограниченном количестве, невыполнение каждой из которых будет оказывать критический эффект на деятельность АО "НУХ "Байтерек";</w:t>
      </w:r>
    </w:p>
    <w:bookmarkEnd w:id="518"/>
    <w:bookmarkStart w:name="z631" w:id="519"/>
    <w:p>
      <w:pPr>
        <w:spacing w:after="0"/>
        <w:ind w:left="0"/>
        <w:jc w:val="both"/>
      </w:pPr>
      <w:r>
        <w:rPr>
          <w:rFonts w:ascii="Times New Roman"/>
          <w:b w:val="false"/>
          <w:i w:val="false"/>
          <w:color w:val="000000"/>
          <w:sz w:val="28"/>
        </w:rPr>
        <w:t xml:space="preserve">
      </w:t>
      </w:r>
      <w:r>
        <w:rPr>
          <w:rFonts w:ascii="Times New Roman"/>
          <w:b/>
          <w:i w:val="false"/>
          <w:color w:val="000000"/>
          <w:sz w:val="28"/>
        </w:rPr>
        <w:t>2) каскадирование КПД</w:t>
      </w:r>
      <w:r>
        <w:rPr>
          <w:rFonts w:ascii="Times New Roman"/>
          <w:b w:val="false"/>
          <w:i w:val="false"/>
          <w:color w:val="000000"/>
          <w:sz w:val="28"/>
        </w:rPr>
        <w:t>: Среди стратегических КПД АО "НУХ "Байтерек" были показатели, которые относились исключительно к деятельности той или иной отдельно взятой ДО. Например:</w:t>
      </w:r>
    </w:p>
    <w:bookmarkEnd w:id="519"/>
    <w:bookmarkStart w:name="z632" w:id="520"/>
    <w:p>
      <w:pPr>
        <w:spacing w:after="0"/>
        <w:ind w:left="0"/>
        <w:jc w:val="both"/>
      </w:pPr>
      <w:r>
        <w:rPr>
          <w:rFonts w:ascii="Times New Roman"/>
          <w:b w:val="false"/>
          <w:i w:val="false"/>
          <w:color w:val="000000"/>
          <w:sz w:val="28"/>
        </w:rPr>
        <w:t>
      1) индекс эффекта развития проектов - БРК;</w:t>
      </w:r>
    </w:p>
    <w:bookmarkEnd w:id="520"/>
    <w:bookmarkStart w:name="z633" w:id="521"/>
    <w:p>
      <w:pPr>
        <w:spacing w:after="0"/>
        <w:ind w:left="0"/>
        <w:jc w:val="both"/>
      </w:pPr>
      <w:r>
        <w:rPr>
          <w:rFonts w:ascii="Times New Roman"/>
          <w:b w:val="false"/>
          <w:i w:val="false"/>
          <w:color w:val="000000"/>
          <w:sz w:val="28"/>
        </w:rPr>
        <w:t>
      2) кумулятивное количество инфраструктурных проектов, в том числе проектов ГЧП, по которым оказаны услуги по консультативному сопровождению, - KPPF;</w:t>
      </w:r>
    </w:p>
    <w:bookmarkEnd w:id="521"/>
    <w:bookmarkStart w:name="z634" w:id="522"/>
    <w:p>
      <w:pPr>
        <w:spacing w:after="0"/>
        <w:ind w:left="0"/>
        <w:jc w:val="both"/>
      </w:pPr>
      <w:r>
        <w:rPr>
          <w:rFonts w:ascii="Times New Roman"/>
          <w:b w:val="false"/>
          <w:i w:val="false"/>
          <w:color w:val="000000"/>
          <w:sz w:val="28"/>
        </w:rPr>
        <w:t>
      3) доля привлеченных прямых частных инвестиций в Республике Казахстан к единице государственных средств (в акционерный капитал) - KКM;</w:t>
      </w:r>
    </w:p>
    <w:bookmarkEnd w:id="522"/>
    <w:bookmarkStart w:name="z635" w:id="523"/>
    <w:p>
      <w:pPr>
        <w:spacing w:after="0"/>
        <w:ind w:left="0"/>
        <w:jc w:val="both"/>
      </w:pPr>
      <w:r>
        <w:rPr>
          <w:rFonts w:ascii="Times New Roman"/>
          <w:b w:val="false"/>
          <w:i w:val="false"/>
          <w:color w:val="000000"/>
          <w:sz w:val="28"/>
        </w:rPr>
        <w:t>
      4) доля участников программ обучения, открывших бизнес, % - Даму;</w:t>
      </w:r>
    </w:p>
    <w:bookmarkEnd w:id="523"/>
    <w:bookmarkStart w:name="z636" w:id="524"/>
    <w:p>
      <w:pPr>
        <w:spacing w:after="0"/>
        <w:ind w:left="0"/>
        <w:jc w:val="both"/>
      </w:pPr>
      <w:r>
        <w:rPr>
          <w:rFonts w:ascii="Times New Roman"/>
          <w:b w:val="false"/>
          <w:i w:val="false"/>
          <w:color w:val="000000"/>
          <w:sz w:val="28"/>
        </w:rPr>
        <w:t>
      5) количество предприятий, осуществивших трансферт технологий, - НАТР;</w:t>
      </w:r>
    </w:p>
    <w:bookmarkEnd w:id="524"/>
    <w:bookmarkStart w:name="z637" w:id="525"/>
    <w:p>
      <w:pPr>
        <w:spacing w:after="0"/>
        <w:ind w:left="0"/>
        <w:jc w:val="both"/>
      </w:pPr>
      <w:r>
        <w:rPr>
          <w:rFonts w:ascii="Times New Roman"/>
          <w:b w:val="false"/>
          <w:i w:val="false"/>
          <w:color w:val="000000"/>
          <w:sz w:val="28"/>
        </w:rPr>
        <w:t>
      6) доля покрытия несырьевого экспорта, % - КазахЭкспорт;</w:t>
      </w:r>
    </w:p>
    <w:bookmarkEnd w:id="525"/>
    <w:bookmarkStart w:name="z638" w:id="526"/>
    <w:p>
      <w:pPr>
        <w:spacing w:after="0"/>
        <w:ind w:left="0"/>
        <w:jc w:val="both"/>
      </w:pPr>
      <w:r>
        <w:rPr>
          <w:rFonts w:ascii="Times New Roman"/>
          <w:b w:val="false"/>
          <w:i w:val="false"/>
          <w:color w:val="000000"/>
          <w:sz w:val="28"/>
        </w:rPr>
        <w:t>
      7) доля экспортоориентированных предприятий, которым оказаны консультационные услуги, % - КазахЭкспорт;</w:t>
      </w:r>
    </w:p>
    <w:bookmarkEnd w:id="526"/>
    <w:bookmarkStart w:name="z639" w:id="527"/>
    <w:p>
      <w:pPr>
        <w:spacing w:after="0"/>
        <w:ind w:left="0"/>
        <w:jc w:val="both"/>
      </w:pPr>
      <w:r>
        <w:rPr>
          <w:rFonts w:ascii="Times New Roman"/>
          <w:b w:val="false"/>
          <w:i w:val="false"/>
          <w:color w:val="000000"/>
          <w:sz w:val="28"/>
        </w:rPr>
        <w:t>
      8) доли участников системы жилстройсбережений к экономически активному населению, % - ЖССБК;</w:t>
      </w:r>
    </w:p>
    <w:bookmarkEnd w:id="527"/>
    <w:bookmarkStart w:name="z640" w:id="528"/>
    <w:p>
      <w:pPr>
        <w:spacing w:after="0"/>
        <w:ind w:left="0"/>
        <w:jc w:val="both"/>
      </w:pPr>
      <w:r>
        <w:rPr>
          <w:rFonts w:ascii="Times New Roman"/>
          <w:b w:val="false"/>
          <w:i w:val="false"/>
          <w:color w:val="000000"/>
          <w:sz w:val="28"/>
        </w:rPr>
        <w:t>
      9) объем вводимого арендного жилья, тыс. м</w:t>
      </w:r>
      <w:r>
        <w:rPr>
          <w:rFonts w:ascii="Times New Roman"/>
          <w:b w:val="false"/>
          <w:i w:val="false"/>
          <w:color w:val="000000"/>
          <w:vertAlign w:val="superscript"/>
        </w:rPr>
        <w:t>2</w:t>
      </w:r>
      <w:r>
        <w:rPr>
          <w:rFonts w:ascii="Times New Roman"/>
          <w:b w:val="false"/>
          <w:i w:val="false"/>
          <w:color w:val="000000"/>
          <w:sz w:val="28"/>
        </w:rPr>
        <w:t xml:space="preserve"> - КИК;</w:t>
      </w:r>
    </w:p>
    <w:bookmarkEnd w:id="528"/>
    <w:bookmarkStart w:name="z641" w:id="529"/>
    <w:p>
      <w:pPr>
        <w:spacing w:after="0"/>
        <w:ind w:left="0"/>
        <w:jc w:val="both"/>
      </w:pPr>
      <w:r>
        <w:rPr>
          <w:rFonts w:ascii="Times New Roman"/>
          <w:b w:val="false"/>
          <w:i w:val="false"/>
          <w:color w:val="000000"/>
          <w:sz w:val="28"/>
        </w:rPr>
        <w:t>
      10) объем приобретения прав требования ипотечных займов у БВУ-партнеров, млрд. тенге - КИК;</w:t>
      </w:r>
    </w:p>
    <w:bookmarkEnd w:id="529"/>
    <w:bookmarkStart w:name="z642" w:id="530"/>
    <w:p>
      <w:pPr>
        <w:spacing w:after="0"/>
        <w:ind w:left="0"/>
        <w:jc w:val="both"/>
      </w:pPr>
      <w:r>
        <w:rPr>
          <w:rFonts w:ascii="Times New Roman"/>
          <w:b w:val="false"/>
          <w:i w:val="false"/>
          <w:color w:val="000000"/>
          <w:sz w:val="28"/>
        </w:rPr>
        <w:t>
      11) доля ипотечных займов в портфеле БВУ, обеспеченных гарантией АО "КФГИК", % - ФГЖС.</w:t>
      </w:r>
    </w:p>
    <w:bookmarkEnd w:id="530"/>
    <w:bookmarkStart w:name="z643" w:id="531"/>
    <w:p>
      <w:pPr>
        <w:spacing w:after="0"/>
        <w:ind w:left="0"/>
        <w:jc w:val="both"/>
      </w:pPr>
      <w:r>
        <w:rPr>
          <w:rFonts w:ascii="Times New Roman"/>
          <w:b w:val="false"/>
          <w:i w:val="false"/>
          <w:color w:val="000000"/>
          <w:sz w:val="28"/>
        </w:rPr>
        <w:t>
      Так как влияние АО "НУХ "Байтерек" на выполнение данных КПД сводится исключительно к мониторингу и администрированию деятельности ответственной ДО, данные метрики должны быть отражены на уровне отдельных ДО. На уровне АО "НУХ "Байтерек" должны быть установлены КПД, которые зависят от деятельности всех или многих ДО, при этом АО "НУХ "Байтерек" может осуществлять каскадирование таких КПД на уровень ДО с учетом специфики каждой ДО и обеспечивать их выполнение в ДО через систему корпоративного управления для достижения общего результата на портфельном уровне;</w:t>
      </w:r>
    </w:p>
    <w:bookmarkEnd w:id="531"/>
    <w:bookmarkStart w:name="z644" w:id="532"/>
    <w:p>
      <w:pPr>
        <w:spacing w:after="0"/>
        <w:ind w:left="0"/>
        <w:jc w:val="both"/>
      </w:pPr>
      <w:r>
        <w:rPr>
          <w:rFonts w:ascii="Times New Roman"/>
          <w:b w:val="false"/>
          <w:i w:val="false"/>
          <w:color w:val="000000"/>
          <w:sz w:val="28"/>
        </w:rPr>
        <w:t xml:space="preserve">
      </w:t>
      </w:r>
      <w:r>
        <w:rPr>
          <w:rFonts w:ascii="Times New Roman"/>
          <w:b/>
          <w:i w:val="false"/>
          <w:color w:val="000000"/>
          <w:sz w:val="28"/>
        </w:rPr>
        <w:t>3) направленность КПД на эффективность и качество:</w:t>
      </w:r>
    </w:p>
    <w:bookmarkEnd w:id="532"/>
    <w:bookmarkStart w:name="z645" w:id="533"/>
    <w:p>
      <w:pPr>
        <w:spacing w:after="0"/>
        <w:ind w:left="0"/>
        <w:jc w:val="both"/>
      </w:pPr>
      <w:r>
        <w:rPr>
          <w:rFonts w:ascii="Times New Roman"/>
          <w:b w:val="false"/>
          <w:i w:val="false"/>
          <w:color w:val="000000"/>
          <w:sz w:val="28"/>
        </w:rPr>
        <w:t>
      Среди стратегических КПД АО "НУХ "Байтерек" были показатели, которые ориентированы исключительно на измерение количества, доли, объемов того или иного инструмента поддержки, а не результатов соответствующей поддержки или деятельности. В отсутствии привязки к показателям эффективности и качества эффективности, оценка объема не дает понимание эффективности деятельности АО "НУХ "Байтерек" и не в полной мере отражает вклад. Например:</w:t>
      </w:r>
    </w:p>
    <w:bookmarkEnd w:id="533"/>
    <w:bookmarkStart w:name="z646" w:id="534"/>
    <w:p>
      <w:pPr>
        <w:spacing w:after="0"/>
        <w:ind w:left="0"/>
        <w:jc w:val="both"/>
      </w:pPr>
      <w:r>
        <w:rPr>
          <w:rFonts w:ascii="Times New Roman"/>
          <w:b w:val="false"/>
          <w:i w:val="false"/>
          <w:color w:val="000000"/>
          <w:sz w:val="28"/>
        </w:rPr>
        <w:t>
      1) накопленный объем средств, инвестированных в инфраструктурные проекты, млрд. тенге;</w:t>
      </w:r>
    </w:p>
    <w:bookmarkEnd w:id="534"/>
    <w:bookmarkStart w:name="z647" w:id="535"/>
    <w:p>
      <w:pPr>
        <w:spacing w:after="0"/>
        <w:ind w:left="0"/>
        <w:jc w:val="both"/>
      </w:pPr>
      <w:r>
        <w:rPr>
          <w:rFonts w:ascii="Times New Roman"/>
          <w:b w:val="false"/>
          <w:i w:val="false"/>
          <w:color w:val="000000"/>
          <w:sz w:val="28"/>
        </w:rPr>
        <w:t>
      2) кумулятивное количество инфраструктурных проектов, в том числе проектов ГЧП, по которым оказаны услуги по консультативному сопровождению;</w:t>
      </w:r>
    </w:p>
    <w:bookmarkEnd w:id="535"/>
    <w:bookmarkStart w:name="z648" w:id="536"/>
    <w:p>
      <w:pPr>
        <w:spacing w:after="0"/>
        <w:ind w:left="0"/>
        <w:jc w:val="both"/>
      </w:pPr>
      <w:r>
        <w:rPr>
          <w:rFonts w:ascii="Times New Roman"/>
          <w:b w:val="false"/>
          <w:i w:val="false"/>
          <w:color w:val="000000"/>
          <w:sz w:val="28"/>
        </w:rPr>
        <w:t>
      3) объем средств, направленных на развитие предпринимательства по финансовым программам, млрд. тенге;</w:t>
      </w:r>
    </w:p>
    <w:bookmarkEnd w:id="536"/>
    <w:bookmarkStart w:name="z649" w:id="537"/>
    <w:p>
      <w:pPr>
        <w:spacing w:after="0"/>
        <w:ind w:left="0"/>
        <w:jc w:val="both"/>
      </w:pPr>
      <w:r>
        <w:rPr>
          <w:rFonts w:ascii="Times New Roman"/>
          <w:b w:val="false"/>
          <w:i w:val="false"/>
          <w:color w:val="000000"/>
          <w:sz w:val="28"/>
        </w:rPr>
        <w:t>
      4) доля привлеченных средств на финансирование СМСП из внебюджетных источников, %;</w:t>
      </w:r>
    </w:p>
    <w:bookmarkEnd w:id="537"/>
    <w:bookmarkStart w:name="z650" w:id="538"/>
    <w:p>
      <w:pPr>
        <w:spacing w:after="0"/>
        <w:ind w:left="0"/>
        <w:jc w:val="both"/>
      </w:pPr>
      <w:r>
        <w:rPr>
          <w:rFonts w:ascii="Times New Roman"/>
          <w:b w:val="false"/>
          <w:i w:val="false"/>
          <w:color w:val="000000"/>
          <w:sz w:val="28"/>
        </w:rPr>
        <w:t>
      5) доля участников программ обучения, открывших бизнес, %;</w:t>
      </w:r>
    </w:p>
    <w:bookmarkEnd w:id="538"/>
    <w:bookmarkStart w:name="z651" w:id="539"/>
    <w:p>
      <w:pPr>
        <w:spacing w:after="0"/>
        <w:ind w:left="0"/>
        <w:jc w:val="both"/>
      </w:pPr>
      <w:r>
        <w:rPr>
          <w:rFonts w:ascii="Times New Roman"/>
          <w:b w:val="false"/>
          <w:i w:val="false"/>
          <w:color w:val="000000"/>
          <w:sz w:val="28"/>
        </w:rPr>
        <w:t>
      6) ежегодный объем выпущенной продукции проектами, поддержанными в рамках инструментов поддержки, млрд. тенге;</w:t>
      </w:r>
    </w:p>
    <w:bookmarkEnd w:id="539"/>
    <w:bookmarkStart w:name="z652" w:id="540"/>
    <w:p>
      <w:pPr>
        <w:spacing w:after="0"/>
        <w:ind w:left="0"/>
        <w:jc w:val="both"/>
      </w:pPr>
      <w:r>
        <w:rPr>
          <w:rFonts w:ascii="Times New Roman"/>
          <w:b w:val="false"/>
          <w:i w:val="false"/>
          <w:color w:val="000000"/>
          <w:sz w:val="28"/>
        </w:rPr>
        <w:t>
      7) количество предприятий, осуществивших трансферт технологий;</w:t>
      </w:r>
    </w:p>
    <w:bookmarkEnd w:id="540"/>
    <w:bookmarkStart w:name="z653" w:id="541"/>
    <w:p>
      <w:pPr>
        <w:spacing w:after="0"/>
        <w:ind w:left="0"/>
        <w:jc w:val="both"/>
      </w:pPr>
      <w:r>
        <w:rPr>
          <w:rFonts w:ascii="Times New Roman"/>
          <w:b w:val="false"/>
          <w:i w:val="false"/>
          <w:color w:val="000000"/>
          <w:sz w:val="28"/>
        </w:rPr>
        <w:t>
      8) доля покрытия несырьевого экспорта, %;</w:t>
      </w:r>
    </w:p>
    <w:bookmarkEnd w:id="541"/>
    <w:bookmarkStart w:name="z654" w:id="542"/>
    <w:p>
      <w:pPr>
        <w:spacing w:after="0"/>
        <w:ind w:left="0"/>
        <w:jc w:val="both"/>
      </w:pPr>
      <w:r>
        <w:rPr>
          <w:rFonts w:ascii="Times New Roman"/>
          <w:b w:val="false"/>
          <w:i w:val="false"/>
          <w:color w:val="000000"/>
          <w:sz w:val="28"/>
        </w:rPr>
        <w:t>
      9) доля экспортоориентированных предприятий, которым оказаны консультационные услуги, %;</w:t>
      </w:r>
    </w:p>
    <w:bookmarkEnd w:id="542"/>
    <w:bookmarkStart w:name="z655" w:id="543"/>
    <w:p>
      <w:pPr>
        <w:spacing w:after="0"/>
        <w:ind w:left="0"/>
        <w:jc w:val="both"/>
      </w:pPr>
      <w:r>
        <w:rPr>
          <w:rFonts w:ascii="Times New Roman"/>
          <w:b w:val="false"/>
          <w:i w:val="false"/>
          <w:color w:val="000000"/>
          <w:sz w:val="28"/>
        </w:rPr>
        <w:t>
      10) доли участников системы жилстройсбережений к экономически активному населению, %;</w:t>
      </w:r>
    </w:p>
    <w:bookmarkEnd w:id="543"/>
    <w:bookmarkStart w:name="z656" w:id="544"/>
    <w:p>
      <w:pPr>
        <w:spacing w:after="0"/>
        <w:ind w:left="0"/>
        <w:jc w:val="both"/>
      </w:pPr>
      <w:r>
        <w:rPr>
          <w:rFonts w:ascii="Times New Roman"/>
          <w:b w:val="false"/>
          <w:i w:val="false"/>
          <w:color w:val="000000"/>
          <w:sz w:val="28"/>
        </w:rPr>
        <w:t>
      11) доля участия АО "НУХ "Байтерек" на рынке кредитов на строительство и приобретение жилья;</w:t>
      </w:r>
    </w:p>
    <w:bookmarkEnd w:id="544"/>
    <w:bookmarkStart w:name="z657" w:id="545"/>
    <w:p>
      <w:pPr>
        <w:spacing w:after="0"/>
        <w:ind w:left="0"/>
        <w:jc w:val="both"/>
      </w:pPr>
      <w:r>
        <w:rPr>
          <w:rFonts w:ascii="Times New Roman"/>
          <w:b w:val="false"/>
          <w:i w:val="false"/>
          <w:color w:val="000000"/>
          <w:sz w:val="28"/>
        </w:rPr>
        <w:t>
      12) объем вводимого арендного жилья, тыс. м</w:t>
      </w:r>
      <w:r>
        <w:rPr>
          <w:rFonts w:ascii="Times New Roman"/>
          <w:b w:val="false"/>
          <w:i w:val="false"/>
          <w:color w:val="000000"/>
          <w:vertAlign w:val="superscript"/>
        </w:rPr>
        <w:t>2</w:t>
      </w:r>
      <w:r>
        <w:rPr>
          <w:rFonts w:ascii="Times New Roman"/>
          <w:b w:val="false"/>
          <w:i w:val="false"/>
          <w:color w:val="000000"/>
          <w:sz w:val="28"/>
        </w:rPr>
        <w:t>;</w:t>
      </w:r>
    </w:p>
    <w:bookmarkEnd w:id="545"/>
    <w:bookmarkStart w:name="z658" w:id="546"/>
    <w:p>
      <w:pPr>
        <w:spacing w:after="0"/>
        <w:ind w:left="0"/>
        <w:jc w:val="both"/>
      </w:pPr>
      <w:r>
        <w:rPr>
          <w:rFonts w:ascii="Times New Roman"/>
          <w:b w:val="false"/>
          <w:i w:val="false"/>
          <w:color w:val="000000"/>
          <w:sz w:val="28"/>
        </w:rPr>
        <w:t>
      13) объем приобретения прав требования ипотечных займов у БВУ - партнеров, млрд. тенге;</w:t>
      </w:r>
    </w:p>
    <w:bookmarkEnd w:id="546"/>
    <w:bookmarkStart w:name="z659" w:id="547"/>
    <w:p>
      <w:pPr>
        <w:spacing w:after="0"/>
        <w:ind w:left="0"/>
        <w:jc w:val="both"/>
      </w:pPr>
      <w:r>
        <w:rPr>
          <w:rFonts w:ascii="Times New Roman"/>
          <w:b w:val="false"/>
          <w:i w:val="false"/>
          <w:color w:val="000000"/>
          <w:sz w:val="28"/>
        </w:rPr>
        <w:t>
      14) доля ипотечных займов в портфеле БВУ, обеспеченных гарантией АО "КФГИК", %.</w:t>
      </w:r>
    </w:p>
    <w:bookmarkEnd w:id="547"/>
    <w:bookmarkStart w:name="z660" w:id="548"/>
    <w:p>
      <w:pPr>
        <w:spacing w:after="0"/>
        <w:ind w:left="0"/>
        <w:jc w:val="both"/>
      </w:pPr>
      <w:r>
        <w:rPr>
          <w:rFonts w:ascii="Times New Roman"/>
          <w:b w:val="false"/>
          <w:i w:val="false"/>
          <w:color w:val="000000"/>
          <w:sz w:val="28"/>
        </w:rPr>
        <w:t>
      На уровне АО "НУХ "Байтерек" и его ДО следует устанавливать КПД, которые будут сбалансированно ориентированы как на объем предоставляемой поддержки, так и на эффективность и качество соответствующей поддержки;</w:t>
      </w:r>
    </w:p>
    <w:bookmarkEnd w:id="548"/>
    <w:bookmarkStart w:name="z661" w:id="5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 степень влияния на выполнение КПД: </w:t>
      </w:r>
    </w:p>
    <w:bookmarkEnd w:id="549"/>
    <w:bookmarkStart w:name="z662" w:id="550"/>
    <w:p>
      <w:pPr>
        <w:spacing w:after="0"/>
        <w:ind w:left="0"/>
        <w:jc w:val="both"/>
      </w:pPr>
      <w:r>
        <w:rPr>
          <w:rFonts w:ascii="Times New Roman"/>
          <w:b w:val="false"/>
          <w:i w:val="false"/>
          <w:color w:val="000000"/>
          <w:sz w:val="28"/>
        </w:rPr>
        <w:t>
      Среди стратегических КПД АО "НУХ "Байтерек" были показатели, за выполнение которых были ответственны не только АО "НУХ "Байтерек" и его ДО. Примерами таких КПД могут служить показатели отдельных государственных и правительственных программ, по которым ответственность распределена в неявном виде и без четких границ, - например, в программе указано несколько ответственных организаций или несколько организаций прямо или косвенно вовлечены в процесс достижения целевых показателей:</w:t>
      </w:r>
    </w:p>
    <w:bookmarkEnd w:id="550"/>
    <w:bookmarkStart w:name="z663" w:id="551"/>
    <w:p>
      <w:pPr>
        <w:spacing w:after="0"/>
        <w:ind w:left="0"/>
        <w:jc w:val="both"/>
      </w:pPr>
      <w:r>
        <w:rPr>
          <w:rFonts w:ascii="Times New Roman"/>
          <w:b w:val="false"/>
          <w:i w:val="false"/>
          <w:color w:val="000000"/>
          <w:sz w:val="28"/>
        </w:rPr>
        <w:t>
      1) доля привлеченных прямых частных инвестиций в Республике Казахстан к единице государственных средств (в акционерный капитал);</w:t>
      </w:r>
    </w:p>
    <w:bookmarkEnd w:id="551"/>
    <w:bookmarkStart w:name="z664" w:id="552"/>
    <w:p>
      <w:pPr>
        <w:spacing w:after="0"/>
        <w:ind w:left="0"/>
        <w:jc w:val="both"/>
      </w:pPr>
      <w:r>
        <w:rPr>
          <w:rFonts w:ascii="Times New Roman"/>
          <w:b w:val="false"/>
          <w:i w:val="false"/>
          <w:color w:val="000000"/>
          <w:sz w:val="28"/>
        </w:rPr>
        <w:t>
      2) ежегодный объем выпущенной продукции проектами, поддержанными в рамках инструментов поддержки, млрд. тенге;</w:t>
      </w:r>
    </w:p>
    <w:bookmarkEnd w:id="552"/>
    <w:bookmarkStart w:name="z665" w:id="553"/>
    <w:p>
      <w:pPr>
        <w:spacing w:after="0"/>
        <w:ind w:left="0"/>
        <w:jc w:val="both"/>
      </w:pPr>
      <w:r>
        <w:rPr>
          <w:rFonts w:ascii="Times New Roman"/>
          <w:b w:val="false"/>
          <w:i w:val="false"/>
          <w:color w:val="000000"/>
          <w:sz w:val="28"/>
        </w:rPr>
        <w:t>
      3) количество предприятий, осуществивших трансферт технологий.</w:t>
      </w:r>
    </w:p>
    <w:bookmarkEnd w:id="553"/>
    <w:bookmarkStart w:name="z666" w:id="554"/>
    <w:p>
      <w:pPr>
        <w:spacing w:after="0"/>
        <w:ind w:left="0"/>
        <w:jc w:val="both"/>
      </w:pPr>
      <w:r>
        <w:rPr>
          <w:rFonts w:ascii="Times New Roman"/>
          <w:b w:val="false"/>
          <w:i w:val="false"/>
          <w:color w:val="000000"/>
          <w:sz w:val="28"/>
        </w:rPr>
        <w:t>
      Другими примерами могут служить КПД, на выполнение которых АО "НУХ "Байтерек" не может влиять напрямую и исключительно - где выполнение или один из параметров выполнения не зависят от АО "НУХ "Байтерек" полностью или частично:</w:t>
      </w:r>
    </w:p>
    <w:bookmarkEnd w:id="554"/>
    <w:bookmarkStart w:name="z667" w:id="555"/>
    <w:p>
      <w:pPr>
        <w:spacing w:after="0"/>
        <w:ind w:left="0"/>
        <w:jc w:val="both"/>
      </w:pPr>
      <w:r>
        <w:rPr>
          <w:rFonts w:ascii="Times New Roman"/>
          <w:b w:val="false"/>
          <w:i w:val="false"/>
          <w:color w:val="000000"/>
          <w:sz w:val="28"/>
        </w:rPr>
        <w:t>
      1) кредитный рейтинг АО "НУХ "Байтерек";</w:t>
      </w:r>
    </w:p>
    <w:bookmarkEnd w:id="555"/>
    <w:bookmarkStart w:name="z668" w:id="556"/>
    <w:p>
      <w:pPr>
        <w:spacing w:after="0"/>
        <w:ind w:left="0"/>
        <w:jc w:val="both"/>
      </w:pPr>
      <w:r>
        <w:rPr>
          <w:rFonts w:ascii="Times New Roman"/>
          <w:b w:val="false"/>
          <w:i w:val="false"/>
          <w:color w:val="000000"/>
          <w:sz w:val="28"/>
        </w:rPr>
        <w:t>
      2) объем активов к ВВП, %;</w:t>
      </w:r>
    </w:p>
    <w:bookmarkEnd w:id="556"/>
    <w:bookmarkStart w:name="z669" w:id="557"/>
    <w:p>
      <w:pPr>
        <w:spacing w:after="0"/>
        <w:ind w:left="0"/>
        <w:jc w:val="both"/>
      </w:pPr>
      <w:r>
        <w:rPr>
          <w:rFonts w:ascii="Times New Roman"/>
          <w:b w:val="false"/>
          <w:i w:val="false"/>
          <w:color w:val="000000"/>
          <w:sz w:val="28"/>
        </w:rPr>
        <w:t>
      3) мультипликатор софинансирования СМСП со стороны БВУ по кредитам, выданным по программе обусловленного размещения;</w:t>
      </w:r>
    </w:p>
    <w:bookmarkEnd w:id="557"/>
    <w:bookmarkStart w:name="z670" w:id="558"/>
    <w:p>
      <w:pPr>
        <w:spacing w:after="0"/>
        <w:ind w:left="0"/>
        <w:jc w:val="both"/>
      </w:pPr>
      <w:r>
        <w:rPr>
          <w:rFonts w:ascii="Times New Roman"/>
          <w:b w:val="false"/>
          <w:i w:val="false"/>
          <w:color w:val="000000"/>
          <w:sz w:val="28"/>
        </w:rPr>
        <w:t>
      4) доли участников системы жилстройсбережений к экономически активному населению, %;</w:t>
      </w:r>
    </w:p>
    <w:bookmarkEnd w:id="558"/>
    <w:bookmarkStart w:name="z671" w:id="559"/>
    <w:p>
      <w:pPr>
        <w:spacing w:after="0"/>
        <w:ind w:left="0"/>
        <w:jc w:val="both"/>
      </w:pPr>
      <w:r>
        <w:rPr>
          <w:rFonts w:ascii="Times New Roman"/>
          <w:b w:val="false"/>
          <w:i w:val="false"/>
          <w:color w:val="000000"/>
          <w:sz w:val="28"/>
        </w:rPr>
        <w:t>
      5) доля участия АО "НУХ "Байтерек" на рынке кредитов на строительство и приобретение жилья;</w:t>
      </w:r>
    </w:p>
    <w:bookmarkEnd w:id="559"/>
    <w:bookmarkStart w:name="z672" w:id="560"/>
    <w:p>
      <w:pPr>
        <w:spacing w:after="0"/>
        <w:ind w:left="0"/>
        <w:jc w:val="both"/>
      </w:pPr>
      <w:r>
        <w:rPr>
          <w:rFonts w:ascii="Times New Roman"/>
          <w:b w:val="false"/>
          <w:i w:val="false"/>
          <w:color w:val="000000"/>
          <w:sz w:val="28"/>
        </w:rPr>
        <w:t>
      6) доля ипотечных займов в портфеле БВУ, обеспеченных гарантией АО "КФГИК".</w:t>
      </w:r>
    </w:p>
    <w:bookmarkEnd w:id="560"/>
    <w:bookmarkStart w:name="z673" w:id="561"/>
    <w:p>
      <w:pPr>
        <w:spacing w:after="0"/>
        <w:ind w:left="0"/>
        <w:jc w:val="both"/>
      </w:pPr>
      <w:r>
        <w:rPr>
          <w:rFonts w:ascii="Times New Roman"/>
          <w:b w:val="false"/>
          <w:i w:val="false"/>
          <w:color w:val="000000"/>
          <w:sz w:val="28"/>
        </w:rPr>
        <w:t>
      На уровне АО "НУХ "Байтерек" следует устанавливать такие КПД, выполнение которых полностью или в максимальной степени зависит от самого АО "НУХ "Байтерек" и его ДО;</w:t>
      </w:r>
    </w:p>
    <w:bookmarkEnd w:id="561"/>
    <w:bookmarkStart w:name="z674" w:id="562"/>
    <w:p>
      <w:pPr>
        <w:spacing w:after="0"/>
        <w:ind w:left="0"/>
        <w:jc w:val="both"/>
      </w:pPr>
      <w:r>
        <w:rPr>
          <w:rFonts w:ascii="Times New Roman"/>
          <w:b w:val="false"/>
          <w:i w:val="false"/>
          <w:color w:val="000000"/>
          <w:sz w:val="28"/>
        </w:rPr>
        <w:t xml:space="preserve">
      </w:t>
      </w:r>
      <w:r>
        <w:rPr>
          <w:rFonts w:ascii="Times New Roman"/>
          <w:b/>
          <w:i w:val="false"/>
          <w:color w:val="000000"/>
          <w:sz w:val="28"/>
        </w:rPr>
        <w:t>5) измеримость КПД:</w:t>
      </w:r>
    </w:p>
    <w:bookmarkEnd w:id="562"/>
    <w:bookmarkStart w:name="z675" w:id="563"/>
    <w:p>
      <w:pPr>
        <w:spacing w:after="0"/>
        <w:ind w:left="0"/>
        <w:jc w:val="both"/>
      </w:pPr>
      <w:r>
        <w:rPr>
          <w:rFonts w:ascii="Times New Roman"/>
          <w:b w:val="false"/>
          <w:i w:val="false"/>
          <w:color w:val="000000"/>
          <w:sz w:val="28"/>
        </w:rPr>
        <w:t>
      Среди стратегических КПД АО "НУХ "Байтерек" были показатели, по которым сложно осуществлять администрирование, мониторинг и аудит ввиду полного или частичного отсутствия информации во внешних источниках данных (то есть можно ориентироваться только на внутренние показатели АО "НУХ "Байтерек" и его ДО и невозможно их перепроверить по другим источникам) и/или в связи со сложностью методологии расчета. Например:</w:t>
      </w:r>
    </w:p>
    <w:bookmarkEnd w:id="563"/>
    <w:bookmarkStart w:name="z676" w:id="564"/>
    <w:p>
      <w:pPr>
        <w:spacing w:after="0"/>
        <w:ind w:left="0"/>
        <w:jc w:val="both"/>
      </w:pPr>
      <w:r>
        <w:rPr>
          <w:rFonts w:ascii="Times New Roman"/>
          <w:b w:val="false"/>
          <w:i w:val="false"/>
          <w:color w:val="000000"/>
          <w:sz w:val="28"/>
        </w:rPr>
        <w:t>
      1) индекс эффекта развития проектов (по БРК);</w:t>
      </w:r>
    </w:p>
    <w:bookmarkEnd w:id="564"/>
    <w:bookmarkStart w:name="z677" w:id="565"/>
    <w:p>
      <w:pPr>
        <w:spacing w:after="0"/>
        <w:ind w:left="0"/>
        <w:jc w:val="both"/>
      </w:pPr>
      <w:r>
        <w:rPr>
          <w:rFonts w:ascii="Times New Roman"/>
          <w:b w:val="false"/>
          <w:i w:val="false"/>
          <w:color w:val="000000"/>
          <w:sz w:val="28"/>
        </w:rPr>
        <w:t>
      2) накопленный объем средств, инвестированных в инфраструктурные проекты, млрд. тенге;</w:t>
      </w:r>
    </w:p>
    <w:bookmarkEnd w:id="565"/>
    <w:bookmarkStart w:name="z678" w:id="566"/>
    <w:p>
      <w:pPr>
        <w:spacing w:after="0"/>
        <w:ind w:left="0"/>
        <w:jc w:val="both"/>
      </w:pPr>
      <w:r>
        <w:rPr>
          <w:rFonts w:ascii="Times New Roman"/>
          <w:b w:val="false"/>
          <w:i w:val="false"/>
          <w:color w:val="000000"/>
          <w:sz w:val="28"/>
        </w:rPr>
        <w:t>
      3) кумулятивное количество инфраструктурных проектов, в том числе проектов ГЧП, по которым оказаны услуги по консультативному сопровождению;</w:t>
      </w:r>
    </w:p>
    <w:bookmarkEnd w:id="566"/>
    <w:bookmarkStart w:name="z679" w:id="567"/>
    <w:p>
      <w:pPr>
        <w:spacing w:after="0"/>
        <w:ind w:left="0"/>
        <w:jc w:val="both"/>
      </w:pPr>
      <w:r>
        <w:rPr>
          <w:rFonts w:ascii="Times New Roman"/>
          <w:b w:val="false"/>
          <w:i w:val="false"/>
          <w:color w:val="000000"/>
          <w:sz w:val="28"/>
        </w:rPr>
        <w:t>
      4) доля привлеченных прямых частных инвестиций в Республике Казахстан к единице государственных средств (в акционерный капитал);</w:t>
      </w:r>
    </w:p>
    <w:bookmarkEnd w:id="567"/>
    <w:bookmarkStart w:name="z680" w:id="568"/>
    <w:p>
      <w:pPr>
        <w:spacing w:after="0"/>
        <w:ind w:left="0"/>
        <w:jc w:val="both"/>
      </w:pPr>
      <w:r>
        <w:rPr>
          <w:rFonts w:ascii="Times New Roman"/>
          <w:b w:val="false"/>
          <w:i w:val="false"/>
          <w:color w:val="000000"/>
          <w:sz w:val="28"/>
        </w:rPr>
        <w:t>
      5) мультипликатор софинансирования СМСП со стороны БВУ по кредитам, выданным по программе обусловленного размещения;</w:t>
      </w:r>
    </w:p>
    <w:bookmarkEnd w:id="568"/>
    <w:bookmarkStart w:name="z681" w:id="569"/>
    <w:p>
      <w:pPr>
        <w:spacing w:after="0"/>
        <w:ind w:left="0"/>
        <w:jc w:val="both"/>
      </w:pPr>
      <w:r>
        <w:rPr>
          <w:rFonts w:ascii="Times New Roman"/>
          <w:b w:val="false"/>
          <w:i w:val="false"/>
          <w:color w:val="000000"/>
          <w:sz w:val="28"/>
        </w:rPr>
        <w:t>
      6) доля участников программ обучения, открывших бизнес, %;</w:t>
      </w:r>
    </w:p>
    <w:bookmarkEnd w:id="569"/>
    <w:bookmarkStart w:name="z682" w:id="570"/>
    <w:p>
      <w:pPr>
        <w:spacing w:after="0"/>
        <w:ind w:left="0"/>
        <w:jc w:val="both"/>
      </w:pPr>
      <w:r>
        <w:rPr>
          <w:rFonts w:ascii="Times New Roman"/>
          <w:b w:val="false"/>
          <w:i w:val="false"/>
          <w:color w:val="000000"/>
          <w:sz w:val="28"/>
        </w:rPr>
        <w:t>
      7) ежегодный объем выпущенной продукции проектами, поддержанными в рамках инструментов поддержки, млрд. тенге;</w:t>
      </w:r>
    </w:p>
    <w:bookmarkEnd w:id="570"/>
    <w:bookmarkStart w:name="z683" w:id="571"/>
    <w:p>
      <w:pPr>
        <w:spacing w:after="0"/>
        <w:ind w:left="0"/>
        <w:jc w:val="both"/>
      </w:pPr>
      <w:r>
        <w:rPr>
          <w:rFonts w:ascii="Times New Roman"/>
          <w:b w:val="false"/>
          <w:i w:val="false"/>
          <w:color w:val="000000"/>
          <w:sz w:val="28"/>
        </w:rPr>
        <w:t>
      8) доля коммерциализированных проектов в общем количестве проектов, %;</w:t>
      </w:r>
    </w:p>
    <w:bookmarkEnd w:id="571"/>
    <w:bookmarkStart w:name="z684" w:id="572"/>
    <w:p>
      <w:pPr>
        <w:spacing w:after="0"/>
        <w:ind w:left="0"/>
        <w:jc w:val="both"/>
      </w:pPr>
      <w:r>
        <w:rPr>
          <w:rFonts w:ascii="Times New Roman"/>
          <w:b w:val="false"/>
          <w:i w:val="false"/>
          <w:color w:val="000000"/>
          <w:sz w:val="28"/>
        </w:rPr>
        <w:t>
      9) количество предприятий, осуществивших трансферт технологий;</w:t>
      </w:r>
    </w:p>
    <w:bookmarkEnd w:id="572"/>
    <w:bookmarkStart w:name="z685" w:id="573"/>
    <w:p>
      <w:pPr>
        <w:spacing w:after="0"/>
        <w:ind w:left="0"/>
        <w:jc w:val="both"/>
      </w:pPr>
      <w:r>
        <w:rPr>
          <w:rFonts w:ascii="Times New Roman"/>
          <w:b w:val="false"/>
          <w:i w:val="false"/>
          <w:color w:val="000000"/>
          <w:sz w:val="28"/>
        </w:rPr>
        <w:t>
      10) доля экспортоориентированных предприятий, которым оказаны консультационные услуги, %.</w:t>
      </w:r>
    </w:p>
    <w:bookmarkEnd w:id="573"/>
    <w:bookmarkStart w:name="z686" w:id="574"/>
    <w:p>
      <w:pPr>
        <w:spacing w:after="0"/>
        <w:ind w:left="0"/>
        <w:jc w:val="both"/>
      </w:pPr>
      <w:r>
        <w:rPr>
          <w:rFonts w:ascii="Times New Roman"/>
          <w:b w:val="false"/>
          <w:i w:val="false"/>
          <w:color w:val="000000"/>
          <w:sz w:val="28"/>
        </w:rPr>
        <w:t>
      На уровне АО "НУХ "Байтерек" и его ДО следует устанавливать КПД, по которым будет удобно осуществлять внутреннее администрирование и мониторинг, а также осуществлять аудит по внешним источникам данных;</w:t>
      </w:r>
    </w:p>
    <w:bookmarkEnd w:id="574"/>
    <w:bookmarkStart w:name="z687" w:id="575"/>
    <w:p>
      <w:pPr>
        <w:spacing w:after="0"/>
        <w:ind w:left="0"/>
        <w:jc w:val="both"/>
      </w:pPr>
      <w:r>
        <w:rPr>
          <w:rFonts w:ascii="Times New Roman"/>
          <w:b w:val="false"/>
          <w:i w:val="false"/>
          <w:color w:val="000000"/>
          <w:sz w:val="28"/>
        </w:rPr>
        <w:t xml:space="preserve">
      </w:t>
      </w:r>
      <w:r>
        <w:rPr>
          <w:rFonts w:ascii="Times New Roman"/>
          <w:b/>
          <w:i w:val="false"/>
          <w:color w:val="000000"/>
          <w:sz w:val="28"/>
        </w:rPr>
        <w:t>6) целевые значения КПД:</w:t>
      </w:r>
    </w:p>
    <w:bookmarkEnd w:id="575"/>
    <w:bookmarkStart w:name="z688" w:id="576"/>
    <w:p>
      <w:pPr>
        <w:spacing w:after="0"/>
        <w:ind w:left="0"/>
        <w:jc w:val="both"/>
      </w:pPr>
      <w:r>
        <w:rPr>
          <w:rFonts w:ascii="Times New Roman"/>
          <w:b w:val="false"/>
          <w:i w:val="false"/>
          <w:color w:val="000000"/>
          <w:sz w:val="28"/>
        </w:rPr>
        <w:t>
      Среди стратегических КПД АО "НУХ "Байтерек" были показатели, по которым установлены недостаточно амбициозные целевые значения (в том числе такие, которые АО "НУХ "Байтерек" уже достигал в прошлых периодах). Например:</w:t>
      </w:r>
    </w:p>
    <w:bookmarkEnd w:id="576"/>
    <w:bookmarkStart w:name="z689" w:id="577"/>
    <w:p>
      <w:pPr>
        <w:spacing w:after="0"/>
        <w:ind w:left="0"/>
        <w:jc w:val="both"/>
      </w:pPr>
      <w:r>
        <w:rPr>
          <w:rFonts w:ascii="Times New Roman"/>
          <w:b w:val="false"/>
          <w:i w:val="false"/>
          <w:color w:val="000000"/>
          <w:sz w:val="28"/>
        </w:rPr>
        <w:t>
      1) ROE, %;</w:t>
      </w:r>
    </w:p>
    <w:bookmarkEnd w:id="577"/>
    <w:bookmarkStart w:name="z690" w:id="578"/>
    <w:p>
      <w:pPr>
        <w:spacing w:after="0"/>
        <w:ind w:left="0"/>
        <w:jc w:val="both"/>
      </w:pPr>
      <w:r>
        <w:rPr>
          <w:rFonts w:ascii="Times New Roman"/>
          <w:b w:val="false"/>
          <w:i w:val="false"/>
          <w:color w:val="000000"/>
          <w:sz w:val="28"/>
        </w:rPr>
        <w:t>
      2) ROA, %;</w:t>
      </w:r>
    </w:p>
    <w:bookmarkEnd w:id="578"/>
    <w:bookmarkStart w:name="z691" w:id="579"/>
    <w:p>
      <w:pPr>
        <w:spacing w:after="0"/>
        <w:ind w:left="0"/>
        <w:jc w:val="both"/>
      </w:pPr>
      <w:r>
        <w:rPr>
          <w:rFonts w:ascii="Times New Roman"/>
          <w:b w:val="false"/>
          <w:i w:val="false"/>
          <w:color w:val="000000"/>
          <w:sz w:val="28"/>
        </w:rPr>
        <w:t>
      3) качество ссудного портфеля (уровень провизий к ссудному портфелю), %.</w:t>
      </w:r>
    </w:p>
    <w:bookmarkEnd w:id="579"/>
    <w:bookmarkStart w:name="z692" w:id="580"/>
    <w:p>
      <w:pPr>
        <w:spacing w:after="0"/>
        <w:ind w:left="0"/>
        <w:jc w:val="both"/>
      </w:pPr>
      <w:r>
        <w:rPr>
          <w:rFonts w:ascii="Times New Roman"/>
          <w:b w:val="false"/>
          <w:i w:val="false"/>
          <w:color w:val="000000"/>
          <w:sz w:val="28"/>
        </w:rPr>
        <w:t>
      Так, в 2013 году фактические показатели по ROE и ROA уже превышали целевые показатели на последующие годы. Также, следует отметить, что практика пересмотра АО "НУХ "Байтерек" и его ДО целевых значений КПД два раза в год не является лучшей практикой, так как может быть ориентирована на постоянное объяснение невозможности достижения и пересмотр целевых значений, нежели на мотивацию к их достижению.</w:t>
      </w:r>
    </w:p>
    <w:bookmarkEnd w:id="580"/>
    <w:bookmarkStart w:name="z693" w:id="581"/>
    <w:p>
      <w:pPr>
        <w:spacing w:after="0"/>
        <w:ind w:left="0"/>
        <w:jc w:val="both"/>
      </w:pPr>
      <w:r>
        <w:rPr>
          <w:rFonts w:ascii="Times New Roman"/>
          <w:b w:val="false"/>
          <w:i w:val="false"/>
          <w:color w:val="000000"/>
          <w:sz w:val="28"/>
        </w:rPr>
        <w:t>
      На уровне АО "НУХ "Байтерек" и его ДО следует устанавливать целевые значения КПД, исходя не только из исторических показателей деятельности АО "НУХ "Байтерек", но и по результатам бенчмаркинга ДО относительно лучшей мировой практики в сопоставимых институтах.</w:t>
      </w:r>
    </w:p>
    <w:bookmarkEnd w:id="581"/>
    <w:bookmarkStart w:name="z694" w:id="582"/>
    <w:p>
      <w:pPr>
        <w:spacing w:after="0"/>
        <w:ind w:left="0"/>
        <w:jc w:val="both"/>
      </w:pPr>
      <w:r>
        <w:rPr>
          <w:rFonts w:ascii="Times New Roman"/>
          <w:b w:val="false"/>
          <w:i w:val="false"/>
          <w:color w:val="000000"/>
          <w:sz w:val="28"/>
        </w:rPr>
        <w:t>
      В рамках актуализации Стратегии в 2017 году принят следующий перечень КПД и целевых значений на уровне АО "НУХ "Байтерек":</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671"/>
        <w:gridCol w:w="330"/>
        <w:gridCol w:w="1521"/>
        <w:gridCol w:w="4"/>
        <w:gridCol w:w="1964"/>
        <w:gridCol w:w="640"/>
        <w:gridCol w:w="5"/>
        <w:gridCol w:w="741"/>
        <w:gridCol w:w="441"/>
        <w:gridCol w:w="365"/>
        <w:gridCol w:w="174"/>
        <w:gridCol w:w="238"/>
        <w:gridCol w:w="238"/>
        <w:gridCol w:w="1099"/>
        <w:gridCol w:w="708"/>
        <w:gridCol w:w="177"/>
        <w:gridCol w:w="177"/>
        <w:gridCol w:w="441"/>
        <w:gridCol w:w="256"/>
        <w:gridCol w:w="330"/>
        <w:gridCol w:w="264"/>
        <w:gridCol w:w="265"/>
        <w:gridCol w:w="329"/>
        <w:gridCol w:w="374"/>
        <w:gridCol w:w="53"/>
        <w:gridCol w:w="54"/>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83"/>
          <w:p>
            <w:pPr>
              <w:spacing w:after="20"/>
              <w:ind w:left="20"/>
              <w:jc w:val="both"/>
            </w:pPr>
            <w:r>
              <w:rPr>
                <w:rFonts w:ascii="Times New Roman"/>
                <w:b w:val="false"/>
                <w:i w:val="false"/>
                <w:color w:val="000000"/>
                <w:sz w:val="20"/>
              </w:rPr>
              <w:t>
№ п/п</w:t>
            </w:r>
          </w:p>
          <w:bookmarkEnd w:id="583"/>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Ключевой показатель деятельности</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Методология расчета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Целевое значение на 2023 год</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данных</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Консолидированные КПД АО "НУХ "Байтерек" по обеспечению содействия устойчивому развитию экономики Республики Казахстан</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кредитного и инвестиционного портфеля от общих активов АО "НУХ "Байтерек"</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 чтобы активы АО "НУХ "Байтерек" работали для развития экономики, а не размещались в казначейском портфеле</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Кредитный портфель (нетт) + инвестиционный портфель по группе компаний АО "НУХ "Байтерек") / Итого активы на конец отчетного периода (консолидированно)</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 развития/Отчет по исполнению плана развития за отчетный год, данные ДО, осуществляющих кредитную и инвестиционною деятельность</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негосударственных источников заимствования в общей структуре заимствования за отчетный год</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 чтобы баланс института развития рос в большей степени от негосударственных источников заимствования (как внутренних, так и внешних рынков капитала)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Номинальная стоимость негосударственного заимствования за отчетный год / Номинальная стоимость общего заимствования за отчетный год</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Управленческая отчетность</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ROA (консолидированно) не ниже минимального положительного значения)</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 чтобы АО "НУХ "Байтерек" создавал стоимость, включая обеспечение возвратности средств. При этом параметр будет стимулировать АО "НУХ "Байтерек" управлять рисками (доля NPL, валютные риски) и операционными расходами</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Чистая прибыль (прибыль за год (консолидированно)) / Среднее значение между объемами активов на конец предыдущего периода (консолидированно) и на конец текущего периода (консолидированно)</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Аудированная консолидированная финансовая отчетность АО "НУХ "Байтерек"</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частного сектора в кредитном портфеле</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Важно, чтобы активы АО "НУХ "Байтерек" либо не инвестировались в квазигосударственный сектор совсем, либо инвестировались только при наличии доли частных инвестиций в соответствующей компании или проекте не менее 50 %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кредитов, выданных частному сектору / Кредитный портфель (нетт) по группе компаний АО "НУХ "Байтерек"</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Аудированная консолидированная финансовая отчетность АО "НУХ "Байтерек", данные ДО, осуществляющих кредитную деятельность</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1. Развитие несырьевых отраслей экономики</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2. Развитие предпринимательства (частного сектора экономики)</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деятельности 1. Поддержка предпринимательства в сегменте крупного бизнеса</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деятельности 2. Поддержка предпринимательства в сегменте МСБ</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новых проектов и проектов по модернизации и расширению действующих производств с учетом увеличения производительности труда и расширения рынков сбыта</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реализацию программ "Нұрлы жол", ГПИИР и собственных программ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проектов, получивших поддержку в виде кредитования, долевого финансирования, субсидирования ставки БВУ, гарантирования кредитов, обусловленного размещения средств в БВУ, выдачи грантов, оздоровления, оказания услуг по разработке проектной документации и структурирования финансирования (за 2014 – 2023 гг.)</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БРК, Даму, КазахЭкспорт, ККМ, НАТР, ИФК, KPPF</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продукции, произведенной субъектами предпринимательства, получившими поддержку</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1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реализацию программ "Нұрлы жол", ГПИИР и собственных программ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объемов производства предприятий, получивших поддержку в виде кредитования, долевого финансирования, субсидирования ставки БВУ, гарантирования кредитов, обусловленного размещения средств в БВУ, выдачи грантов, оздоровления, оказания услуг по разработке проектной документации (за 2014-2023 гг.)</w:t>
            </w:r>
          </w:p>
        </w:tc>
        <w:tc>
          <w:tcPr>
            <w:tcW w:w="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БРК, Даму, КазахЭкспорт, ККМ, НАТР, ИФК</w:t>
            </w:r>
          </w:p>
        </w:tc>
      </w:tr>
      <w:tr>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6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Привлечение иностранных инвестиций</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соотношение</w:t>
            </w:r>
          </w:p>
        </w:tc>
        <w:tc>
          <w:tcPr>
            <w:tcW w:w="152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реализацию задач по привлечению иностранных инвестиций в реальный сектор экономики Республики Казахстан</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объем инвестиций фондов прямых инвестиций (далее – ФПИ) с иностранным участием* к доле инвестиций Холдинга в данных ФПИ**</w:t>
            </w:r>
            <w:r>
              <w:br/>
            </w:r>
            <w:r>
              <w:rPr>
                <w:rFonts w:ascii="Times New Roman"/>
                <w:b w:val="false"/>
                <w:i w:val="false"/>
                <w:color w:val="000000"/>
                <w:sz w:val="20"/>
              </w:rPr>
              <w:t>
* сумма обязательств по инвестированию в рамках ФПИ с иностранным участием с мандатом на Республику Казахстан и суммы, зафиксированные в рамках соглашений о соинвестировании и других инвестиционных соглашений.</w:t>
            </w:r>
            <w:r>
              <w:br/>
            </w:r>
            <w:r>
              <w:rPr>
                <w:rFonts w:ascii="Times New Roman"/>
                <w:b w:val="false"/>
                <w:i w:val="false"/>
                <w:color w:val="000000"/>
                <w:sz w:val="20"/>
              </w:rPr>
              <w:t>(При этом: - в течение инвестиционного периода ФПИ обязательства учитываются по мандату на Республику Казахстан, в том числе суммы зафиксированные в рамках соглашений о соинвестировании и других инвестиционных соглашений; - после завершения инвестиционного периода ФПИ обязательства учитываются по фактическим инвестициям в Республику Казахстан, в том числе в рамках соглашений о со-инвестировании и других инвестиционных соглашений)</w:t>
            </w:r>
            <w:r>
              <w:br/>
            </w:r>
            <w:r>
              <w:rPr>
                <w:rFonts w:ascii="Times New Roman"/>
                <w:b w:val="false"/>
                <w:i w:val="false"/>
                <w:color w:val="000000"/>
                <w:sz w:val="20"/>
              </w:rPr>
              <w:t xml:space="preserve">** объем обязательств АО "НУХ "Байтерек" в ФПИ с иностранным участием с мандатом на Республику Казахстан </w:t>
            </w:r>
            <w:r>
              <w:br/>
            </w:r>
            <w:r>
              <w:rPr>
                <w:rFonts w:ascii="Times New Roman"/>
                <w:b w:val="false"/>
                <w:i w:val="false"/>
                <w:color w:val="000000"/>
                <w:sz w:val="20"/>
              </w:rPr>
              <w:t>
(При этом: - в течение инвестиционного периода ФПИ учитывается общий объем обязательств АО "НУХ "Байтерек" в данных ФПИ;</w:t>
            </w:r>
            <w:r>
              <w:br/>
            </w:r>
            <w:r>
              <w:rPr>
                <w:rFonts w:ascii="Times New Roman"/>
                <w:b w:val="false"/>
                <w:i w:val="false"/>
                <w:color w:val="000000"/>
                <w:sz w:val="20"/>
              </w:rPr>
              <w:t>- после завершения инвестиционного периода ФПИ, обязательства учитываются по фактическим денежным средствам АО "НУХ "Байтерек", направленным в проекты данными ФПИ)</w:t>
            </w:r>
          </w:p>
        </w:tc>
        <w:tc>
          <w:tcPr>
            <w:tcW w:w="6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ККМ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3. Поддержка урбанизации экономики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деятельности 3.Повышение доступности жилья</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жилья, в рамках которого оказаны инструменты поддержки</w:t>
            </w:r>
          </w:p>
        </w:tc>
        <w:tc>
          <w:tcPr>
            <w:tcW w:w="1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тысяч квадратных метров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реализацию Программы "Нұрлы жер" для обеспечения достаточного количества экономически доступных квадратных метров жилья</w:t>
            </w:r>
          </w:p>
        </w:tc>
        <w:tc>
          <w:tcPr>
            <w:tcW w:w="1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ввода жилья за счет субсидируемых кредитов застройщиков, кредитного и арендного жилья</w:t>
            </w:r>
            <w:r>
              <w:br/>
            </w:r>
            <w:r>
              <w:rPr>
                <w:rFonts w:ascii="Times New Roman"/>
                <w:b w:val="false"/>
                <w:i w:val="false"/>
                <w:color w:val="000000"/>
                <w:sz w:val="20"/>
              </w:rPr>
              <w:t>(за 2015 – 2018 гг.)</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2 851 до 2019 года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МНЭ РК, МИО, БВУ, КИК, БД, Даму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участников в системе жилстройсбережений к экономически активному населению Республики Казахстан</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большего числа экономически активного населения Республики Казахстан доступным жильем</w:t>
            </w: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действующих договоров о жилстройсбережениях и действующих жилищных займов / количество экономически активного населения</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ЖССБК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я</w:t>
            </w:r>
          </w:p>
        </w:tc>
        <w:tc>
          <w:tcPr>
            <w:tcW w:w="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Гарантирование вкладов дольщиков коммерческого жиль</w:t>
            </w:r>
          </w:p>
        </w:tc>
        <w:tc>
          <w:tcPr>
            <w:tcW w:w="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реализацию Программы "Нұрлы жер" как новый механизм вовлечения средств населения в жилищное строительство для поддержки строительства коммерческого жилья частными застройщиками и защиты прав дольщиков</w:t>
            </w:r>
          </w:p>
        </w:tc>
        <w:tc>
          <w:tcPr>
            <w:tcW w:w="3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гарантированных вкладов дольщиков коммерческого жилья / Общий объем вкладов дольщиков коммерческого жилья в Республике Казахстан</w:t>
            </w:r>
          </w:p>
        </w:tc>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ФГЖС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4. Поддержка экспорта несырьевой продукции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деятельности 4. Повышение экспортного потенциала</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экспортной выручки предприятиями, получившими поддержку в рамках экспортного и предэкспортного финансирования</w:t>
            </w:r>
          </w:p>
        </w:tc>
        <w:tc>
          <w:tcPr>
            <w:tcW w:w="1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млрд. тенге</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реализацию программ "Нұрлы жол", ГПИИР </w:t>
            </w:r>
          </w:p>
        </w:tc>
        <w:tc>
          <w:tcPr>
            <w:tcW w:w="10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объемов экспортной выручки предприятиями, получившими поддержку в рамках экспортного и предэкспортного финансирования (за 2014 – 2023 гг.)</w:t>
            </w:r>
          </w:p>
        </w:tc>
        <w:tc>
          <w:tcPr>
            <w:tcW w:w="7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1 054</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БРК, БРК-лизинг, КазахЭкспорт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Задача 5. Развитие инноваций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Стратегическое направление деятельности 5. Трансферт и внедрение инноваций</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6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внедренных технологий на производстве, количество проектов, направленных на решение технологических задач отраслей и коммерциализацию технологий</w:t>
            </w:r>
          </w:p>
        </w:tc>
        <w:tc>
          <w:tcPr>
            <w:tcW w:w="3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реализацию ГПИИР</w:t>
            </w:r>
          </w:p>
        </w:tc>
        <w:tc>
          <w:tcPr>
            <w:tcW w:w="1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поддержанных проектов по трем видам грантов: на технологическое развитие предприятий; на технологическое развитие отраслей; на коммерциализацию технологий. (за 2014 – 2023 гг.)</w:t>
            </w:r>
          </w:p>
        </w:tc>
        <w:tc>
          <w:tcPr>
            <w:tcW w:w="6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Данные НАТР </w:t>
            </w:r>
          </w:p>
        </w:tc>
      </w:tr>
    </w:tbl>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Примечание: расшифровка аббревиатур, использованных в тексте Стратегии</w:t>
      </w:r>
      <w:r>
        <w:br/>
      </w:r>
      <w:r>
        <w:rPr>
          <w:rFonts w:ascii="Times New Roman"/>
          <w:b w:val="false"/>
          <w:i w:val="false"/>
          <w:color w:val="000000"/>
          <w:sz w:val="28"/>
        </w:rPr>
        <w:t xml:space="preserve">
      </w:t>
      </w:r>
      <w:r>
        <w:rPr>
          <w:rFonts w:ascii="Times New Roman"/>
          <w:b w:val="false"/>
          <w:i w:val="false"/>
          <w:color w:val="000000"/>
          <w:sz w:val="28"/>
        </w:rPr>
        <w:t>БД - акционерное общество "Байтерек девелопмент"</w:t>
      </w:r>
      <w:r>
        <w:br/>
      </w:r>
      <w:r>
        <w:rPr>
          <w:rFonts w:ascii="Times New Roman"/>
          <w:b w:val="false"/>
          <w:i w:val="false"/>
          <w:color w:val="000000"/>
          <w:sz w:val="28"/>
        </w:rPr>
        <w:t xml:space="preserve">
      </w:t>
      </w:r>
      <w:r>
        <w:rPr>
          <w:rFonts w:ascii="Times New Roman"/>
          <w:b w:val="false"/>
          <w:i w:val="false"/>
          <w:color w:val="000000"/>
          <w:sz w:val="28"/>
        </w:rPr>
        <w:t>БВУ – банки второго уровня</w:t>
      </w:r>
      <w:r>
        <w:br/>
      </w:r>
      <w:r>
        <w:rPr>
          <w:rFonts w:ascii="Times New Roman"/>
          <w:b w:val="false"/>
          <w:i w:val="false"/>
          <w:color w:val="000000"/>
          <w:sz w:val="28"/>
        </w:rPr>
        <w:t xml:space="preserve">
      </w:t>
      </w:r>
      <w:r>
        <w:rPr>
          <w:rFonts w:ascii="Times New Roman"/>
          <w:b w:val="false"/>
          <w:i w:val="false"/>
          <w:color w:val="000000"/>
          <w:sz w:val="28"/>
        </w:rPr>
        <w:t>БРК – акционерное общество "Банк Развития Казахстана"</w:t>
      </w:r>
      <w:r>
        <w:br/>
      </w:r>
      <w:r>
        <w:rPr>
          <w:rFonts w:ascii="Times New Roman"/>
          <w:b w:val="false"/>
          <w:i w:val="false"/>
          <w:color w:val="000000"/>
          <w:sz w:val="28"/>
        </w:rPr>
        <w:t xml:space="preserve">
      </w:t>
      </w:r>
      <w:r>
        <w:rPr>
          <w:rFonts w:ascii="Times New Roman"/>
          <w:b w:val="false"/>
          <w:i w:val="false"/>
          <w:color w:val="000000"/>
          <w:sz w:val="28"/>
        </w:rPr>
        <w:t xml:space="preserve">БРК-Лизинг – акционерное общество "БРК-Лизинг" </w:t>
      </w:r>
      <w:r>
        <w:br/>
      </w:r>
      <w:r>
        <w:rPr>
          <w:rFonts w:ascii="Times New Roman"/>
          <w:b w:val="false"/>
          <w:i w:val="false"/>
          <w:color w:val="000000"/>
          <w:sz w:val="28"/>
        </w:rPr>
        <w:t xml:space="preserve">
      </w:t>
      </w:r>
      <w:r>
        <w:rPr>
          <w:rFonts w:ascii="Times New Roman"/>
          <w:b w:val="false"/>
          <w:i w:val="false"/>
          <w:color w:val="000000"/>
          <w:sz w:val="28"/>
        </w:rPr>
        <w:t>ВЭФ – Всемирный экономический форум</w:t>
      </w:r>
      <w:r>
        <w:br/>
      </w:r>
      <w:r>
        <w:rPr>
          <w:rFonts w:ascii="Times New Roman"/>
          <w:b w:val="false"/>
          <w:i w:val="false"/>
          <w:color w:val="000000"/>
          <w:sz w:val="28"/>
        </w:rPr>
        <w:t xml:space="preserve">
      </w:t>
      </w:r>
      <w:r>
        <w:rPr>
          <w:rFonts w:ascii="Times New Roman"/>
          <w:b w:val="false"/>
          <w:i w:val="false"/>
          <w:color w:val="000000"/>
          <w:sz w:val="28"/>
        </w:rPr>
        <w:t>Даму – акционерное общество "Фонд развития предпринимательства "Даму"</w:t>
      </w:r>
      <w:r>
        <w:br/>
      </w:r>
      <w:r>
        <w:rPr>
          <w:rFonts w:ascii="Times New Roman"/>
          <w:b w:val="false"/>
          <w:i w:val="false"/>
          <w:color w:val="000000"/>
          <w:sz w:val="28"/>
        </w:rPr>
        <w:t xml:space="preserve">
      </w:t>
      </w:r>
      <w:r>
        <w:rPr>
          <w:rFonts w:ascii="Times New Roman"/>
          <w:b w:val="false"/>
          <w:i w:val="false"/>
          <w:color w:val="000000"/>
          <w:sz w:val="28"/>
        </w:rPr>
        <w:t>ДО – дочерние организации акционерного общества "Национальный управляющий холдинг "Байтерек"</w:t>
      </w:r>
      <w:r>
        <w:br/>
      </w:r>
      <w:r>
        <w:rPr>
          <w:rFonts w:ascii="Times New Roman"/>
          <w:b w:val="false"/>
          <w:i w:val="false"/>
          <w:color w:val="000000"/>
          <w:sz w:val="28"/>
        </w:rPr>
        <w:t xml:space="preserve">
      </w:t>
      </w:r>
      <w:r>
        <w:rPr>
          <w:rFonts w:ascii="Times New Roman"/>
          <w:b w:val="false"/>
          <w:i w:val="false"/>
          <w:color w:val="000000"/>
          <w:sz w:val="28"/>
        </w:rPr>
        <w:t xml:space="preserve">ЕНПФ – акционерное общество "Единый накопительный пенсионный фонд" </w:t>
      </w:r>
      <w:r>
        <w:br/>
      </w:r>
      <w:r>
        <w:rPr>
          <w:rFonts w:ascii="Times New Roman"/>
          <w:b w:val="false"/>
          <w:i w:val="false"/>
          <w:color w:val="000000"/>
          <w:sz w:val="28"/>
        </w:rPr>
        <w:t xml:space="preserve">
      </w:t>
      </w:r>
      <w:r>
        <w:rPr>
          <w:rFonts w:ascii="Times New Roman"/>
          <w:b w:val="false"/>
          <w:i w:val="false"/>
          <w:color w:val="000000"/>
          <w:sz w:val="28"/>
        </w:rPr>
        <w:t>ЖССБК – акционерное общество "Жилстройсбербанк Казахстана"</w:t>
      </w:r>
      <w:r>
        <w:br/>
      </w:r>
      <w:r>
        <w:rPr>
          <w:rFonts w:ascii="Times New Roman"/>
          <w:b w:val="false"/>
          <w:i w:val="false"/>
          <w:color w:val="000000"/>
          <w:sz w:val="28"/>
        </w:rPr>
        <w:t xml:space="preserve">
      </w:t>
      </w:r>
      <w:r>
        <w:rPr>
          <w:rFonts w:ascii="Times New Roman"/>
          <w:b w:val="false"/>
          <w:i w:val="false"/>
          <w:color w:val="000000"/>
          <w:sz w:val="28"/>
        </w:rPr>
        <w:t>ИФК – акционерное общество "Инвестиционный фонд Казахстана"</w:t>
      </w:r>
      <w:r>
        <w:br/>
      </w:r>
      <w:r>
        <w:rPr>
          <w:rFonts w:ascii="Times New Roman"/>
          <w:b w:val="false"/>
          <w:i w:val="false"/>
          <w:color w:val="000000"/>
          <w:sz w:val="28"/>
        </w:rPr>
        <w:t xml:space="preserve">
      </w:t>
      </w:r>
      <w:r>
        <w:rPr>
          <w:rFonts w:ascii="Times New Roman"/>
          <w:b w:val="false"/>
          <w:i w:val="false"/>
          <w:color w:val="000000"/>
          <w:sz w:val="28"/>
        </w:rPr>
        <w:t>КИК – акционерное общество "Ипотечная организация "Казахстанская ипотечная компания"</w:t>
      </w:r>
      <w:r>
        <w:br/>
      </w:r>
      <w:r>
        <w:rPr>
          <w:rFonts w:ascii="Times New Roman"/>
          <w:b w:val="false"/>
          <w:i w:val="false"/>
          <w:color w:val="000000"/>
          <w:sz w:val="28"/>
        </w:rPr>
        <w:t xml:space="preserve">
      </w:t>
      </w:r>
      <w:r>
        <w:rPr>
          <w:rFonts w:ascii="Times New Roman"/>
          <w:b w:val="false"/>
          <w:i w:val="false"/>
          <w:color w:val="000000"/>
          <w:sz w:val="28"/>
        </w:rPr>
        <w:t>ККМ – акционерное общество "Казына Капитал Менеджмент"</w:t>
      </w:r>
      <w:r>
        <w:br/>
      </w:r>
      <w:r>
        <w:rPr>
          <w:rFonts w:ascii="Times New Roman"/>
          <w:b w:val="false"/>
          <w:i w:val="false"/>
          <w:color w:val="000000"/>
          <w:sz w:val="28"/>
        </w:rPr>
        <w:t xml:space="preserve">
      </w:t>
      </w:r>
      <w:r>
        <w:rPr>
          <w:rFonts w:ascii="Times New Roman"/>
          <w:b w:val="false"/>
          <w:i w:val="false"/>
          <w:color w:val="000000"/>
          <w:sz w:val="28"/>
        </w:rPr>
        <w:t>KPPF – товарищество с ограниченной ответственностью "Kazakhstan Project Preparation Fund"</w:t>
      </w:r>
      <w:r>
        <w:br/>
      </w:r>
      <w:r>
        <w:rPr>
          <w:rFonts w:ascii="Times New Roman"/>
          <w:b w:val="false"/>
          <w:i w:val="false"/>
          <w:color w:val="000000"/>
          <w:sz w:val="28"/>
        </w:rPr>
        <w:t xml:space="preserve">
      </w:t>
      </w:r>
      <w:r>
        <w:rPr>
          <w:rFonts w:ascii="Times New Roman"/>
          <w:b w:val="false"/>
          <w:i w:val="false"/>
          <w:color w:val="000000"/>
          <w:sz w:val="28"/>
        </w:rPr>
        <w:t>КазахЭкспорт – акционерное общество "Экспортная страховая компания "KazakhExport"</w:t>
      </w:r>
      <w:r>
        <w:br/>
      </w:r>
      <w:r>
        <w:rPr>
          <w:rFonts w:ascii="Times New Roman"/>
          <w:b w:val="false"/>
          <w:i w:val="false"/>
          <w:color w:val="000000"/>
          <w:sz w:val="28"/>
        </w:rPr>
        <w:t xml:space="preserve">
      </w:t>
      </w:r>
      <w:r>
        <w:rPr>
          <w:rFonts w:ascii="Times New Roman"/>
          <w:b w:val="false"/>
          <w:i w:val="false"/>
          <w:color w:val="000000"/>
          <w:sz w:val="28"/>
        </w:rPr>
        <w:t>МИО – местные исполнительные органы</w:t>
      </w:r>
      <w:r>
        <w:br/>
      </w:r>
      <w:r>
        <w:rPr>
          <w:rFonts w:ascii="Times New Roman"/>
          <w:b w:val="false"/>
          <w:i w:val="false"/>
          <w:color w:val="000000"/>
          <w:sz w:val="28"/>
        </w:rPr>
        <w:t xml:space="preserve">
      </w:t>
      </w:r>
      <w:r>
        <w:rPr>
          <w:rFonts w:ascii="Times New Roman"/>
          <w:b w:val="false"/>
          <w:i w:val="false"/>
          <w:color w:val="000000"/>
          <w:sz w:val="28"/>
        </w:rPr>
        <w:t>МНЭ РК – Министерство национальной экономики Республики Казахстан</w:t>
      </w:r>
      <w:r>
        <w:br/>
      </w:r>
      <w:r>
        <w:rPr>
          <w:rFonts w:ascii="Times New Roman"/>
          <w:b w:val="false"/>
          <w:i w:val="false"/>
          <w:color w:val="000000"/>
          <w:sz w:val="28"/>
        </w:rPr>
        <w:t xml:space="preserve">
      </w:t>
      </w:r>
      <w:r>
        <w:rPr>
          <w:rFonts w:ascii="Times New Roman"/>
          <w:b w:val="false"/>
          <w:i w:val="false"/>
          <w:color w:val="000000"/>
          <w:sz w:val="28"/>
        </w:rPr>
        <w:t xml:space="preserve">МСБ – малый и средний бизнес </w:t>
      </w:r>
      <w:r>
        <w:br/>
      </w:r>
      <w:r>
        <w:rPr>
          <w:rFonts w:ascii="Times New Roman"/>
          <w:b w:val="false"/>
          <w:i w:val="false"/>
          <w:color w:val="000000"/>
          <w:sz w:val="28"/>
        </w:rPr>
        <w:t xml:space="preserve">
      </w:t>
      </w:r>
      <w:r>
        <w:rPr>
          <w:rFonts w:ascii="Times New Roman"/>
          <w:b w:val="false"/>
          <w:i w:val="false"/>
          <w:color w:val="000000"/>
          <w:sz w:val="28"/>
        </w:rPr>
        <w:t>НАТР – акционерное общество "Национальное агентство по технологическому развитию"</w:t>
      </w:r>
      <w:r>
        <w:br/>
      </w:r>
      <w:r>
        <w:rPr>
          <w:rFonts w:ascii="Times New Roman"/>
          <w:b w:val="false"/>
          <w:i w:val="false"/>
          <w:color w:val="000000"/>
          <w:sz w:val="28"/>
        </w:rPr>
        <w:t xml:space="preserve">
      </w:t>
      </w:r>
      <w:r>
        <w:rPr>
          <w:rFonts w:ascii="Times New Roman"/>
          <w:b w:val="false"/>
          <w:i w:val="false"/>
          <w:color w:val="000000"/>
          <w:sz w:val="28"/>
        </w:rPr>
        <w:t>ПСЭР – Прогноз социально-экономического развития</w:t>
      </w:r>
      <w:r>
        <w:br/>
      </w:r>
      <w:r>
        <w:rPr>
          <w:rFonts w:ascii="Times New Roman"/>
          <w:b w:val="false"/>
          <w:i w:val="false"/>
          <w:color w:val="000000"/>
          <w:sz w:val="28"/>
        </w:rPr>
        <w:t xml:space="preserve">
      </w:t>
      </w:r>
      <w:r>
        <w:rPr>
          <w:rFonts w:ascii="Times New Roman"/>
          <w:b w:val="false"/>
          <w:i w:val="false"/>
          <w:color w:val="000000"/>
          <w:sz w:val="28"/>
        </w:rPr>
        <w:t>ФГЖС – акционерное общество "Фонд гарантирования жилищного строительства"</w:t>
      </w:r>
      <w:r>
        <w:br/>
      </w:r>
      <w:r>
        <w:rPr>
          <w:rFonts w:ascii="Times New Roman"/>
          <w:b w:val="false"/>
          <w:i w:val="false"/>
          <w:color w:val="000000"/>
          <w:sz w:val="28"/>
        </w:rPr>
        <w:t xml:space="preserve">
      </w:t>
      </w:r>
      <w:r>
        <w:rPr>
          <w:rFonts w:ascii="Times New Roman"/>
          <w:b w:val="false"/>
          <w:i w:val="false"/>
          <w:color w:val="000000"/>
          <w:sz w:val="28"/>
        </w:rPr>
        <w:t>Приложение к Стратегии развития акционерного общества "Национальный управляющий холдинг "Байтерек" на 2014 – 2023 годы</w:t>
      </w:r>
      <w:r>
        <w:br/>
      </w:r>
      <w:r>
        <w:rPr>
          <w:rFonts w:ascii="Times New Roman"/>
          <w:b w:val="false"/>
          <w:i w:val="false"/>
          <w:color w:val="000000"/>
          <w:sz w:val="28"/>
        </w:rPr>
        <w:t>
</w:t>
      </w:r>
    </w:p>
    <w:p>
      <w:pPr>
        <w:spacing w:after="0"/>
        <w:ind w:left="0"/>
        <w:jc w:val="both"/>
      </w:pPr>
      <w:r>
        <w:rPr>
          <w:rFonts w:ascii="Times New Roman"/>
          <w:b/>
          <w:i w:val="false"/>
          <w:color w:val="000000"/>
          <w:sz w:val="28"/>
        </w:rPr>
        <w:t>Список дочерних организаций АО "НУХ "Байтерек"</w:t>
      </w:r>
    </w:p>
    <w:bookmarkStart w:name="z744" w:id="584"/>
    <w:p>
      <w:pPr>
        <w:spacing w:after="0"/>
        <w:ind w:left="0"/>
        <w:jc w:val="both"/>
      </w:pPr>
      <w:r>
        <w:rPr>
          <w:rFonts w:ascii="Times New Roman"/>
          <w:b w:val="false"/>
          <w:i w:val="false"/>
          <w:color w:val="000000"/>
          <w:sz w:val="28"/>
        </w:rPr>
        <w:t>
      1. АО "Банк Развития Казахстана"</w:t>
      </w:r>
    </w:p>
    <w:bookmarkEnd w:id="584"/>
    <w:bookmarkStart w:name="z745" w:id="585"/>
    <w:p>
      <w:pPr>
        <w:spacing w:after="0"/>
        <w:ind w:left="0"/>
        <w:jc w:val="both"/>
      </w:pPr>
      <w:r>
        <w:rPr>
          <w:rFonts w:ascii="Times New Roman"/>
          <w:b w:val="false"/>
          <w:i w:val="false"/>
          <w:color w:val="000000"/>
          <w:sz w:val="28"/>
        </w:rPr>
        <w:t>
      2. АО "Фонд развития предпринимательства "Даму"</w:t>
      </w:r>
    </w:p>
    <w:bookmarkEnd w:id="585"/>
    <w:bookmarkStart w:name="z746" w:id="586"/>
    <w:p>
      <w:pPr>
        <w:spacing w:after="0"/>
        <w:ind w:left="0"/>
        <w:jc w:val="both"/>
      </w:pPr>
      <w:r>
        <w:rPr>
          <w:rFonts w:ascii="Times New Roman"/>
          <w:b w:val="false"/>
          <w:i w:val="false"/>
          <w:color w:val="000000"/>
          <w:sz w:val="28"/>
        </w:rPr>
        <w:t>
      3. АО "Жилищный строительный сберегательный банк Казахстана"</w:t>
      </w:r>
    </w:p>
    <w:bookmarkEnd w:id="586"/>
    <w:bookmarkStart w:name="z747" w:id="587"/>
    <w:p>
      <w:pPr>
        <w:spacing w:after="0"/>
        <w:ind w:left="0"/>
        <w:jc w:val="both"/>
      </w:pPr>
      <w:r>
        <w:rPr>
          <w:rFonts w:ascii="Times New Roman"/>
          <w:b w:val="false"/>
          <w:i w:val="false"/>
          <w:color w:val="000000"/>
          <w:sz w:val="28"/>
        </w:rPr>
        <w:t>
      4. АО "Казына Капитал Менеджмент"</w:t>
      </w:r>
    </w:p>
    <w:bookmarkEnd w:id="587"/>
    <w:bookmarkStart w:name="z748" w:id="588"/>
    <w:p>
      <w:pPr>
        <w:spacing w:after="0"/>
        <w:ind w:left="0"/>
        <w:jc w:val="both"/>
      </w:pPr>
      <w:r>
        <w:rPr>
          <w:rFonts w:ascii="Times New Roman"/>
          <w:b w:val="false"/>
          <w:i w:val="false"/>
          <w:color w:val="000000"/>
          <w:sz w:val="28"/>
        </w:rPr>
        <w:t>
      5. АО "Байтерек девелопмент"</w:t>
      </w:r>
    </w:p>
    <w:bookmarkEnd w:id="588"/>
    <w:bookmarkStart w:name="z749" w:id="589"/>
    <w:p>
      <w:pPr>
        <w:spacing w:after="0"/>
        <w:ind w:left="0"/>
        <w:jc w:val="both"/>
      </w:pPr>
      <w:r>
        <w:rPr>
          <w:rFonts w:ascii="Times New Roman"/>
          <w:b w:val="false"/>
          <w:i w:val="false"/>
          <w:color w:val="000000"/>
          <w:sz w:val="28"/>
        </w:rPr>
        <w:t>
      6. АО "Ипотечная организация "Казахстанская Ипотечная Компания"</w:t>
      </w:r>
    </w:p>
    <w:bookmarkEnd w:id="589"/>
    <w:bookmarkStart w:name="z750" w:id="590"/>
    <w:p>
      <w:pPr>
        <w:spacing w:after="0"/>
        <w:ind w:left="0"/>
        <w:jc w:val="both"/>
      </w:pPr>
      <w:r>
        <w:rPr>
          <w:rFonts w:ascii="Times New Roman"/>
          <w:b w:val="false"/>
          <w:i w:val="false"/>
          <w:color w:val="000000"/>
          <w:sz w:val="28"/>
        </w:rPr>
        <w:t>
      7. АО "Инвестиционный фонд Казахстана"</w:t>
      </w:r>
    </w:p>
    <w:bookmarkEnd w:id="590"/>
    <w:bookmarkStart w:name="z751" w:id="591"/>
    <w:p>
      <w:pPr>
        <w:spacing w:after="0"/>
        <w:ind w:left="0"/>
        <w:jc w:val="both"/>
      </w:pPr>
      <w:r>
        <w:rPr>
          <w:rFonts w:ascii="Times New Roman"/>
          <w:b w:val="false"/>
          <w:i w:val="false"/>
          <w:color w:val="000000"/>
          <w:sz w:val="28"/>
        </w:rPr>
        <w:t>
      8. АО "Национальное агентство по технологическому развитию"</w:t>
      </w:r>
    </w:p>
    <w:bookmarkEnd w:id="591"/>
    <w:bookmarkStart w:name="z752" w:id="592"/>
    <w:p>
      <w:pPr>
        <w:spacing w:after="0"/>
        <w:ind w:left="0"/>
        <w:jc w:val="both"/>
      </w:pPr>
      <w:r>
        <w:rPr>
          <w:rFonts w:ascii="Times New Roman"/>
          <w:b w:val="false"/>
          <w:i w:val="false"/>
          <w:color w:val="000000"/>
          <w:sz w:val="28"/>
        </w:rPr>
        <w:t>
      9. АО "Экспортная страховая компания "KazakhExport"</w:t>
      </w:r>
    </w:p>
    <w:bookmarkEnd w:id="592"/>
    <w:bookmarkStart w:name="z753" w:id="593"/>
    <w:p>
      <w:pPr>
        <w:spacing w:after="0"/>
        <w:ind w:left="0"/>
        <w:jc w:val="both"/>
      </w:pPr>
      <w:r>
        <w:rPr>
          <w:rFonts w:ascii="Times New Roman"/>
          <w:b w:val="false"/>
          <w:i w:val="false"/>
          <w:color w:val="000000"/>
          <w:sz w:val="28"/>
        </w:rPr>
        <w:t>
      10. АО "Фонд гарантирования жилищного строительства"</w:t>
      </w:r>
    </w:p>
    <w:bookmarkEnd w:id="593"/>
    <w:bookmarkStart w:name="z754" w:id="594"/>
    <w:p>
      <w:pPr>
        <w:spacing w:after="0"/>
        <w:ind w:left="0"/>
        <w:jc w:val="both"/>
      </w:pPr>
      <w:r>
        <w:rPr>
          <w:rFonts w:ascii="Times New Roman"/>
          <w:b w:val="false"/>
          <w:i w:val="false"/>
          <w:color w:val="000000"/>
          <w:sz w:val="28"/>
        </w:rPr>
        <w:t>
      11. ТОО "Kazakhstan Project Preparation Fund"</w:t>
      </w:r>
    </w:p>
    <w:bookmarkEnd w:id="59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