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ec50" w14:textId="ccfe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2017 года № 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ликвидацией последствий стихийных бедствий в Республике Таджикистан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Разбронировать материальные ценности из государственного материального резерва для оказания официальной гуманитарной помощи Республике Таджикистан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Республике Таджикистан.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Министерствам оборонной и аэрокосмической промышленности, финансов, по инвестициям и развитию Республики Казахстан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2017 года № 448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материальных ценностей </w:t>
      </w:r>
      <w:r>
        <w:br/>
      </w:r>
      <w:r>
        <w:rPr>
          <w:rFonts w:ascii="Times New Roman"/>
          <w:b/>
          <w:i w:val="false"/>
          <w:color w:val="000000"/>
        </w:rPr>
        <w:t>для оказания официальной гуманитарной помощи Республике Таджикистан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2861"/>
        <w:gridCol w:w="1560"/>
        <w:gridCol w:w="6319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материальных ценностей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сорта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564 000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2 сорта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банка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банка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