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d0fb" w14:textId="34dd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ноября 2007 года № 1081 "Об определении перечня финансовых инструментов для инвестирования активов акционерного общества "Государственный фонд социального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2017 года № 613. Утратило силу постановлением Правительства Республики Казахстан от 13 апреля 2020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13.04.2020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2007 года № 1081 "Об определении перечня финансовых инструментов для инвестирования активов акционерного общества "Государственный фонд социального страхования" (САПП Республики Казахстан, 2007 г., № 43, ст. 506) 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2017 года № 613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2007 года № 1081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финансовых инструментов для инвестирования активов</w:t>
      </w:r>
      <w:r>
        <w:br/>
      </w:r>
      <w:r>
        <w:rPr>
          <w:rFonts w:ascii="Times New Roman"/>
          <w:b/>
          <w:i w:val="false"/>
          <w:color w:val="000000"/>
        </w:rPr>
        <w:t>акционерного общества "Государственный фонд социального страхования"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1887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1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финансового инструмента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1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(включая эмитированные в соответствии с законодательством других государств), размером инвестирования не менее сорока процентов от активов акционерного общества "Государственный фонд социального страхования", включая деньги на банковских счетах в Национальном Банке Республики Казахстан, за исключением ценных бумаг, выпущенных местными исполнительными органами Республики Казахстан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1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в Национальном Банке Республики Казахстан не более пятнадцати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1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международных финансовых организаций с кредитным рейтингом финансового инструмента или эмитента не ниже "А-" по Standard &amp; Poor's или равнозначным рейтингом Fitch или Moody’s Investors Service, но не более тридцати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1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Агентские облигации, в том числе облигации, выпущенные национальными управляющими холдингами, с кредитным рейтингом финансового инструмента или эмитента не ниже суверенного рейтинга Республики Казахстан по Standard &amp; Poor's или равнозначным рейтингом Fitch или Moody’s Investors Service, но не более тридцати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1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Агентские облигации, корпоративные облигации с рейтингом финансового инструмента или эмитента не ниже "ВВ-" по Standard &amp; Poor's или равнозначным рейтингом Fitch или Moody’s Investors Service, не более десяти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1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обратного РЕПО. Соответствует максимальному возможному удельному весу финансовых инструментов, выступающих в качестве залога по сделке обратного РЕПО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