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dbdf" w14:textId="ed2d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лимита предоставления государственных гарантий и поручительств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2018 года № 349.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лимита предоставления государственных гарантий и поручительств государств,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расчет лимита осуществляется исходя из прогноза бюджетных программ развития, учтенного при расчете трансфертов общего характера, на планируемый трехлетний период местного исполнительного органа области, города республиканского значения, столицы с учетом поправочных коэффициентов.";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указанным Правилам: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Определяемый лимит должен соответствовать следующему требованию: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&lt; MaxL*k, где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– лимит долга местного исполнительного органа области, города республиканского значения, столицы в планируемом финансовом году в отношении к его прогнозу бюджетных программ развития, учтенного при расчете трансфертов общего характера, на планируемый трехлетний период;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MaxL – максимальный лимит долга местного исполнительного органа области, города республиканского значения, столицы, который составляет 100 % от прогноза бюджетных программ развития, учтенного при расчете трансфертов общего характера на планируемый трехлетний период;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 для местных исполнительных органов областей, города республиканского значения, столицы (k=0,8 для регионов, получающих бюджетные субвенции из республиканского бюджета; k=1 для регионов, перечисляющих бюджетные изъятия в республиканский бюджет).".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