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6263" w14:textId="fa36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титановые слитки, произведенные методом электронно-лучевой плавки</w:t>
      </w:r>
    </w:p>
    <w:p>
      <w:pPr>
        <w:spacing w:after="0"/>
        <w:ind w:left="0"/>
        <w:jc w:val="both"/>
      </w:pPr>
      <w:r>
        <w:rPr>
          <w:rFonts w:ascii="Times New Roman"/>
          <w:b w:val="false"/>
          <w:i w:val="false"/>
          <w:color w:val="000000"/>
          <w:sz w:val="28"/>
        </w:rPr>
        <w:t>Постановление Правительства Республики Казахстан от 11 июля 2018 года № 417.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титановые слитки, произведенные методом электронно-лучевой плавки.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по инвестициям и развитию Республики Казахстан.</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417 от 11 июля 2018 года</w:t>
            </w:r>
          </w:p>
        </w:tc>
      </w:tr>
    </w:tbl>
    <w:bookmarkStart w:name="z10" w:id="4"/>
    <w:p>
      <w:pPr>
        <w:spacing w:after="0"/>
        <w:ind w:left="0"/>
        <w:jc w:val="left"/>
      </w:pPr>
      <w:r>
        <w:rPr>
          <w:rFonts w:ascii="Times New Roman"/>
          <w:b/>
          <w:i w:val="false"/>
          <w:color w:val="000000"/>
        </w:rPr>
        <w:t xml:space="preserve"> Правила (методика) ценообразования на титановые слитки, произведенные методом электронно-лучевой плавки</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Настоящие Правила (методика) ценообразования на титановые слитки, произведенные методом электронно-лучевой плавки (далее - Правила) устанавливают порядок определения (расчета) цен сделок (реализации) при совершении экспортных сделок по купле-продаже на титановые слитки, произведенные методом электронно-лучевой плавки, с использованием одного из нижеследующих видов сырья:</w:t>
      </w:r>
    </w:p>
    <w:bookmarkEnd w:id="6"/>
    <w:bookmarkStart w:name="z13" w:id="7"/>
    <w:p>
      <w:pPr>
        <w:spacing w:after="0"/>
        <w:ind w:left="0"/>
        <w:jc w:val="both"/>
      </w:pPr>
      <w:r>
        <w:rPr>
          <w:rFonts w:ascii="Times New Roman"/>
          <w:b w:val="false"/>
          <w:i w:val="false"/>
          <w:color w:val="000000"/>
          <w:sz w:val="28"/>
        </w:rPr>
        <w:t>
      титана губчатого;</w:t>
      </w:r>
    </w:p>
    <w:bookmarkEnd w:id="7"/>
    <w:bookmarkStart w:name="z14" w:id="8"/>
    <w:p>
      <w:pPr>
        <w:spacing w:after="0"/>
        <w:ind w:left="0"/>
        <w:jc w:val="both"/>
      </w:pPr>
      <w:r>
        <w:rPr>
          <w:rFonts w:ascii="Times New Roman"/>
          <w:b w:val="false"/>
          <w:i w:val="false"/>
          <w:color w:val="000000"/>
          <w:sz w:val="28"/>
        </w:rPr>
        <w:t>
      титанового лома;</w:t>
      </w:r>
    </w:p>
    <w:bookmarkEnd w:id="8"/>
    <w:bookmarkStart w:name="z15" w:id="9"/>
    <w:p>
      <w:pPr>
        <w:spacing w:after="0"/>
        <w:ind w:left="0"/>
        <w:jc w:val="both"/>
      </w:pPr>
      <w:r>
        <w:rPr>
          <w:rFonts w:ascii="Times New Roman"/>
          <w:b w:val="false"/>
          <w:i w:val="false"/>
          <w:color w:val="000000"/>
          <w:sz w:val="28"/>
        </w:rPr>
        <w:t>
      титана губчатого и титанового лома.</w:t>
      </w:r>
    </w:p>
    <w:bookmarkEnd w:id="9"/>
    <w:bookmarkStart w:name="z16" w:id="10"/>
    <w:p>
      <w:pPr>
        <w:spacing w:after="0"/>
        <w:ind w:left="0"/>
        <w:jc w:val="left"/>
      </w:pPr>
      <w:r>
        <w:rPr>
          <w:rFonts w:ascii="Times New Roman"/>
          <w:b/>
          <w:i w:val="false"/>
          <w:color w:val="000000"/>
        </w:rPr>
        <w:t xml:space="preserve"> 2. Термины и определения, используемые в настоящих Правилах</w:t>
      </w:r>
    </w:p>
    <w:bookmarkEnd w:id="10"/>
    <w:bookmarkStart w:name="z17" w:id="11"/>
    <w:p>
      <w:pPr>
        <w:spacing w:after="0"/>
        <w:ind w:left="0"/>
        <w:jc w:val="both"/>
      </w:pPr>
      <w:r>
        <w:rPr>
          <w:rFonts w:ascii="Times New Roman"/>
          <w:b w:val="false"/>
          <w:i w:val="false"/>
          <w:color w:val="000000"/>
          <w:sz w:val="28"/>
        </w:rPr>
        <w:t xml:space="preserve">
      В настоящих Правилах используются следующие термины и определения: </w:t>
      </w:r>
    </w:p>
    <w:bookmarkEnd w:id="11"/>
    <w:bookmarkStart w:name="z18" w:id="12"/>
    <w:p>
      <w:pPr>
        <w:spacing w:after="0"/>
        <w:ind w:left="0"/>
        <w:jc w:val="both"/>
      </w:pPr>
      <w:r>
        <w:rPr>
          <w:rFonts w:ascii="Times New Roman"/>
          <w:b w:val="false"/>
          <w:i w:val="false"/>
          <w:color w:val="000000"/>
          <w:sz w:val="28"/>
        </w:rPr>
        <w:t>
      1) электронно-лучевая плавка – метод плавки титана путҰм использования энергии электронного луча;</w:t>
      </w:r>
    </w:p>
    <w:bookmarkEnd w:id="12"/>
    <w:bookmarkStart w:name="z19" w:id="13"/>
    <w:p>
      <w:pPr>
        <w:spacing w:after="0"/>
        <w:ind w:left="0"/>
        <w:jc w:val="both"/>
      </w:pPr>
      <w:r>
        <w:rPr>
          <w:rFonts w:ascii="Times New Roman"/>
          <w:b w:val="false"/>
          <w:i w:val="false"/>
          <w:color w:val="000000"/>
          <w:sz w:val="28"/>
        </w:rPr>
        <w:t xml:space="preserve">
      2) дифференциал – размер корректировки, применяемый для приведения в сопоставимые экономические условия цены сделки или цены из источника информации в соответствии с законодательством Республики Казахстан о трансфертном ценообразовании и определяемый с учетом положений </w:t>
      </w:r>
      <w:r>
        <w:rPr>
          <w:rFonts w:ascii="Times New Roman"/>
          <w:b w:val="false"/>
          <w:i w:val="false"/>
          <w:color w:val="000000"/>
          <w:sz w:val="28"/>
        </w:rPr>
        <w:t>главы 5</w:t>
      </w:r>
      <w:r>
        <w:rPr>
          <w:rFonts w:ascii="Times New Roman"/>
          <w:b w:val="false"/>
          <w:i w:val="false"/>
          <w:color w:val="000000"/>
          <w:sz w:val="28"/>
        </w:rPr>
        <w:t xml:space="preserve"> настоящих Правил;</w:t>
      </w:r>
    </w:p>
    <w:bookmarkEnd w:id="13"/>
    <w:bookmarkStart w:name="z20" w:id="14"/>
    <w:p>
      <w:pPr>
        <w:spacing w:after="0"/>
        <w:ind w:left="0"/>
        <w:jc w:val="both"/>
      </w:pPr>
      <w:r>
        <w:rPr>
          <w:rFonts w:ascii="Times New Roman"/>
          <w:b w:val="false"/>
          <w:i w:val="false"/>
          <w:color w:val="000000"/>
          <w:sz w:val="28"/>
        </w:rPr>
        <w:t>
      3) долгосрочный контракт – контракт (договор) купли-продажи титановых слитков, произведенных методом электронно-лучевой плавки, заключенный на срок от одного года до двух лет;</w:t>
      </w:r>
    </w:p>
    <w:bookmarkEnd w:id="14"/>
    <w:bookmarkStart w:name="z21" w:id="15"/>
    <w:p>
      <w:pPr>
        <w:spacing w:after="0"/>
        <w:ind w:left="0"/>
        <w:jc w:val="both"/>
      </w:pPr>
      <w:r>
        <w:rPr>
          <w:rFonts w:ascii="Times New Roman"/>
          <w:b w:val="false"/>
          <w:i w:val="false"/>
          <w:color w:val="000000"/>
          <w:sz w:val="28"/>
        </w:rPr>
        <w:t>
      4) спецификация покупателя – документ, содержащий требования к твердости и химическому составу титановых слитков, который утверждается потребителем, использующим продукцию для производства изделий из титана и его сплавов;</w:t>
      </w:r>
    </w:p>
    <w:bookmarkEnd w:id="15"/>
    <w:bookmarkStart w:name="z22" w:id="16"/>
    <w:p>
      <w:pPr>
        <w:spacing w:after="0"/>
        <w:ind w:left="0"/>
        <w:jc w:val="both"/>
      </w:pPr>
      <w:r>
        <w:rPr>
          <w:rFonts w:ascii="Times New Roman"/>
          <w:b w:val="false"/>
          <w:i w:val="false"/>
          <w:color w:val="000000"/>
          <w:sz w:val="28"/>
        </w:rPr>
        <w:t xml:space="preserve">
      5) стандарт B 348 – международный стандарт американской добровольной организации "ASTM International" последней ревизии (американское общество по материалам и их испытаниям), разрабатывающей и издающей стандарты для материалов, продуктов, систем и услуг всех отраслей; </w:t>
      </w:r>
    </w:p>
    <w:bookmarkEnd w:id="16"/>
    <w:bookmarkStart w:name="z23" w:id="17"/>
    <w:p>
      <w:pPr>
        <w:spacing w:after="0"/>
        <w:ind w:left="0"/>
        <w:jc w:val="both"/>
      </w:pPr>
      <w:r>
        <w:rPr>
          <w:rFonts w:ascii="Times New Roman"/>
          <w:b w:val="false"/>
          <w:i w:val="false"/>
          <w:color w:val="000000"/>
          <w:sz w:val="28"/>
        </w:rPr>
        <w:t>
      6) титан губчатый – биологически и экологически безвредный материал, полученный магнийтермическим способом с вакуум-термической очисткой и являющийся исходным материалом для производства полуфабрикатов из титана и его сплавов с содержанием титана не менее 95,0 мас.%;</w:t>
      </w:r>
    </w:p>
    <w:bookmarkEnd w:id="17"/>
    <w:bookmarkStart w:name="z24" w:id="18"/>
    <w:p>
      <w:pPr>
        <w:spacing w:after="0"/>
        <w:ind w:left="0"/>
        <w:jc w:val="both"/>
      </w:pPr>
      <w:r>
        <w:rPr>
          <w:rFonts w:ascii="Times New Roman"/>
          <w:b w:val="false"/>
          <w:i w:val="false"/>
          <w:color w:val="000000"/>
          <w:sz w:val="28"/>
        </w:rPr>
        <w:t xml:space="preserve">
      7) титановые слитки – макроскопическая однородная смесь на основе титана или с добавками алюминия, ванадия, железа и других примесей, а также титанового лома в виде литой металлической заготовки, предназначенной для дальнейшей переработки путем пластической деформации (прокатки, ковки, прессования), переплава или электролиза; </w:t>
      </w:r>
    </w:p>
    <w:bookmarkEnd w:id="18"/>
    <w:bookmarkStart w:name="z25" w:id="19"/>
    <w:p>
      <w:pPr>
        <w:spacing w:after="0"/>
        <w:ind w:left="0"/>
        <w:jc w:val="both"/>
      </w:pPr>
      <w:r>
        <w:rPr>
          <w:rFonts w:ascii="Times New Roman"/>
          <w:b w:val="false"/>
          <w:i w:val="false"/>
          <w:color w:val="000000"/>
          <w:sz w:val="28"/>
        </w:rPr>
        <w:t>
      8) товар – титановые слитки, произведенные методом электронно-лучевой плавки для дальнейшей реализации потребителю;</w:t>
      </w:r>
    </w:p>
    <w:bookmarkEnd w:id="19"/>
    <w:bookmarkStart w:name="z26" w:id="20"/>
    <w:p>
      <w:pPr>
        <w:spacing w:after="0"/>
        <w:ind w:left="0"/>
        <w:jc w:val="both"/>
      </w:pPr>
      <w:r>
        <w:rPr>
          <w:rFonts w:ascii="Times New Roman"/>
          <w:b w:val="false"/>
          <w:i w:val="false"/>
          <w:color w:val="000000"/>
          <w:sz w:val="28"/>
        </w:rPr>
        <w:t>
      9) титановый лом – отходы производства титановых слитков в виде лома титановой стружки и лома кускового титана;</w:t>
      </w:r>
    </w:p>
    <w:bookmarkEnd w:id="20"/>
    <w:bookmarkStart w:name="z27" w:id="21"/>
    <w:p>
      <w:pPr>
        <w:spacing w:after="0"/>
        <w:ind w:left="0"/>
        <w:jc w:val="both"/>
      </w:pPr>
      <w:r>
        <w:rPr>
          <w:rFonts w:ascii="Times New Roman"/>
          <w:b w:val="false"/>
          <w:i w:val="false"/>
          <w:color w:val="000000"/>
          <w:sz w:val="28"/>
        </w:rPr>
        <w:t xml:space="preserve">
      10) трейдер – лицо, осуществляющее посреднические функции при купле-продаже титановых слитков, произведенных методом электронно-лучевой плавки самостоятельно и (или) по поручению участника сделки;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цена из источников информации – цена, публикуемая в долларах США компанией "Argus Media group" в журнале "MetalPrices.com" (Великобритания) сайт www.metalprices.com и Общество с ограниченной ответственностью "Мегасофт" в журнале "Металлургический бюллетень" (Россия) сайт www.metaltorg.ru;</w:t>
      </w:r>
    </w:p>
    <w:bookmarkStart w:name="z29" w:id="22"/>
    <w:p>
      <w:pPr>
        <w:spacing w:after="0"/>
        <w:ind w:left="0"/>
        <w:jc w:val="both"/>
      </w:pPr>
      <w:r>
        <w:rPr>
          <w:rFonts w:ascii="Times New Roman"/>
          <w:b w:val="false"/>
          <w:i w:val="false"/>
          <w:color w:val="000000"/>
          <w:sz w:val="28"/>
        </w:rPr>
        <w:t>
      12) цена сделки – цена реализации предприятия на титановые слитки, произведенные методом электронно-лучевой плавки, рассчитанная в соответствии с положениями настоящих Правил;</w:t>
      </w:r>
    </w:p>
    <w:bookmarkEnd w:id="22"/>
    <w:bookmarkStart w:name="z30" w:id="23"/>
    <w:p>
      <w:pPr>
        <w:spacing w:after="0"/>
        <w:ind w:left="0"/>
        <w:jc w:val="both"/>
      </w:pPr>
      <w:r>
        <w:rPr>
          <w:rFonts w:ascii="Times New Roman"/>
          <w:b w:val="false"/>
          <w:i w:val="false"/>
          <w:color w:val="000000"/>
          <w:sz w:val="28"/>
        </w:rPr>
        <w:t>
      13) ценовой коридор – верхний и нижний пределы цен, устанавливаемые участниками сделки при заключении долгосрочных контрактов на основании ряда минимальных и максимальных значений цен из источников информации: для титановых слитков - журнал "MetalPrices.com", сайт www.metalprices.com (Великобритания), в случае отсутствии публикации источника "MetalPrices.com" – значение цен принимается из источника "Металлургический бюллетень", сайт www.metaltorg.ru.</w:t>
      </w:r>
    </w:p>
    <w:bookmarkEnd w:id="23"/>
    <w:bookmarkStart w:name="z31" w:id="24"/>
    <w:p>
      <w:pPr>
        <w:spacing w:after="0"/>
        <w:ind w:left="0"/>
        <w:jc w:val="left"/>
      </w:pPr>
      <w:r>
        <w:rPr>
          <w:rFonts w:ascii="Times New Roman"/>
          <w:b/>
          <w:i w:val="false"/>
          <w:color w:val="000000"/>
        </w:rPr>
        <w:t xml:space="preserve"> 3. Применение ценового коридора при определении цены сделки для долгосрочных контрактов</w:t>
      </w:r>
    </w:p>
    <w:bookmarkEnd w:id="24"/>
    <w:bookmarkStart w:name="z32" w:id="25"/>
    <w:p>
      <w:pPr>
        <w:spacing w:after="0"/>
        <w:ind w:left="0"/>
        <w:jc w:val="both"/>
      </w:pPr>
      <w:r>
        <w:rPr>
          <w:rFonts w:ascii="Times New Roman"/>
          <w:b w:val="false"/>
          <w:i w:val="false"/>
          <w:color w:val="000000"/>
          <w:sz w:val="28"/>
        </w:rPr>
        <w:t xml:space="preserve">
      Для долгосрочных контрактов купли-продажи титановых слитков, произведенных методом электронно-лучевой плавки, участники сделки устанавливают ценовой коридор, применяемый в течение всего срока действия контракта. </w:t>
      </w:r>
    </w:p>
    <w:bookmarkEnd w:id="25"/>
    <w:bookmarkStart w:name="z33" w:id="26"/>
    <w:p>
      <w:pPr>
        <w:spacing w:after="0"/>
        <w:ind w:left="0"/>
        <w:jc w:val="both"/>
      </w:pPr>
      <w:r>
        <w:rPr>
          <w:rFonts w:ascii="Times New Roman"/>
          <w:b w:val="false"/>
          <w:i w:val="false"/>
          <w:color w:val="000000"/>
          <w:sz w:val="28"/>
        </w:rPr>
        <w:t>
      Верхний и нижний пределы ценового коридора определяются на основании среднеарифметических минимальных и максимальных значений цен, опубликованных в соответствующем источнике информации на каждое первое число двух календарных месяцев, предшествующих месяцу, в котором заключается долгосрочный контракт, и цен из источника информации, опубликованных на первое число месяца, в котором заключается долгосрочный контракт.</w:t>
      </w:r>
    </w:p>
    <w:bookmarkEnd w:id="26"/>
    <w:bookmarkStart w:name="z34" w:id="27"/>
    <w:p>
      <w:pPr>
        <w:spacing w:after="0"/>
        <w:ind w:left="0"/>
        <w:jc w:val="both"/>
      </w:pPr>
      <w:r>
        <w:rPr>
          <w:rFonts w:ascii="Times New Roman"/>
          <w:b w:val="false"/>
          <w:i w:val="false"/>
          <w:color w:val="000000"/>
          <w:sz w:val="28"/>
        </w:rPr>
        <w:t>
      Ценовой коридор, установленный участниками сделки при заключении долгосрочного контракта, применяется для определения цены сделки на дату перехода права собственности на титановые слитки, произведенные методом электронно-лучевой плавки.</w:t>
      </w:r>
    </w:p>
    <w:bookmarkEnd w:id="27"/>
    <w:bookmarkStart w:name="z35" w:id="28"/>
    <w:p>
      <w:pPr>
        <w:spacing w:after="0"/>
        <w:ind w:left="0"/>
        <w:jc w:val="both"/>
      </w:pPr>
      <w:r>
        <w:rPr>
          <w:rFonts w:ascii="Times New Roman"/>
          <w:b w:val="false"/>
          <w:i w:val="false"/>
          <w:color w:val="000000"/>
          <w:sz w:val="28"/>
        </w:rPr>
        <w:t xml:space="preserve">
      При отклонении среднеарифметического значения цены из источника информации от верхнего предела установленного ценового коридора в сторону увеличения (повышения) цена сделки на дату перехода права собственности на титановые слитки, произведенные методом электронно-лучевой плавки, рассчитывается на основании верхнего предела установленного ценового коридора. </w:t>
      </w:r>
    </w:p>
    <w:bookmarkEnd w:id="28"/>
    <w:bookmarkStart w:name="z36" w:id="29"/>
    <w:p>
      <w:pPr>
        <w:spacing w:after="0"/>
        <w:ind w:left="0"/>
        <w:jc w:val="both"/>
      </w:pPr>
      <w:r>
        <w:rPr>
          <w:rFonts w:ascii="Times New Roman"/>
          <w:b w:val="false"/>
          <w:i w:val="false"/>
          <w:color w:val="000000"/>
          <w:sz w:val="28"/>
        </w:rPr>
        <w:t>
      При отклонении среднеарифметического значения цены из источника информации от нижнего предела установленного ценового коридора в сторону уменьшения (снижения) цена сделки на дату перехода права собственности на титановые слитки, произведенные методом электронно-лучевой плавки, рассчитывается на основании нижнего предела установленного ценового коридора.</w:t>
      </w:r>
    </w:p>
    <w:bookmarkEnd w:id="29"/>
    <w:bookmarkStart w:name="z37" w:id="30"/>
    <w:p>
      <w:pPr>
        <w:spacing w:after="0"/>
        <w:ind w:left="0"/>
        <w:jc w:val="left"/>
      </w:pPr>
      <w:r>
        <w:rPr>
          <w:rFonts w:ascii="Times New Roman"/>
          <w:b/>
          <w:i w:val="false"/>
          <w:color w:val="000000"/>
        </w:rPr>
        <w:t xml:space="preserve"> 4. Порядок определения цены сделки (реализации) на титановые слитки, произведенные методом электронно-лучевой плавки с использованием титана губчатого, или титана губчатого и титанового лома, или титанового лома</w:t>
      </w:r>
    </w:p>
    <w:bookmarkEnd w:id="30"/>
    <w:bookmarkStart w:name="z38" w:id="31"/>
    <w:p>
      <w:pPr>
        <w:spacing w:after="0"/>
        <w:ind w:left="0"/>
        <w:jc w:val="both"/>
      </w:pPr>
      <w:r>
        <w:rPr>
          <w:rFonts w:ascii="Times New Roman"/>
          <w:b w:val="false"/>
          <w:i w:val="false"/>
          <w:color w:val="000000"/>
          <w:sz w:val="28"/>
        </w:rPr>
        <w:t>
      Для долгосрочного контракта купли-продажи титановых слитков, произведенных методом электронно-лучевой плавки с использованием одного из нижеследующих видов сырья: титана губчатого; или титана губчатого и титанового лома; или титанового лома, цена сделки (реализации) рассчитывается по следующей формуле:</w:t>
      </w:r>
    </w:p>
    <w:bookmarkEnd w:id="31"/>
    <w:bookmarkStart w:name="z39" w:id="32"/>
    <w:p>
      <w:pPr>
        <w:spacing w:after="0"/>
        <w:ind w:left="0"/>
        <w:jc w:val="left"/>
      </w:pPr>
      <w:r>
        <w:rPr>
          <w:rFonts w:ascii="Times New Roman"/>
          <w:b/>
          <w:i w:val="false"/>
          <w:color w:val="000000"/>
        </w:rPr>
        <w:t xml:space="preserve"> ЦСIngot &gt; ЦИИIngot х КIngot х КScrap - D , где</w:t>
      </w:r>
    </w:p>
    <w:bookmarkEnd w:id="32"/>
    <w:bookmarkStart w:name="z40" w:id="33"/>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Ingot</w:t>
      </w:r>
      <w:r>
        <w:rPr>
          <w:rFonts w:ascii="Times New Roman"/>
          <w:b w:val="false"/>
          <w:i w:val="false"/>
          <w:color w:val="000000"/>
          <w:sz w:val="28"/>
        </w:rPr>
        <w:t xml:space="preserve"> - цена сделки (реализации) на титановые слитки, произведенные методом электронно-лучевой плавки, на дату перехода права собственности покупателю;</w:t>
      </w:r>
    </w:p>
    <w:bookmarkEnd w:id="33"/>
    <w:bookmarkStart w:name="z41" w:id="34"/>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Ingot</w:t>
      </w:r>
      <w:r>
        <w:rPr>
          <w:rFonts w:ascii="Times New Roman"/>
          <w:b w:val="false"/>
          <w:i w:val="false"/>
          <w:color w:val="000000"/>
          <w:sz w:val="28"/>
        </w:rPr>
        <w:t xml:space="preserve"> - цена из источника информации на титановые слитки, опубликованная в журнале "MetalPrices.Com",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MP min.</w:t>
      </w:r>
      <w:r>
        <w:rPr>
          <w:rFonts w:ascii="Times New Roman"/>
          <w:b w:val="false"/>
          <w:i w:val="false"/>
          <w:color w:val="000000"/>
          <w:sz w:val="28"/>
        </w:rPr>
        <w:t xml:space="preserve"> - минимальное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35"/>
    <w:bookmarkStart w:name="z44" w:id="36"/>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MP max.</w:t>
      </w:r>
      <w:r>
        <w:rPr>
          <w:rFonts w:ascii="Times New Roman"/>
          <w:b w:val="false"/>
          <w:i w:val="false"/>
          <w:color w:val="000000"/>
          <w:sz w:val="28"/>
        </w:rPr>
        <w:t xml:space="preserve"> - максимальное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36"/>
    <w:bookmarkStart w:name="z45" w:id="37"/>
    <w:p>
      <w:pPr>
        <w:spacing w:after="0"/>
        <w:ind w:left="0"/>
        <w:jc w:val="both"/>
      </w:pPr>
      <w:r>
        <w:rPr>
          <w:rFonts w:ascii="Times New Roman"/>
          <w:b w:val="false"/>
          <w:i w:val="false"/>
          <w:color w:val="000000"/>
          <w:sz w:val="28"/>
        </w:rPr>
        <w:t>
      При этом ЦИИ</w:t>
      </w:r>
      <w:r>
        <w:rPr>
          <w:rFonts w:ascii="Times New Roman"/>
          <w:b w:val="false"/>
          <w:i w:val="false"/>
          <w:color w:val="000000"/>
          <w:vertAlign w:val="subscript"/>
        </w:rPr>
        <w:t>Ingot</w:t>
      </w:r>
      <w:r>
        <w:rPr>
          <w:rFonts w:ascii="Times New Roman"/>
          <w:b w:val="false"/>
          <w:i w:val="false"/>
          <w:color w:val="000000"/>
          <w:sz w:val="28"/>
        </w:rPr>
        <w:t xml:space="preserve"> применяется с учетом пределов ценового коридора и положений </w:t>
      </w:r>
      <w:r>
        <w:rPr>
          <w:rFonts w:ascii="Times New Roman"/>
          <w:b w:val="false"/>
          <w:i w:val="false"/>
          <w:color w:val="000000"/>
          <w:sz w:val="28"/>
        </w:rPr>
        <w:t>главы 3</w:t>
      </w:r>
      <w:r>
        <w:rPr>
          <w:rFonts w:ascii="Times New Roman"/>
          <w:b w:val="false"/>
          <w:i w:val="false"/>
          <w:color w:val="000000"/>
          <w:sz w:val="28"/>
        </w:rPr>
        <w:t xml:space="preserve"> настоящих Правил.</w:t>
      </w:r>
    </w:p>
    <w:bookmarkEnd w:id="37"/>
    <w:bookmarkStart w:name="z46" w:id="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Ingot</w:t>
      </w:r>
      <w:r>
        <w:rPr>
          <w:rFonts w:ascii="Times New Roman"/>
          <w:b w:val="false"/>
          <w:i w:val="false"/>
          <w:color w:val="000000"/>
          <w:sz w:val="28"/>
        </w:rPr>
        <w:t xml:space="preserve"> - понижающий коэффициент, применяемый для определения цены сделки (реализации) на титановые слитки, произведенные методом электронно-лучевой плавки, в соответствии со спецификацией покупателя, определяемый из расчета максимально допустимых пределов содержания основных примесей (железо (Fe), кислород (О), азот (N), водород (H), углерод (С), ванадий (V), алюминий (Al), иттрий (Y), кремний (Si), бор (B), медь (Cu), рутений (Ru), палладий (Pd)), влияющих на качество титановых слитков, определенных стандартом B 348, по следующей формуле:</w:t>
      </w:r>
    </w:p>
    <w:bookmarkEnd w:id="38"/>
    <w:bookmarkStart w:name="z4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x</w:t>
            </w:r>
            <w:r>
              <w:rPr>
                <w:rFonts w:ascii="Times New Roman"/>
                <w:b w:val="false"/>
                <w:i w:val="false"/>
                <w:color w:val="000000"/>
                <w:sz w:val="20"/>
              </w:rPr>
              <w:t xml:space="preserve"> - железо</w:t>
            </w:r>
          </w:p>
          <w:bookmarkEnd w:id="40"/>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содержание примесей в титановых слитках, произведенных методом электронно-лучевой плавки, в соответствии со спецификациями покупателей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x</w:t>
            </w:r>
            <w:r>
              <w:rPr>
                <w:rFonts w:ascii="Times New Roman"/>
                <w:b w:val="false"/>
                <w:i w:val="false"/>
                <w:color w:val="000000"/>
                <w:sz w:val="20"/>
              </w:rPr>
              <w:t xml:space="preserve"> - кислород</w:t>
            </w:r>
          </w:p>
          <w:bookmarkEnd w:id="41"/>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x</w:t>
            </w:r>
            <w:r>
              <w:rPr>
                <w:rFonts w:ascii="Times New Roman"/>
                <w:b w:val="false"/>
                <w:i w:val="false"/>
                <w:color w:val="000000"/>
                <w:sz w:val="20"/>
              </w:rPr>
              <w:t xml:space="preserve"> - азот</w:t>
            </w:r>
          </w:p>
          <w:bookmarkEnd w:id="4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x</w:t>
            </w:r>
            <w:r>
              <w:rPr>
                <w:rFonts w:ascii="Times New Roman"/>
                <w:b w:val="false"/>
                <w:i w:val="false"/>
                <w:color w:val="000000"/>
                <w:sz w:val="20"/>
              </w:rPr>
              <w:t xml:space="preserve"> - водород</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x</w:t>
            </w:r>
            <w:r>
              <w:rPr>
                <w:rFonts w:ascii="Times New Roman"/>
                <w:b w:val="false"/>
                <w:i w:val="false"/>
                <w:color w:val="000000"/>
                <w:sz w:val="20"/>
              </w:rPr>
              <w:t xml:space="preserve"> - углерод</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x</w:t>
            </w:r>
            <w:r>
              <w:rPr>
                <w:rFonts w:ascii="Times New Roman"/>
                <w:b w:val="false"/>
                <w:i w:val="false"/>
                <w:color w:val="000000"/>
                <w:sz w:val="20"/>
              </w:rPr>
              <w:t xml:space="preserve"> - ванадий</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x</w:t>
            </w:r>
            <w:r>
              <w:rPr>
                <w:rFonts w:ascii="Times New Roman"/>
                <w:b w:val="false"/>
                <w:i w:val="false"/>
                <w:color w:val="000000"/>
                <w:sz w:val="20"/>
              </w:rPr>
              <w:t xml:space="preserve"> - алюминий</w:t>
            </w:r>
          </w:p>
          <w:bookmarkEnd w:id="46"/>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x</w:t>
            </w:r>
            <w:r>
              <w:rPr>
                <w:rFonts w:ascii="Times New Roman"/>
                <w:b w:val="false"/>
                <w:i w:val="false"/>
                <w:color w:val="000000"/>
                <w:sz w:val="20"/>
              </w:rPr>
              <w:t xml:space="preserve"> - иттрий</w:t>
            </w:r>
          </w:p>
          <w:bookmarkEnd w:id="47"/>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Si</w:t>
            </w:r>
            <w:r>
              <w:rPr>
                <w:rFonts w:ascii="Times New Roman"/>
                <w:b w:val="false"/>
                <w:i w:val="false"/>
                <w:color w:val="000000"/>
                <w:vertAlign w:val="subscript"/>
              </w:rPr>
              <w:t>x</w:t>
            </w:r>
            <w:r>
              <w:rPr>
                <w:rFonts w:ascii="Times New Roman"/>
                <w:b w:val="false"/>
                <w:i w:val="false"/>
                <w:color w:val="000000"/>
                <w:sz w:val="20"/>
              </w:rPr>
              <w:t xml:space="preserve"> - кремний</w:t>
            </w:r>
          </w:p>
          <w:bookmarkEnd w:id="48"/>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x</w:t>
            </w:r>
            <w:r>
              <w:rPr>
                <w:rFonts w:ascii="Times New Roman"/>
                <w:b w:val="false"/>
                <w:i w:val="false"/>
                <w:color w:val="000000"/>
                <w:sz w:val="20"/>
              </w:rPr>
              <w:t xml:space="preserve"> - бор</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Cu</w:t>
            </w:r>
            <w:r>
              <w:rPr>
                <w:rFonts w:ascii="Times New Roman"/>
                <w:b w:val="false"/>
                <w:i w:val="false"/>
                <w:color w:val="000000"/>
                <w:vertAlign w:val="subscript"/>
              </w:rPr>
              <w:t>x</w:t>
            </w:r>
            <w:r>
              <w:rPr>
                <w:rFonts w:ascii="Times New Roman"/>
                <w:b w:val="false"/>
                <w:i w:val="false"/>
                <w:color w:val="000000"/>
                <w:sz w:val="20"/>
              </w:rPr>
              <w:t xml:space="preserve"> - медь</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Ru</w:t>
            </w:r>
            <w:r>
              <w:rPr>
                <w:rFonts w:ascii="Times New Roman"/>
                <w:b w:val="false"/>
                <w:i w:val="false"/>
                <w:color w:val="000000"/>
                <w:vertAlign w:val="subscript"/>
              </w:rPr>
              <w:t>x</w:t>
            </w:r>
            <w:r>
              <w:rPr>
                <w:rFonts w:ascii="Times New Roman"/>
                <w:b w:val="false"/>
                <w:i w:val="false"/>
                <w:color w:val="000000"/>
                <w:sz w:val="20"/>
              </w:rPr>
              <w:t xml:space="preserve"> - рутений</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Pd</w:t>
            </w:r>
            <w:r>
              <w:rPr>
                <w:rFonts w:ascii="Times New Roman"/>
                <w:b w:val="false"/>
                <w:i w:val="false"/>
                <w:color w:val="000000"/>
                <w:vertAlign w:val="subscript"/>
              </w:rPr>
              <w:t>x</w:t>
            </w:r>
            <w:r>
              <w:rPr>
                <w:rFonts w:ascii="Times New Roman"/>
                <w:b w:val="false"/>
                <w:i w:val="false"/>
                <w:color w:val="000000"/>
                <w:sz w:val="20"/>
              </w:rPr>
              <w:t xml:space="preserve"> - палладий</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Ingot</w:t>
            </w:r>
            <w:r>
              <w:rPr>
                <w:rFonts w:ascii="Times New Roman"/>
                <w:b w:val="false"/>
                <w:i w:val="false"/>
                <w:color w:val="000000"/>
                <w:sz w:val="20"/>
              </w:rPr>
              <w:t xml:space="preserve"> - железо</w:t>
            </w:r>
          </w:p>
          <w:bookmarkEnd w:id="53"/>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содержание примесей в титановых слитках в соответствии со стандартом B 348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Ingot</w:t>
            </w:r>
            <w:r>
              <w:rPr>
                <w:rFonts w:ascii="Times New Roman"/>
                <w:b w:val="false"/>
                <w:i w:val="false"/>
                <w:color w:val="000000"/>
                <w:sz w:val="20"/>
              </w:rPr>
              <w:t xml:space="preserve"> - кислород</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Ingot</w:t>
            </w:r>
            <w:r>
              <w:rPr>
                <w:rFonts w:ascii="Times New Roman"/>
                <w:b w:val="false"/>
                <w:i w:val="false"/>
                <w:color w:val="000000"/>
                <w:sz w:val="20"/>
              </w:rPr>
              <w:t xml:space="preserve"> - азот</w:t>
            </w:r>
          </w:p>
          <w:bookmarkEnd w:id="55"/>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Ingot</w:t>
            </w:r>
            <w:r>
              <w:rPr>
                <w:rFonts w:ascii="Times New Roman"/>
                <w:b w:val="false"/>
                <w:i w:val="false"/>
                <w:color w:val="000000"/>
                <w:sz w:val="20"/>
              </w:rPr>
              <w:t xml:space="preserve"> - водород</w:t>
            </w:r>
          </w:p>
          <w:bookmarkEnd w:id="56"/>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Ingot</w:t>
            </w:r>
            <w:r>
              <w:rPr>
                <w:rFonts w:ascii="Times New Roman"/>
                <w:b w:val="false"/>
                <w:i w:val="false"/>
                <w:color w:val="000000"/>
                <w:sz w:val="20"/>
              </w:rPr>
              <w:t xml:space="preserve"> - углерод</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Ingot</w:t>
            </w:r>
            <w:r>
              <w:rPr>
                <w:rFonts w:ascii="Times New Roman"/>
                <w:b w:val="false"/>
                <w:i w:val="false"/>
                <w:color w:val="000000"/>
                <w:sz w:val="20"/>
              </w:rPr>
              <w:t xml:space="preserve"> - ванадий</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Ingot</w:t>
            </w:r>
            <w:r>
              <w:rPr>
                <w:rFonts w:ascii="Times New Roman"/>
                <w:b w:val="false"/>
                <w:i w:val="false"/>
                <w:color w:val="000000"/>
                <w:sz w:val="20"/>
              </w:rPr>
              <w:t xml:space="preserve"> - алюминий</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Ingot</w:t>
            </w:r>
            <w:r>
              <w:rPr>
                <w:rFonts w:ascii="Times New Roman"/>
                <w:b w:val="false"/>
                <w:i w:val="false"/>
                <w:color w:val="000000"/>
                <w:sz w:val="20"/>
              </w:rPr>
              <w:t xml:space="preserve"> - иттрий</w:t>
            </w:r>
          </w:p>
          <w:bookmarkEnd w:id="60"/>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Si</w:t>
            </w:r>
            <w:r>
              <w:rPr>
                <w:rFonts w:ascii="Times New Roman"/>
                <w:b w:val="false"/>
                <w:i w:val="false"/>
                <w:color w:val="000000"/>
                <w:vertAlign w:val="subscript"/>
              </w:rPr>
              <w:t>Ingot</w:t>
            </w:r>
            <w:r>
              <w:rPr>
                <w:rFonts w:ascii="Times New Roman"/>
                <w:b w:val="false"/>
                <w:i w:val="false"/>
                <w:color w:val="000000"/>
                <w:sz w:val="20"/>
              </w:rPr>
              <w:t xml:space="preserve"> - кремний</w:t>
            </w:r>
          </w:p>
          <w:bookmarkEnd w:id="61"/>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Ingot</w:t>
            </w:r>
            <w:r>
              <w:rPr>
                <w:rFonts w:ascii="Times New Roman"/>
                <w:b w:val="false"/>
                <w:i w:val="false"/>
                <w:color w:val="000000"/>
                <w:sz w:val="20"/>
              </w:rPr>
              <w:t xml:space="preserve"> - бор</w:t>
            </w:r>
          </w:p>
          <w:bookmarkEnd w:id="6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Cu</w:t>
            </w:r>
            <w:r>
              <w:rPr>
                <w:rFonts w:ascii="Times New Roman"/>
                <w:b w:val="false"/>
                <w:i w:val="false"/>
                <w:color w:val="000000"/>
                <w:vertAlign w:val="subscript"/>
              </w:rPr>
              <w:t>Ingot</w:t>
            </w:r>
            <w:r>
              <w:rPr>
                <w:rFonts w:ascii="Times New Roman"/>
                <w:b w:val="false"/>
                <w:i w:val="false"/>
                <w:color w:val="000000"/>
                <w:sz w:val="20"/>
              </w:rPr>
              <w:t xml:space="preserve"> - медь</w:t>
            </w:r>
          </w:p>
          <w:bookmarkEnd w:id="6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Ru</w:t>
            </w:r>
            <w:r>
              <w:rPr>
                <w:rFonts w:ascii="Times New Roman"/>
                <w:b w:val="false"/>
                <w:i w:val="false"/>
                <w:color w:val="000000"/>
                <w:vertAlign w:val="subscript"/>
              </w:rPr>
              <w:t>Ingot</w:t>
            </w:r>
            <w:r>
              <w:rPr>
                <w:rFonts w:ascii="Times New Roman"/>
                <w:b w:val="false"/>
                <w:i w:val="false"/>
                <w:color w:val="000000"/>
                <w:sz w:val="20"/>
              </w:rPr>
              <w:t xml:space="preserve"> - рутений</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Pd</w:t>
            </w:r>
            <w:r>
              <w:rPr>
                <w:rFonts w:ascii="Times New Roman"/>
                <w:b w:val="false"/>
                <w:i w:val="false"/>
                <w:color w:val="000000"/>
                <w:vertAlign w:val="subscript"/>
              </w:rPr>
              <w:t>Ingot</w:t>
            </w:r>
            <w:r>
              <w:rPr>
                <w:rFonts w:ascii="Times New Roman"/>
                <w:b w:val="false"/>
                <w:i w:val="false"/>
                <w:color w:val="000000"/>
                <w:sz w:val="20"/>
              </w:rPr>
              <w:t xml:space="preserve"> - палладий</w:t>
            </w:r>
          </w:p>
          <w:bookmarkEnd w:id="65"/>
        </w:tc>
        <w:tc>
          <w:tcPr>
            <w:tcW w:w="0" w:type="auto"/>
            <w:vMerge/>
            <w:tcBorders>
              <w:top w:val="nil"/>
              <w:left w:val="single" w:color="cfcfcf" w:sz="5"/>
              <w:bottom w:val="single" w:color="cfcfcf" w:sz="5"/>
              <w:right w:val="single" w:color="cfcfcf" w:sz="5"/>
            </w:tcBorders>
          </w:tcPr>
          <w:p/>
        </w:tc>
      </w:tr>
    </w:tbl>
    <w:bookmarkStart w:name="z74" w:id="66"/>
    <w:p>
      <w:pPr>
        <w:spacing w:after="0"/>
        <w:ind w:left="0"/>
        <w:jc w:val="both"/>
      </w:pPr>
      <w:r>
        <w:rPr>
          <w:rFonts w:ascii="Times New Roman"/>
          <w:b w:val="false"/>
          <w:i w:val="false"/>
          <w:color w:val="000000"/>
          <w:sz w:val="28"/>
        </w:rPr>
        <w:t>
      В случае, если максимально допустимое содержание вышеуказанных примесей в титановых слитках по спецификациям покупателей ниже максимально допустимого содержания примесей в титановых слитках, определенного стандартом B 348, то цена сделки (реализации) на титановые слитки, произведенные методом электронно-лучевой плавки, определяется без учета понижающего коэффициента.</w:t>
      </w:r>
    </w:p>
    <w:bookmarkEnd w:id="66"/>
    <w:bookmarkStart w:name="z75" w:id="6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Scrap</w:t>
      </w:r>
      <w:r>
        <w:rPr>
          <w:rFonts w:ascii="Times New Roman"/>
          <w:b w:val="false"/>
          <w:i w:val="false"/>
          <w:color w:val="000000"/>
          <w:sz w:val="28"/>
        </w:rPr>
        <w:t xml:space="preserve"> - понижающий коэффициент, применяемый для определения цены сделки (реализации) на титановые слитки, произведенные методом электронно-лучевой плавки, и определяемый из расчета разницы цен материалов, содержащихся в исходном сырье (титан губчатый; или титан губчатый и титановый лом; или титановый лом).</w:t>
      </w:r>
    </w:p>
    <w:bookmarkEnd w:id="67"/>
    <w:bookmarkStart w:name="z76" w:id="6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Scrap</w:t>
      </w:r>
      <w:r>
        <w:rPr>
          <w:rFonts w:ascii="Times New Roman"/>
          <w:b w:val="false"/>
          <w:i w:val="false"/>
          <w:color w:val="000000"/>
          <w:sz w:val="28"/>
        </w:rPr>
        <w:t xml:space="preserve"> определяется по следующей формуле:</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TG</w:t>
      </w:r>
      <w:r>
        <w:rPr>
          <w:rFonts w:ascii="Times New Roman"/>
          <w:b w:val="false"/>
          <w:i w:val="false"/>
          <w:color w:val="000000"/>
          <w:sz w:val="28"/>
        </w:rPr>
        <w:t xml:space="preserve"> - доля титана губчатого в исходном сырье в процентах;</w:t>
      </w:r>
    </w:p>
    <w:bookmarkStart w:name="z79" w:id="70"/>
    <w:p>
      <w:pPr>
        <w:spacing w:after="0"/>
        <w:ind w:left="0"/>
        <w:jc w:val="both"/>
      </w:pPr>
      <w:r>
        <w:rPr>
          <w:rFonts w:ascii="Times New Roman"/>
          <w:b w:val="false"/>
          <w:i w:val="false"/>
          <w:color w:val="000000"/>
          <w:sz w:val="28"/>
        </w:rPr>
        <w:t>
      Д</w:t>
      </w:r>
      <w:r>
        <w:rPr>
          <w:rFonts w:ascii="Times New Roman"/>
          <w:b w:val="false"/>
          <w:i w:val="false"/>
          <w:color w:val="000000"/>
          <w:vertAlign w:val="subscript"/>
        </w:rPr>
        <w:t>Turning</w:t>
      </w:r>
      <w:r>
        <w:rPr>
          <w:rFonts w:ascii="Times New Roman"/>
          <w:b w:val="false"/>
          <w:i w:val="false"/>
          <w:color w:val="000000"/>
          <w:sz w:val="28"/>
        </w:rPr>
        <w:t xml:space="preserve"> - доля лома титановой стружки в исходном сырье в процентах;</w:t>
      </w:r>
    </w:p>
    <w:bookmarkEnd w:id="70"/>
    <w:bookmarkStart w:name="z80" w:id="71"/>
    <w:p>
      <w:pPr>
        <w:spacing w:after="0"/>
        <w:ind w:left="0"/>
        <w:jc w:val="both"/>
      </w:pPr>
      <w:r>
        <w:rPr>
          <w:rFonts w:ascii="Times New Roman"/>
          <w:b w:val="false"/>
          <w:i w:val="false"/>
          <w:color w:val="000000"/>
          <w:sz w:val="28"/>
        </w:rPr>
        <w:t>
      Д</w:t>
      </w:r>
      <w:r>
        <w:rPr>
          <w:rFonts w:ascii="Times New Roman"/>
          <w:b w:val="false"/>
          <w:i w:val="false"/>
          <w:color w:val="000000"/>
          <w:vertAlign w:val="subscript"/>
        </w:rPr>
        <w:t>Solids</w:t>
      </w:r>
      <w:r>
        <w:rPr>
          <w:rFonts w:ascii="Times New Roman"/>
          <w:b w:val="false"/>
          <w:i w:val="false"/>
          <w:color w:val="000000"/>
          <w:sz w:val="28"/>
        </w:rPr>
        <w:t xml:space="preserve"> - доля лома кускового титана в исходном сырье в процентах;</w:t>
      </w:r>
    </w:p>
    <w:bookmarkEnd w:id="71"/>
    <w:bookmarkStart w:name="z81" w:id="72"/>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TG</w:t>
      </w:r>
      <w:r>
        <w:rPr>
          <w:rFonts w:ascii="Times New Roman"/>
          <w:b w:val="false"/>
          <w:i w:val="false"/>
          <w:color w:val="000000"/>
          <w:sz w:val="28"/>
        </w:rPr>
        <w:t xml:space="preserve"> - цена из источника информации на титан губчатый, опубликованная в журнале "Металлургический бюллетень",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MТ min.</w:t>
      </w:r>
      <w:r>
        <w:rPr>
          <w:rFonts w:ascii="Times New Roman"/>
          <w:b w:val="false"/>
          <w:i w:val="false"/>
          <w:color w:val="000000"/>
          <w:sz w:val="28"/>
        </w:rPr>
        <w:t xml:space="preserve"> - минимальное значение цены из источника "Металлургический бюллетень" на дату перехода права собственности покупателю;</w:t>
      </w:r>
    </w:p>
    <w:bookmarkEnd w:id="73"/>
    <w:bookmarkStart w:name="z84" w:id="74"/>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MТ max.</w:t>
      </w:r>
      <w:r>
        <w:rPr>
          <w:rFonts w:ascii="Times New Roman"/>
          <w:b w:val="false"/>
          <w:i w:val="false"/>
          <w:color w:val="000000"/>
          <w:sz w:val="28"/>
        </w:rPr>
        <w:t xml:space="preserve"> - максимальное значение цены из источника "Металлургический бюллетень" на дату перехода права собственности покупателю.</w:t>
      </w:r>
    </w:p>
    <w:bookmarkEnd w:id="74"/>
    <w:bookmarkStart w:name="z85" w:id="75"/>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Turning</w:t>
      </w:r>
      <w:r>
        <w:rPr>
          <w:rFonts w:ascii="Times New Roman"/>
          <w:b w:val="false"/>
          <w:i w:val="false"/>
          <w:color w:val="000000"/>
          <w:sz w:val="28"/>
        </w:rPr>
        <w:t xml:space="preserve"> - цена из источника информации на лом титановой стружки, опубликованная в журнале "MetalPrices.Com",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MР min.</w:t>
      </w:r>
      <w:r>
        <w:rPr>
          <w:rFonts w:ascii="Times New Roman"/>
          <w:b w:val="false"/>
          <w:i w:val="false"/>
          <w:color w:val="000000"/>
          <w:sz w:val="28"/>
        </w:rPr>
        <w:t xml:space="preserve"> - минимальное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76"/>
    <w:bookmarkStart w:name="z88" w:id="77"/>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MР max.</w:t>
      </w:r>
      <w:r>
        <w:rPr>
          <w:rFonts w:ascii="Times New Roman"/>
          <w:b w:val="false"/>
          <w:i w:val="false"/>
          <w:color w:val="000000"/>
          <w:sz w:val="28"/>
        </w:rPr>
        <w:t xml:space="preserve"> - максимальное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77"/>
    <w:bookmarkStart w:name="z89" w:id="78"/>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Solids</w:t>
      </w:r>
      <w:r>
        <w:rPr>
          <w:rFonts w:ascii="Times New Roman"/>
          <w:b w:val="false"/>
          <w:i w:val="false"/>
          <w:color w:val="000000"/>
          <w:sz w:val="28"/>
        </w:rPr>
        <w:t xml:space="preserve"> - цена из источника информации на лом кускового титана, опубликованная в журнале "MetalPrices.Com",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MР min.</w:t>
      </w:r>
      <w:r>
        <w:rPr>
          <w:rFonts w:ascii="Times New Roman"/>
          <w:b w:val="false"/>
          <w:i w:val="false"/>
          <w:color w:val="000000"/>
          <w:sz w:val="28"/>
        </w:rPr>
        <w:t xml:space="preserve"> - минимальное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79"/>
    <w:bookmarkStart w:name="z92" w:id="80"/>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MР max.</w:t>
      </w:r>
      <w:r>
        <w:rPr>
          <w:rFonts w:ascii="Times New Roman"/>
          <w:b w:val="false"/>
          <w:i w:val="false"/>
          <w:color w:val="000000"/>
          <w:sz w:val="28"/>
        </w:rPr>
        <w:t xml:space="preserve"> - максимальное значение цены из источника информации на титановые слитки, опубликованной в журнале "MetalPrices.Com" на дату перехода права собственности покупателю.</w:t>
      </w:r>
    </w:p>
    <w:bookmarkEnd w:id="80"/>
    <w:bookmarkStart w:name="z93"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дифференциал, учитываемый в зависимости от условий поставки титановых слитков, произведенных методом электронно-лучевой плавки, определенных в долгосрочном контракте.</w:t>
      </w:r>
    </w:p>
    <w:bookmarkEnd w:id="81"/>
    <w:bookmarkStart w:name="z94" w:id="82"/>
    <w:p>
      <w:pPr>
        <w:spacing w:after="0"/>
        <w:ind w:left="0"/>
        <w:jc w:val="left"/>
      </w:pPr>
      <w:r>
        <w:rPr>
          <w:rFonts w:ascii="Times New Roman"/>
          <w:b/>
          <w:i w:val="false"/>
          <w:color w:val="000000"/>
        </w:rPr>
        <w:t xml:space="preserve"> 5. Определение дифференциала</w:t>
      </w:r>
    </w:p>
    <w:bookmarkEnd w:id="82"/>
    <w:bookmarkStart w:name="z95" w:id="83"/>
    <w:p>
      <w:pPr>
        <w:spacing w:after="0"/>
        <w:ind w:left="0"/>
        <w:jc w:val="both"/>
      </w:pPr>
      <w:r>
        <w:rPr>
          <w:rFonts w:ascii="Times New Roman"/>
          <w:b w:val="false"/>
          <w:i w:val="false"/>
          <w:color w:val="000000"/>
          <w:sz w:val="28"/>
        </w:rPr>
        <w:t>
      В дифференциал, в целях приведения в сопоставимые экономические условия цены из источника информации, в зависимости от условий поставки титановых слитков, произведенных методом электронно-лучевой плавки, включаются обоснованные и подтвержденные документально и (или) источниками информации расходы покупателя, связанные с доставкой товара до соответствующего рынка назначения (поставки) товара и его реализацией, включая:</w:t>
      </w:r>
    </w:p>
    <w:bookmarkEnd w:id="83"/>
    <w:bookmarkStart w:name="z96" w:id="84"/>
    <w:p>
      <w:pPr>
        <w:spacing w:after="0"/>
        <w:ind w:left="0"/>
        <w:jc w:val="both"/>
      </w:pPr>
      <w:r>
        <w:rPr>
          <w:rFonts w:ascii="Times New Roman"/>
          <w:b w:val="false"/>
          <w:i w:val="false"/>
          <w:color w:val="000000"/>
          <w:sz w:val="28"/>
        </w:rPr>
        <w:t>
      1) расходы по хранению товара на складах;</w:t>
      </w:r>
    </w:p>
    <w:bookmarkEnd w:id="84"/>
    <w:bookmarkStart w:name="z97" w:id="85"/>
    <w:p>
      <w:pPr>
        <w:spacing w:after="0"/>
        <w:ind w:left="0"/>
        <w:jc w:val="both"/>
      </w:pPr>
      <w:r>
        <w:rPr>
          <w:rFonts w:ascii="Times New Roman"/>
          <w:b w:val="false"/>
          <w:i w:val="false"/>
          <w:color w:val="000000"/>
          <w:sz w:val="28"/>
        </w:rPr>
        <w:t>
      2) расходы на транспортировку товара;</w:t>
      </w:r>
    </w:p>
    <w:bookmarkEnd w:id="85"/>
    <w:bookmarkStart w:name="z98" w:id="86"/>
    <w:p>
      <w:pPr>
        <w:spacing w:after="0"/>
        <w:ind w:left="0"/>
        <w:jc w:val="both"/>
      </w:pPr>
      <w:r>
        <w:rPr>
          <w:rFonts w:ascii="Times New Roman"/>
          <w:b w:val="false"/>
          <w:i w:val="false"/>
          <w:color w:val="000000"/>
          <w:sz w:val="28"/>
        </w:rPr>
        <w:t>
      3) расходы по страхованию транспортировки товара;</w:t>
      </w:r>
    </w:p>
    <w:bookmarkEnd w:id="86"/>
    <w:bookmarkStart w:name="z99" w:id="87"/>
    <w:p>
      <w:pPr>
        <w:spacing w:after="0"/>
        <w:ind w:left="0"/>
        <w:jc w:val="both"/>
      </w:pPr>
      <w:r>
        <w:rPr>
          <w:rFonts w:ascii="Times New Roman"/>
          <w:b w:val="false"/>
          <w:i w:val="false"/>
          <w:color w:val="000000"/>
          <w:sz w:val="28"/>
        </w:rPr>
        <w:t>
      4) расходы по уплате таможенных пошлин (платежей) на товар;</w:t>
      </w:r>
    </w:p>
    <w:bookmarkEnd w:id="87"/>
    <w:bookmarkStart w:name="z100" w:id="88"/>
    <w:p>
      <w:pPr>
        <w:spacing w:after="0"/>
        <w:ind w:left="0"/>
        <w:jc w:val="both"/>
      </w:pPr>
      <w:r>
        <w:rPr>
          <w:rFonts w:ascii="Times New Roman"/>
          <w:b w:val="false"/>
          <w:i w:val="false"/>
          <w:color w:val="000000"/>
          <w:sz w:val="28"/>
        </w:rPr>
        <w:t>
      5) комиссионное вознаграждение в размере не более 2% от общей суммы расходов, понесенных трейдером (покупателем) по приобретению, финансированию, доставке и реализации товара. Комиссионное вознаграждение трейдера (покупателя) определяется на основании данных аудированной финансовой отчетности трейдера (покупателя), как средний размер нормы рентабельности за три предыдущих финансовых года, предшествующих году совершения сделки. Норма рентабельности определяется в процентах как отношение операционной прибыли к сумме себестоимости реализации и расходов периода.</w:t>
      </w:r>
    </w:p>
    <w:bookmarkEnd w:id="88"/>
    <w:bookmarkStart w:name="z101" w:id="89"/>
    <w:p>
      <w:pPr>
        <w:spacing w:after="0"/>
        <w:ind w:left="0"/>
        <w:jc w:val="both"/>
      </w:pPr>
      <w:r>
        <w:rPr>
          <w:rFonts w:ascii="Times New Roman"/>
          <w:b w:val="false"/>
          <w:i w:val="false"/>
          <w:color w:val="000000"/>
          <w:sz w:val="28"/>
        </w:rPr>
        <w:t>
      6) расходы по финансированию, включая расходы покупателя по выплате вознаграждения по кредитам (займам), предоставленным покупателю коммерческими банками для приобретения, доставки и реализации товара, в размере не более трехмесячной ставки LIBOR+1,6%, а также расходы по комиссии банка, которые несет покупатель при привлечении и обслуживании кредитов (займов). Вознаграждение по кредитам (займам) определяется как среднеарифметическое значение трехмесячной ставки LIBOR+1,6%. Значение трехмесячных ставок LIBOR определяется на основании данных интернет-сайта www.bbalibor.com, как среднеарифметическое значение 3-х месячных ставок LIBOR, действовавших на даты отгрузки товара за календарный месяц. При этом в случае, если по контракту на реализацию товара в течение месяца была осуществлена только одна отгрузка, то для определения затрат по вознаграждениям по кредитам (займам) среднеарифметическое значение 3-х месячной ставки LIBOR соответствует одному значению среднеарифметической 3-х месячной ставки LIBOR на данный день отгрузки товара.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по запросу органа государственных доходов официальный источник информации представит информацию, в которой будет предусмотрено, что в дифференциал не включаются расходы по финансированию, включая расходы покупателя по выплате вознаграждения по кредитам, предоставленным покупателю коммерческими банками для приобретения, доставки и реализации титановых слитков, а также расходы по комиссии банка, которые несет покупатель при привлечении и обслуживании кредитов, тогда такие расходы подлежат исключению из состава дифференциала. С такой информацией налогоплательщик должен быть ознакомлен до начала проведения налоговой проверки по вопросу государственного контроля за трансфертным ценообразованием.</w:t>
      </w:r>
    </w:p>
    <w:bookmarkStart w:name="z103" w:id="90"/>
    <w:p>
      <w:pPr>
        <w:spacing w:after="0"/>
        <w:ind w:left="0"/>
        <w:jc w:val="both"/>
      </w:pPr>
      <w:r>
        <w:rPr>
          <w:rFonts w:ascii="Times New Roman"/>
          <w:b w:val="false"/>
          <w:i w:val="false"/>
          <w:color w:val="000000"/>
          <w:sz w:val="28"/>
        </w:rPr>
        <w:t xml:space="preserve">
      Составляющие дифференциала подтверждаются документально, в том числе долгосрочными контрактами, актами сдачи-приемки услуг по реализационным расходам с постатейной детализацией расходов покупателя, связанных с доставкой товара до соответствующего рынка назначения (поставки) товара и его реализацией,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5 июля 2008 года "О трансфертном ценообразовании".</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