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91a3" w14:textId="dcd9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2018 года № 689.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434-30), 434-31), 434-32), 434-33), 434-34), 434-35), 434-36), 434-37) и 434-38)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"434-30) разрабатывает и утверждает типовое положение о земельной комиссии;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434-31) разрабатывает и утверждает типовой договор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434-32) разрабатывает и утверждает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434-33) разрабатывает и утверждает правила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434-34) разрабатывает и утверждает методику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434-35) разрабатывает и утверждает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434-36) согласовывает предложения местного исполнительного органа области, города республиканского значения, столицы по вопросам предоставления и изъятия земельных участков для нужд обороны и национальной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434-37) разрабатывает и утверждает правила организации и проведения торгов (конкурсов, аукционов) по продаже земельных участков или права аренды земельных участков в электронном виде;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434-38) разрабатывает и утверждает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порядок доступа к аудио-, видеозаписи;";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411-33)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"411-33) осуществляет контроль за законностью принятых решений уполномоченных органов областей, городов республиканского значения, столицы, районов, городов областного значения в области регулирования земельных отношений по обращениям физических и юридических лиц;";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411-37)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"411-37) организует и проводит государственный контроль за законностью принятых решений местных исполнительных органов областей, городов республиканского значения, столицы и городов областного значения в области земельного законодательства Республики Казахстан;".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абзаца одиннадцатого пункта 1, который вводится в действие со 2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