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402e" w14:textId="1504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ноября 2012 года № 1484 "Об утверждении Правил представления субъектами финансового мониторинга сведений и информации об операциях, подлежащих финансовому мониторингу, и признаков определения подозрительной операции"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2018 года № 929. Утратило силу постановлением Правительства Республики Казахстан от 7 октября 2020 года № 643 (вводится в действие с 15 ноября 2020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07.10.2020 </w:t>
      </w:r>
      <w:r>
        <w:rPr>
          <w:rFonts w:ascii="Times New Roman"/>
          <w:b w:val="false"/>
          <w:i w:val="false"/>
          <w:color w:val="ff0000"/>
          <w:sz w:val="28"/>
        </w:rPr>
        <w:t>№ 643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15.11.2020).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ноября 2012 года № 1484 "Об утверждении Правил представления субъектами финансового мониторинга сведений и информации об операциях, подлежащих финансовому мониторингу, и признаков определения подозрительной операции" (САПП Республики Казахстан, 2012 г., № 80, ст. 1191)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субъектами финансового мониторинга сведений и информации об операциях, подлежащих финансовому мониторингу,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Информация, представляемая субъектами финансового мониторинга, указанными в подпунктах 1) - 6), 8) - 16) пункта 1 статьи 3 Закона, направляется в уполномоченный орган электронным способом, посредством сетей телекоммуникаций республиканского государственного предприятия на праве хозяйственного ведения "Казахстанский центр межбанковских расчетов Национального Банка Республики Казахстан" или веб-портала уполномоченного органа в формате XML.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представляемая субъектом финансового мониторинга, указанным в подпункте 7) пункта 1 статьи 3 Закона, направляется в уполномоченный орган электронным способом посредством сетей телекоммуникаций республиканского государственного предприятия на праве хозяйственного ведения "Казахстанский центр межбанковских расчетов Национального Банка Республики Казахстан", веб-портала уполномоченного органа в формате XML или на бумажном носителе.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субъектом финансового мониторинга информации способом, не предусмотренным частями первой и второй настоящего пункта, уполномоченный орган возвращает данную информацию без рассмотрения. В случае нарушения сроков, указанных в пункте 2 статьи 10 и пункте 2 статьи 13 Закона, по причине возникновения технических ошибок в программном обеспечении, подтвержденных уполномоченным органом, данные сведения и информация об операциях, подлежащих финансовому мониторингу, считаются направленными в установленный срок, если такая информация будет направлена не позднее одного рабочего дня после устранения технических ошибок.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XML информации, представляемой электронным способом, утверждается уполномоченным органом.";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случае получения извещения о непринятии информации, субъект финансового мониторинга в течение двадцати четырех часов (за исключением выходных и праздничных дней) принимает меры по устранению причин отказа в принятии информации, указанных в извещении, и направляет в уполномоченный орган исправленную информацию.";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Субъект финансового мониторинга, в случае необходимости внесения изменений и (или) дополнений в ранее представленную и принятую уполномоченным органом информацию, не позднее одного рабочего дня с даты обнаружения информации, подлежащей замене, направляет в уполномоченный орган информацию взамен ранее представленной.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Извещение о принятии (непринятии) уполномоченным органом новой информации направляется субъектам финансового мониторинга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сведений и информации об операции, подлежащей финансовому мониторингу (далее – форма ФМ-1):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1.4,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Совершено (время завершения операции)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совершено – отказ в проведении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совершено – для принятия решения".;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1.5: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4.5 исключить;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8, 9 и 10 следующего содержания: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Операции для обязательного изучения, признанные подозрительными субъектами финансового мониторинга, с фиксированием результатов такого изучения.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Операции, имеющие характеристики, соответствующие типологиям, схемам и способам финансирования терроризма.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Операции, имеющие характеристики, соответствующие типологиям, схемам и способам легализации (отмывания) преступных доходов.";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2.5, изложить в следующей редакции: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0"/>
        <w:gridCol w:w="1037"/>
        <w:gridCol w:w="8633"/>
      </w:tblGrid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Область (в том числе городов республиканского значения и столицы):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Район: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Населенный пункт (город/поселок/село), за исключением городов республиканского значения и столицы: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Наименование улицы/проспекта/микрорайона: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Номер дома: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Номер квартиры/офиса (при наличии):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Почтовый индекс:</w:t>
            </w:r>
          </w:p>
          <w:bookmarkEnd w:id="2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2.7, изложить в следующей редакции: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9"/>
        <w:gridCol w:w="1554"/>
        <w:gridCol w:w="6807"/>
      </w:tblGrid>
      <w:tr>
        <w:trPr>
          <w:trHeight w:val="30" w:hRule="atLeast"/>
        </w:trPr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Фамилия: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Имя: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Отчество (при наличии):</w:t>
            </w:r>
          </w:p>
          <w:bookmarkEnd w:id="2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";</w:t>
            </w:r>
          </w:p>
        </w:tc>
      </w:tr>
    </w:tbl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2.7.1, изложить в следующей редакции: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2"/>
        <w:gridCol w:w="3170"/>
        <w:gridCol w:w="698"/>
      </w:tblGrid>
      <w:tr>
        <w:trPr>
          <w:trHeight w:val="30" w:hRule="atLeast"/>
        </w:trPr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ответственного работника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4.21, изложить в следующей редакции: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0"/>
        <w:gridCol w:w="5264"/>
        <w:gridCol w:w="5036"/>
      </w:tblGrid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(для юридических лиц – юридический адрес, для физических лиц - адрес места регистрации)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Область (в том числе городов республиканского значения и столицы):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Район: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Населенный пункт (город/поселок/село, за исключением городов республиканского значения и столицы):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Наименование улицы/проспекта/микрорайона: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Номер дома: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Номер квартиры/офиса (при наличии):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Почтовый индекс:</w:t>
            </w:r>
          </w:p>
          <w:bookmarkEnd w:id="3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4.24, изложить в следующей редакции: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0"/>
        <w:gridCol w:w="5264"/>
        <w:gridCol w:w="5036"/>
      </w:tblGrid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(для юридических лиц – адрес местонахождения, для физических лиц - адрес места проживания)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Область (в том числе городов республиканского значения и столицы):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Район: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Населенный пункт (город/поселок/село, за исключением городов республиканского значения и столицы):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Наименование улицы/проспекта/ микрорайона: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Номер дома: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Номер квартиры/офиса (при наличии):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Почтовый индекс:</w:t>
            </w:r>
          </w:p>
          <w:bookmarkEnd w:id="3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пояснениях по заполнению формы ФМ-1: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"Сведения о форме ФМ-1":</w:t>
      </w:r>
    </w:p>
    <w:bookmarkEnd w:id="38"/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тринадцатый и четырнадцатый исключить;</w:t>
      </w:r>
    </w:p>
    <w:bookmarkEnd w:id="39"/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пятнадцатый и шестнадцатый изложить в следующей редакции:</w:t>
      </w:r>
    </w:p>
    <w:bookmarkEnd w:id="40"/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""2. Не совершено – отказ в проведении" – указывается в случае, если субъектом финансового мониторинга было принято решение об отказе в проведении операции. При этом в реквизите 4.25 указывается причина отказа в проведении операции.";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Не совершено – для принятия решения" – указывается в случае, если субъект финансового мониторинга направляет сообщение о признании операции в качестве подозрительной в уполномоченный орган до ее проведения.</w:t>
      </w:r>
    </w:p>
    <w:bookmarkEnd w:id="42"/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указывается в цифровом формате: часы (два знака)/минуты (два знака), день (два знака)/месяц (два знака)/год (четыре знака).";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девятнадцатый изложить в следующей редакции:</w:t>
      </w:r>
    </w:p>
    <w:bookmarkEnd w:id="44"/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""2. Подозрительная операция" – указывается в случаях, если операции клиента признаны в качестве подозрительной в соответствии с признаками определения подозрительной операции.";</w:t>
      </w:r>
    </w:p>
    <w:bookmarkEnd w:id="45"/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двадцатый, двадцать первый, двадцать второй, двадцать третий и двадцать четвертый исключить;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пятый изложить в следующей редакции: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случаях указания кодов признаков определения подозрительных операций № 8002 – 8011, обязательными к заполнению в разделах 3 и 4 формы ФМ-1 являются следующие реквизиты: 3.4, 4.2, 4.4, 4.5, 4.7 (поля 1.1, 1.2, 1.3), для юридических лиц: 4.8; для физических лиц: 4.14. При этом указанное в реквизите 4.2 значение "2. Является" обязательными к заполнению являются реквизиты: 4.7 (поле 1.4), 4.13; для физических лиц: 4.15, 4.16 (поле 1), 4.17, 4.18.";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восьмой изложить в следующей редакции: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""4.2. Приостановление исполнения указаний по платежам и переводам без использования банковского счета" – указывается в случае приостановления исполнения указаний по платежу или переводу денег без использования банковского счета такого физического лица, а также указаний клиента, бенефициарным собственником которого является такое физическое лицо. При выборе данного пункта обязательными к заполнению в разделах 3 и 4 формы ФМ-1 являются следующие реквизиты: 3.4, 3,6, 3,7, 4.2, 4.4, 4.5, 4.7 (поля 1.1, 1.2, 1.3), 4.13, для юридических лиц: 4.8, для физических лиц: 4.14, 4.15, 4.16 (поле 1), 4.17, 4.18.";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первый исключить; 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тридцать вторым, тридцать третьим и тридцать четвертым следующего содержания: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""8. Операции для обязательного изучения, признанные подозрительными субъектами финансового мониторинга, с фиксированием результатов такого изучения" – указываются в случае, если операции клиента признаны подозрительными по результатам изучения в соответствии с пунктом 4 статьи 4 Закона.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Операции, имеющие характеристики, соответствующие типологиям, схемам и способам финансирования терроризма" – указываются в случае, если операции клиента имеют характеристики, соответствующие типологиям, схемам и способам финансирования терроризма.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Операции, имеющие характеристики, соответствующие типологиям, схемам и способам легализации (отмывания) преступных доходов" – указываются в случае, если операции клиента имеют характеристики, соответствующие типологиям, схемам и способам легализации (отмывания) преступных доходов.";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"Сведения о субъекте финансового мониторинга, направившем форму ФМ-1":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</w:t>
      </w:r>
      <w:r>
        <w:rPr>
          <w:rFonts w:ascii="Times New Roman"/>
          <w:b w:val="false"/>
          <w:i w:val="false"/>
          <w:color w:val="000000"/>
          <w:sz w:val="28"/>
        </w:rPr>
        <w:t>реквизите 2.5</w:t>
      </w:r>
      <w:r>
        <w:rPr>
          <w:rFonts w:ascii="Times New Roman"/>
          <w:b w:val="false"/>
          <w:i w:val="false"/>
          <w:color w:val="000000"/>
          <w:sz w:val="28"/>
        </w:rPr>
        <w:t xml:space="preserve"> "Адрес местонахождения" указываются юридический адрес субъекта финансового мониторинга в формате область (в том числе городов республиканского значения и столицы), район, населенный пункт (город/поселок/село), за исключением городов республиканского значения и столицы, наименование улицы/проспекта/микрорайона, номер дома, номер квартиры/офиса (при наличии), почтовый индекс.";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</w:t>
      </w:r>
      <w:r>
        <w:rPr>
          <w:rFonts w:ascii="Times New Roman"/>
          <w:b w:val="false"/>
          <w:i w:val="false"/>
          <w:color w:val="000000"/>
          <w:sz w:val="28"/>
        </w:rPr>
        <w:t>реквизите 2.7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"Ответственный работник" указываются данные контактного лица, ответственного за соблюдение правил внутреннего контроля:";</w:t>
      </w:r>
    </w:p>
    <w:bookmarkEnd w:id="60"/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изложить в следующей редакции:</w:t>
      </w:r>
    </w:p>
    <w:bookmarkEnd w:id="61"/>
    <w:bookmarkStart w:name="z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</w:t>
      </w:r>
      <w:r>
        <w:rPr>
          <w:rFonts w:ascii="Times New Roman"/>
          <w:b w:val="false"/>
          <w:i w:val="false"/>
          <w:color w:val="000000"/>
          <w:sz w:val="28"/>
        </w:rPr>
        <w:t>реквизите 2.7.1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"Должность ответственного работника" указывается занимаемая должность лица, ответственного за соблюдение правил внутреннего контроля.";</w:t>
      </w:r>
    </w:p>
    <w:bookmarkEnd w:id="62"/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"Информация об операции, подлежащей финансовому мониторингу":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</w:t>
      </w:r>
      <w:r>
        <w:rPr>
          <w:rFonts w:ascii="Times New Roman"/>
          <w:b w:val="false"/>
          <w:i w:val="false"/>
          <w:color w:val="000000"/>
          <w:sz w:val="28"/>
        </w:rPr>
        <w:t>реквизите 3.3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"Код назначения платежа" указывается код назначения платежа операции, подлежащей финансовому мониторингу,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Банка Республики Казахстан от 31 августа 2016 года № 203 "Об утверждении Правил применения кодов секторов экономики и назначения платежей" (зарегистрирован в реестре государственной регистрации нормативно правовых актов под № 14365). Реквизит обязателен для заполнения в случае указания кодов вида субъекта финансового мониторинга 011, 012 или 101 в реквизите 2.1 "Невозможно установить" - указывается в случае, если код назначения платежа невозможно установить.";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изложить в следующей редакции: 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</w:t>
      </w:r>
      <w:r>
        <w:rPr>
          <w:rFonts w:ascii="Times New Roman"/>
          <w:b w:val="false"/>
          <w:i w:val="false"/>
          <w:color w:val="000000"/>
          <w:sz w:val="28"/>
        </w:rPr>
        <w:t>реквизите 3.5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"Код валюты операции" указывается код валюты совершения операции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"Классификатор валют", утвержденным решением Комиссии таможенного союза от 20 сентября 2010 года № 378 "О классификаторах, используемых для заполнения таможенных деклараций".";</w:t>
      </w:r>
    </w:p>
    <w:bookmarkEnd w:id="67"/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"Сведения об участниках операции, подлежащей финансовому мониторингу":</w:t>
      </w:r>
    </w:p>
    <w:bookmarkEnd w:id="68"/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пятьдесят седьмой изложить в следующей редакции:</w:t>
      </w:r>
    </w:p>
    <w:bookmarkEnd w:id="69"/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</w:t>
      </w:r>
      <w:r>
        <w:rPr>
          <w:rFonts w:ascii="Times New Roman"/>
          <w:b w:val="false"/>
          <w:i w:val="false"/>
          <w:color w:val="000000"/>
          <w:sz w:val="28"/>
        </w:rPr>
        <w:t>реквизите 4.21</w:t>
      </w:r>
      <w:r>
        <w:rPr>
          <w:rFonts w:ascii="Times New Roman"/>
          <w:b w:val="false"/>
          <w:i w:val="false"/>
          <w:color w:val="000000"/>
          <w:sz w:val="28"/>
        </w:rPr>
        <w:t xml:space="preserve"> "Юридический адрес" указываются юридический адрес для юридических лиц или адрес места регистрации участника операции для физических лиц в формате область (в том числе городов республиканского значения и столицы), район, населенный пункт (город/поселок/село, за исключением городов республиканского значения и столицы), наименование улицы/проспекта/ микрорайона, номер дома, номер квартиры/офиса (при наличии).";</w:t>
      </w:r>
    </w:p>
    <w:bookmarkEnd w:id="70"/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шестидесятый изложить в следующей редакции:</w:t>
      </w:r>
    </w:p>
    <w:bookmarkEnd w:id="71"/>
    <w:bookmarkStart w:name="z1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</w:t>
      </w:r>
      <w:r>
        <w:rPr>
          <w:rFonts w:ascii="Times New Roman"/>
          <w:b w:val="false"/>
          <w:i w:val="false"/>
          <w:color w:val="000000"/>
          <w:sz w:val="28"/>
        </w:rPr>
        <w:t>реквизите 4.24</w:t>
      </w:r>
      <w:r>
        <w:rPr>
          <w:rFonts w:ascii="Times New Roman"/>
          <w:b w:val="false"/>
          <w:i w:val="false"/>
          <w:color w:val="000000"/>
          <w:sz w:val="28"/>
        </w:rPr>
        <w:t xml:space="preserve"> "Фактический адрес" указываются адрес местонахождения для юридических лиц или адрес местожительства участника операции для физических лиц в формате область (в том числе городов республиканского значения и столицы), район, населенный пункт (город/поселок/село, за исключением городов республиканского значения и столицы), наименование улицы/проспекта/микрорайона, номер дома, номер квартиры/офиса (при наличии).";</w:t>
      </w:r>
    </w:p>
    <w:bookmarkEnd w:id="72"/>
    <w:bookmarkStart w:name="z1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73"/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справочнике кодов видов субъектов финансового мониторинга: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4"/>
        <w:gridCol w:w="6536"/>
      </w:tblGrid>
      <w:tr>
        <w:trPr>
          <w:trHeight w:val="3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систем электронных денег, не являющиеся банками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77"/>
    <w:bookmarkStart w:name="z1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8"/>
    <w:bookmarkStart w:name="z1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7"/>
        <w:gridCol w:w="4643"/>
      </w:tblGrid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по приему платежей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80"/>
    <w:bookmarkStart w:name="z1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81"/>
    <w:bookmarkStart w:name="z1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7"/>
        <w:gridCol w:w="4643"/>
      </w:tblGrid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организации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1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83"/>
    <w:bookmarkStart w:name="z11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справочнике кодов видов операций, подлежащих финансовому мониторингу:</w:t>
      </w:r>
    </w:p>
    <w:bookmarkEnd w:id="84"/>
    <w:bookmarkStart w:name="z11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85"/>
    <w:bookmarkStart w:name="z11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8"/>
        <w:gridCol w:w="9552"/>
      </w:tblGrid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внесение, перечисление отчислений и (или) взносов в фонд социального медицинского страхования.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зачисление денег на банковский счет организации, бенефициарным собственником которой является лицо, включенное в перечень организаций и лиц, связанных с финансированием терроризма и экстремизма.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9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деньгами и (или) иным имуществом организаций и физических лиц, включенных в перечень организаций и лиц, связанных с финансированием терроризма и экстремизма на основании решения суда.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признаки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подозрительной операции,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2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сведений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об операциях,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</w:t>
            </w:r>
          </w:p>
        </w:tc>
      </w:tr>
    </w:tbl>
    <w:bookmarkStart w:name="z13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кодов документов, удостоверяющих личность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3"/>
        <w:gridCol w:w="6157"/>
      </w:tblGrid>
      <w:tr>
        <w:trPr>
          <w:trHeight w:val="30" w:hRule="atLeast"/>
        </w:trPr>
        <w:tc>
          <w:tcPr>
            <w:tcW w:w="6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удостоверяющие личность</w:t>
            </w:r>
          </w:p>
        </w:tc>
      </w:tr>
      <w:tr>
        <w:trPr>
          <w:trHeight w:val="30" w:hRule="atLeast"/>
        </w:trPr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</w:t>
            </w:r>
          </w:p>
        </w:tc>
      </w:tr>
      <w:tr>
        <w:trPr>
          <w:trHeight w:val="30" w:hRule="atLeast"/>
        </w:trPr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гражданина Республики Казахстан</w:t>
            </w:r>
          </w:p>
        </w:tc>
      </w:tr>
      <w:tr>
        <w:trPr>
          <w:trHeight w:val="30" w:hRule="atLeast"/>
        </w:trPr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гражданина иностранного государства</w:t>
            </w:r>
          </w:p>
        </w:tc>
      </w:tr>
      <w:tr>
        <w:trPr>
          <w:trHeight w:val="30" w:hRule="atLeast"/>
        </w:trPr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 жительство иностранца в Республике Казахстан</w:t>
            </w:r>
          </w:p>
        </w:tc>
      </w:tr>
      <w:tr>
        <w:trPr>
          <w:trHeight w:val="30" w:hRule="atLeast"/>
        </w:trPr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лица без гражданства</w:t>
            </w:r>
          </w:p>
        </w:tc>
      </w:tr>
      <w:tr>
        <w:trPr>
          <w:trHeight w:val="30" w:hRule="atLeast"/>
        </w:trPr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Дипломатический паспорт Республики Казахстан</w:t>
            </w:r>
          </w:p>
        </w:tc>
      </w:tr>
      <w:tr>
        <w:trPr>
          <w:trHeight w:val="30" w:hRule="atLeast"/>
        </w:trPr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паспорт Республики Казахстан</w:t>
            </w:r>
          </w:p>
        </w:tc>
      </w:tr>
      <w:tr>
        <w:trPr>
          <w:trHeight w:val="30" w:hRule="atLeast"/>
        </w:trPr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беженца</w:t>
            </w:r>
          </w:p>
        </w:tc>
      </w:tr>
      <w:tr>
        <w:trPr>
          <w:trHeight w:val="30" w:hRule="atLeast"/>
        </w:trPr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 моряка Республики Казахстан</w:t>
            </w:r>
          </w:p>
        </w:tc>
      </w:tr>
      <w:tr>
        <w:trPr>
          <w:trHeight w:val="30" w:hRule="atLeast"/>
        </w:trPr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рождении</w:t>
            </w:r>
          </w:p>
        </w:tc>
      </w:tr>
      <w:tr>
        <w:trPr>
          <w:trHeight w:val="30" w:hRule="atLeast"/>
        </w:trPr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на возвращение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929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2012 года № 1484</w:t>
            </w:r>
          </w:p>
        </w:tc>
      </w:tr>
    </w:tbl>
    <w:bookmarkStart w:name="z13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Признаки определения подозрительной операции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962"/>
        <w:gridCol w:w="10676"/>
      </w:tblGrid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кода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 определения подозрительной операции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Общие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Пренебрежение клиентом (представителем клиента) более выгодных условий получения услуг (комиссии, вознаграждения и т.п.), а также предложение клиентом (представителем клиента) необычно высокой комиссии (вознаграждения) за предоставление услуги субъектом финансового мониторинга.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с участием некоммерческой организации, (за исключением операций, связанных с уплатой налогов, других обязательных платежей в бюджет, пени и штрафов, пенсионных и социальных отчислений, членских взносов, коммунальных платежей, страховых премий по договорам обязательного страхования, а также операций, указанных в кодах признаков подозрительных операций 1040, 3002, 3003, 3004 и 1041).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операций с деньгами и/или иным имуществом с участием некоммерческих организаций, связанных с благотворительной деятельностью и/или иными пожертвованиями (за исключением операций, указанных в коде 3003).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из-за рубежа денежных средств на счета некоммерческих организаций.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собственных средств на банковский счет, открытый в оффшорной зоне.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клиента, имеющего регистрацию, место жительства или место нахождения в оффшорной зоне (за исключением операций, указанных в кодах 0623, 0633, 0640 (приложение 5, справочник кодов видов операций, подлежащих финансовому мониторингу);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 зарегистрирован (проживает) либо систематически совершает операции с участием лиц, зарегистрированных (проживающих) в государстве (на территории), которое не выполняет рекомендации Группы разработки финансовых мер борьбы с отмыванием денег (ФАТФ), а равно с использованием счета в банке, зарегистрированном в таком государстве (территории).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клиентом (представителем клиента) сведений, в том числе о бенефициарном собственнике, достоверность которых вызывает сомнения и не может быть проверена, а равно невозможность осуществить связь с клиентом по указанным им адресам и телефонам.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Необоснованная поспешность клиента (представителя клиента) в проведении операции и (или) излишняя озабоченность вопросами конфиденциальности в отношении проводимой операции.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операции клиентом под руководством третьего лица и/или лиц, присутствующих при операции.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Купля–продажа драгоценных металлов и драгоценных камней, ювелирных изделий, лома драгоценных металлов, когда данная деятельность не входит в круг его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операции у клиента наблюдается волнение, вследствие которых он представляет явно ложную информацию.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 не найден ни по месту государственной регистрации, ни по фактическому адресу, зафиксированному в рамках надлежащей проверки клиента.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операции с деньгами и(или) иным имуществом в (из) страну с высоким риском финансирования терроризма.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операций с деньгами и (или) иным имуществом, связанных с благотворительной деятельностью и (или) иными пожертвованиями, за исключением участия некоммерческих организаций.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операций с деньгами и (или) иным имуществом с участием некоммерческих организаций с религиозным направлением (за исключением операций, связанных с уплатой налогов, других обязательных платежей в бюджет, пени и штрафов, пенсионных и социальных отчислений, членских взносов, коммунальных платежей, страховых премий по договорам обязательного страхования).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клиентом операции (операций), по которой возникает основание полагать, что данная операция (операции) направлена на финансирование терроризма и (или) экстремизма.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деньгами и иным имуществом, которые связаны с куплей-продажей, транспортировкой, изготовлением, хранением и реализацией предметов, относящихся к химическому, биологическому и ядерному оружию и их составляющим, если это не относится к деятельности клиента.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деньгами и иным имуществом, которые связаны с куплей-продажей предметов военного назначения, медикаментов, если это не относится к деятельности клиента.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деньгами и иным имуществом, которые связаны с куплей-продажей веществ, включающих в себя не только лекарственные препараты, но и другие синтетические и природные вещества, являющиеся ядовитыми и сильнодействующими, если это не относится к деятельности клиента.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Клиенты, их деятельность, операции либо попытки их совершения, признанные подозрительными в соответствии с внутренними процедурами субъекта финансового мониторинга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Попытка совершения подозрительной операции, в отношении которой у субъекта финансового мониторинга возникают подозрения о том, что операция направлена на финансирование терроризма.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установлении деловых отношений в случае невозможности принятия мер, предусмотренных подпунктами 1), 2), 2-1), 4) и 6) пункта 3 статьи 5 Закона.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установлении деловых отношений, возможно направленных на легализацию (отмывание) доходов, полученных преступным путем.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установлении деловых отношений, возможно направленных на финансирование терроризма либо иной преступной деятельности.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проведении операций в случае невозможности принятия мер, предусмотренных подпунктами 1), 2), 2-1), 4) и 6) пункта 3 статьи 5 Закона.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проведении операции, в отношении которой у субъекта финансового мониторинга возникают подозрения о том, что операция направлена на легализацию (отмывание) доходов, полученных преступным путем.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проведении операции, в отношении которой у субъекта финансового мониторинга возникают подозрения о том, что операция направлена на финансирование терроризма либо иной преступной деятельности.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деловых отношений в случае возникновения в процессе изучения операций, совершаемых клиентом, подозрений о том, что деловые отношения используются клиентом в целях легализации (отмывания) доходов, полученных преступным путем.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деловых отношений в случае возникновения в процессе изучения операций, совершаемых клиентом, подозрений о том, что деловые отношения используются клиентом в целях финансирования терроризма.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операций лицом, включенным в перечень организаций и лиц, связанных с финансированием терроризма и экстремизма по решению суда.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Переводы, связанные с оплатой неустойки в рамках договоров по внешнеэкономической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 предоставлении услуг по платежам и переводам денег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резидентом по контрактам по экспорту или импорту срока репатриации, превышающего 360 дней (за исключением контрактов, предусматривающих оказание услуг и/или выполнение строительно-монтажных работ на территории Республики Казахстан).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нестандартных или необычно сложных инструкций по порядку проведения расчетов, отличающихся от сложившейся деловой практики.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Регулярные переводы денег с текущего счета клиента на его счет (счета) в другом банке (других банках) с последующими обратными переводами денег в одинаковых и/или похожих по значению суммах.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Регулярное перечисление (получение) клиентом денег в рамках сделок по оказанию маркетинговых, консультационных или исследовательских услуг.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и переводы денег по договору (договорам) на импорт товаров (работ, услуг) в пользу нерезидента, не являющегося стороной по договору (договорам).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и переводы, связанные с привлечением от физических лиц денег и (или) иного имущества, при отсутствии у клиента лицензии на осуществление деятельности в финансовой сфере и (или) деятельности, связанной с концентрацией финансовых ресурсов.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и переводы денег в пользу резидентов государств, не входящих в Таможенный союз, по договору на импорт товаров, не предусматривающему фактическое поступление товара на таможенную территорию Таможенного союза либо не предусматривающему перемещение товара по территории Таможенного союза.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Систематические переводы денег за рубеж без открытия банковского счета, в отношении которых возникают основания полагать, что они совершаются в целях осуществления предпринимательской деятельности.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Систематические платежи и переводы денег по валютным операциям, осуществляемые без представления валютного договора.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пользу клиента платежей с использованием электронных денег в крупном размере либо неоднократное поступление платежей с использованием электронных денег при отсутствии сведений о деятельности клиента в сфере Интернет-торговли.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Частое поступление в пользу клиента платежей с использованием электронных денег от не идентифицированных владельцев электронных денег (за исключением платежей по уплате налогов и иных обязательных платежей в бюджет, оплате коммунальных услуг, услуг связи, услуг телерадиовещания).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 банковском обслуживании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Существенное увеличение доли наличных денег, поступающих на счет клиента – юридического лица, если обычными для основной деятельности клиента являются расчеты в безналичной форме.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Досрочное погашение кредита клиентом, если имеющаяся информация не позволяет определить источник финансирования кредитной задолженности.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 банковского счета всех либо значительной части денег, за короткий период времени после их зачисления полученных за оказание широкого спектра услуг и (или) разные виды товаров.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счета с последующим открытием новых счетов на то же имя или на имя членов семьи клиента (те же действия, совершенные юридическими лицами).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Систематическое снятие одним и тем же лицом либо группой лиц с банковского счета (счетов) денег и/или значительной части денег за короткий период времени, полученных за оказание работ и услуг.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Неопрятный внешний вид (признаки лица без определенного места жительства, признаки наркомании и (или) алкоголизма) лица, осуществляющего систематическое снятие с банковского счета денег.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Регулярное зачисление наличных денег на банковский счет клиента от третьих лиц с последующим снятием таких денег клиентом либо переводом всей или большей части суммы в течение одного операционного дня или следующего за ним дня на банковские счета клиента или третьих лиц.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Регулярное зачисление клиентом наличных денег на депозиты, открываемые (открытые) в пользу третьих лиц, при отсутствии очевидной связи между деятельностью клиента и таких лиц.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Систематическое внесение наличных денег на банковский счет страхового агента, осуществляющего такую деятельность.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клиентом большого количества предоплаченных платежных карточек, не обусловленное характером его деятельности.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Систематическое поступление денег на счет клиента, осуществляемое с помощью оборудования (устройства), предназначенного для приема наличных денег.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отправителя денежных средств проходить процедуру установления источников доходов, который имеет внешние признаки религиозности, независимо от пола.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физического лица, включенного в перечень организаций и лиц, связанных с финансированием терроризма и экстремизма, для осуществления операции по получению заработной платы в соответствии с подпунктом 1) пункта 8 статьи 12 Закона.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Зачисление денег на банковский счет лицу, включенному в перечень организаций и лиц, связанных с финансированием терроризма и экстремизма, в соответствии с частью пятой пункта 1-1 статьи 13 Закона.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 предоставлении услуг на рынке ценных бумаг, услуг пенсионных фондов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клиентом либо по его указанию сделок с ценными бумагами (финансовыми инструментами), в результате которых не меняется владелец этих ценных бумаг (финансовых инструментов).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 по покупке и продаже ценных бумаг, заключаемые по ценам, имеющим существенное отклонение от текущих рыночных цен (по низкой цене, за бесценок и/или по завышенной цене) по аналогичным сделкам.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двух или нескольких участников торгов или их представителей о покупке (продаже) ценных бумаг на организованном и/или неорганизованном рынке ценных бумаг по ценам, имеющим существенное отклонение от текущих рыночных цен по аналогичным сделкам.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Разовая продажа (покупка) клиентом большого количества ценных бумаг, не обращающихся на организованном рынке ценных бумаг и финансовых услуг, при условии, что клиент не является профессиональным участником рынка ценных бумаг, и (или) ценные бумаги не передаются клиенту в погашение задолженности контрагента перед клиентом.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клиентом либо по его указанию сделок с ценными бумагами (финансовыми инструментами), в результате которых не меняется бенефициарный собственник этих ценных бумаг (финансовых инструментов).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индивидуального пенсионного счета с последующим перечислением на него значительных сумм в виде добровольных пенсионных взносов на имя иностранца либо лица без гражданства либо лица, достигшего к моменту заключения договора предельного возраста или приблизившегося к нему.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 предоставлении услуг в сфере страхования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операций по замене страхователя, застрахованного либо выгодоприобретателя по договору накопительного страхования жизни.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Досрочное расторжение клиентом договора добровольного страхования на крупную сумму спустя небольшой промежуток времени после его заключения с возвратом страховой премии, в том числе в пользу третьих лиц.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Попытка либо передача клиентом наличных денег в оплату страховых премий по договору накопительного страхования.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размера страховой суммы с соответствующим увеличением размера страховой премии по заключенному договору накопительного страхования.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всей либо части вознаграждения за услуги страхового посредника (страхового брокера, страхового агента) третьему лицу по указанию страхового посредника.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 предоставлении нотариальных, аудиторских услуг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(или) предоставление имущества по договору финансовой аренды (лизинга) по невыгодным, экономически нецелесообразным условиям договора (нотариусы).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финансовых операций, при которых один и тот же предмет сделки продается и затем выкупается.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Явное несоответствие договорной и действительной стоимости предмета сделки.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 оказании услуг в сфере игорного бизнеса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Неоднократное получение (выплата) средств в крупных размерах от игорного заведения в качестве выигрыша в азартной игре и/или по ставкам на азартные игры.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 оказании услуг лизинга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Досрочное погашение основного долга по договору лизинга клиентом, ранее допустившим просрочку исполнения обязательств, если имеющаяся информация не позволяет определить источник финансирования долга.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или предоставление имущества по договору лизинга (сублизинга), когда продавцом предмета лизинга и лизингополучателем (сублизингополучателем) выступает одно и то же лицо.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 осуществлении деятельности ломбарда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под залог или в скупку ювелирных изделий из драгоценных металлов и драгоценных камней без оттисков пробирных клейм.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под залог в ломбард транспортного средства по доверенности.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 осуществлении скупки, купли-продажи драгоценных металлов и драгоценных камней, ювелирных изделий из них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Систематическое приобретение физическим лицом нескольких ювелирных или других бытовых изделий из драгоценных металлов и (или) драгоценных камней (однотипных изделий) и/или сертифицированных драгоценных камней.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по поручению клиента денежных средств за реализованные драгоценные металлы, драгоценные камни и лом таких изделий, а также ювелирных изделий на счета третьих лиц.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юридическим лицом ограненных драгоценных камней (за исключением бриллиантов), не добывающихся на территории Республики Казахстан.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драгоценных металлов и драгоценных камней, ювелирных изделий из них по ценам, имеющим существенное отклонение от текущих рыночных цен.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При осуществлении сделок купли-продажи недвижимого имущества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или попытка клиента совершить сделку с недвижимым имуществом, на которое наложено обременение (за исключением ипотеки).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сделки с недвижимым имуществом по цене, имеющей существенное отклонение от рыночной стоимости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(три и более раз) покупка и (или) продажа физическим лицом объектов недвижимости.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сделки купли-продажи недвижимого имущества, являющегося государственной собственностью, приобретателем по которой выступает субъект частного предпринимательства.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При осуществлении деятельности платежных организаций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операций с деньгами и (или) иным имуществом, по которым у субъекта финансового мониторинга возникают основания полагать, что данная операция и/или операции связаны с незаконным оборотом наркотических средств.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