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6f08" w14:textId="0506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уплаты, распределения и перечисления единого совокупного платежа в виде индивидуального подоходного налога и социальных платежей, а также их возврата</w:t>
      </w:r>
    </w:p>
    <w:p>
      <w:pPr>
        <w:spacing w:after="0"/>
        <w:ind w:left="0"/>
        <w:jc w:val="both"/>
      </w:pPr>
      <w:r>
        <w:rPr>
          <w:rFonts w:ascii="Times New Roman"/>
          <w:b w:val="false"/>
          <w:i w:val="false"/>
          <w:color w:val="000000"/>
          <w:sz w:val="28"/>
        </w:rPr>
        <w:t>Постановление Правительства Республики Казахстан от 18 января 2019 года № 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p>
    <w:p>
      <w:pPr>
        <w:spacing w:after="0"/>
        <w:ind w:left="0"/>
        <w:jc w:val="both"/>
      </w:pPr>
      <w:r>
        <w:rPr>
          <w:rFonts w:ascii="Times New Roman"/>
          <w:b w:val="false"/>
          <w:i w:val="false"/>
          <w:color w:val="ff0000"/>
          <w:sz w:val="28"/>
        </w:rPr>
        <w:t>Порядок введения в действие см. п.2</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775 Кодекса Республики Казахстан от 25 декабря 2017 года "О налогах и других обязательных платежах в бюджет" (Налоговый кодекс)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Start w:name="z6"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уплаты, распределения и перечисления единого совокупного платежа в виде индивидуального подоходного налога и социальных платежей, а также их возврата.</w:t>
      </w:r>
    </w:p>
    <w:bookmarkEnd w:id="0"/>
    <w:bookmarkStart w:name="z7" w:id="1"/>
    <w:p>
      <w:pPr>
        <w:spacing w:after="0"/>
        <w:ind w:left="0"/>
        <w:jc w:val="both"/>
      </w:pPr>
      <w:r>
        <w:rPr>
          <w:rFonts w:ascii="Times New Roman"/>
          <w:b w:val="false"/>
          <w:i w:val="false"/>
          <w:color w:val="000000"/>
          <w:sz w:val="28"/>
        </w:rPr>
        <w:t>
      2. Настоящее постановление вводится в действие со дня его первого официального опубликования, но не ранее 1 января 2019 года, и действует до 1 января 2024 года.</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Сагинтаев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18 января 2019 года № 4</w:t>
            </w:r>
          </w:p>
        </w:tc>
      </w:tr>
    </w:tbl>
    <w:bookmarkStart w:name="z10" w:id="2"/>
    <w:p>
      <w:pPr>
        <w:spacing w:after="0"/>
        <w:ind w:left="0"/>
        <w:jc w:val="left"/>
      </w:pPr>
      <w:r>
        <w:rPr>
          <w:rFonts w:ascii="Times New Roman"/>
          <w:b/>
          <w:i w:val="false"/>
          <w:color w:val="000000"/>
        </w:rPr>
        <w:t xml:space="preserve"> Правила уплаты, распределения и перечисления единого совокупного платежа в виде индивидуального подоходного налога и социальных платежей, а также их возврата</w:t>
      </w:r>
    </w:p>
    <w:bookmarkEnd w:id="2"/>
    <w:bookmarkStart w:name="z11" w:id="3"/>
    <w:p>
      <w:pPr>
        <w:spacing w:after="0"/>
        <w:ind w:left="0"/>
        <w:jc w:val="left"/>
      </w:pPr>
      <w:r>
        <w:rPr>
          <w:rFonts w:ascii="Times New Roman"/>
          <w:b/>
          <w:i w:val="false"/>
          <w:color w:val="000000"/>
        </w:rPr>
        <w:t xml:space="preserve"> Глава 1. Общие положения</w:t>
      </w:r>
    </w:p>
    <w:bookmarkEnd w:id="3"/>
    <w:bookmarkStart w:name="z12" w:id="4"/>
    <w:p>
      <w:pPr>
        <w:spacing w:after="0"/>
        <w:ind w:left="0"/>
        <w:jc w:val="both"/>
      </w:pPr>
      <w:r>
        <w:rPr>
          <w:rFonts w:ascii="Times New Roman"/>
          <w:b w:val="false"/>
          <w:i w:val="false"/>
          <w:color w:val="000000"/>
          <w:sz w:val="28"/>
        </w:rPr>
        <w:t xml:space="preserve">
      1. Настоящие Правила уплаты, распределения и перечисления единого совокупного платежа в виде индивидуального подоходного налога и социальных платежей, а также их возврата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775 Кодекса Республики Казахстан от 25 декабря 2017 года "О налогах и других обязательных платежах в бюджет" (Налоговый кодекс) (далее – Кодекс) и определяют порядок уплаты, распределения и перечисления единого совокупного платежа в виде индивидуального подоходного налога и социальных платежей, а также их возврата.</w:t>
      </w:r>
    </w:p>
    <w:bookmarkEnd w:id="4"/>
    <w:bookmarkStart w:name="z13" w:id="5"/>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социальные платежи – обязательные пенсионные взносы, уплачиваемые в соответствии с законодательством Республики Казахстан о пенсионном обеспечении, социальные отчисления,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страховании", отчисления на обязательное социальное медицинское страхование, уплачиваемые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социальном медицинском страховании;</w:t>
      </w:r>
    </w:p>
    <w:bookmarkStart w:name="z15" w:id="6"/>
    <w:p>
      <w:pPr>
        <w:spacing w:after="0"/>
        <w:ind w:left="0"/>
        <w:jc w:val="both"/>
      </w:pPr>
      <w:r>
        <w:rPr>
          <w:rFonts w:ascii="Times New Roman"/>
          <w:b w:val="false"/>
          <w:i w:val="false"/>
          <w:color w:val="000000"/>
          <w:sz w:val="28"/>
        </w:rPr>
        <w:t xml:space="preserve">
      2) Фонд социального медицинского страхования (далее – ФСМС) – некоммерческая организация, производящая аккумулирование отчислений и взносов, а также осуществляющая закуп, оплату услуг субъектов здравоохранения, оказывающих медицинскую помощь в объемах и на условиях, предусмотренных договором закупа медицинских услуг, и иные функции, определенные законами Республики Казахстан; </w:t>
      </w:r>
    </w:p>
    <w:bookmarkEnd w:id="6"/>
    <w:bookmarkStart w:name="z16" w:id="7"/>
    <w:p>
      <w:pPr>
        <w:spacing w:after="0"/>
        <w:ind w:left="0"/>
        <w:jc w:val="both"/>
      </w:pPr>
      <w:r>
        <w:rPr>
          <w:rFonts w:ascii="Times New Roman"/>
          <w:b w:val="false"/>
          <w:i w:val="false"/>
          <w:color w:val="000000"/>
          <w:sz w:val="28"/>
        </w:rPr>
        <w:t xml:space="preserve">
      3) Государственный фонд социального страхования (далее – ГФСС) – юридическое лицо, производящее аккумулирование социальных отчислений, назначение и осуществление социальных выплат участникам системы обязательного социального страхования, за которых производились социальные отчисления и в отношении которых наступил случай социального риска, включая членов семьи - иждивенцев в случае потери кормильца; </w:t>
      </w:r>
    </w:p>
    <w:bookmarkEnd w:id="7"/>
    <w:bookmarkStart w:name="z17" w:id="8"/>
    <w:p>
      <w:pPr>
        <w:spacing w:after="0"/>
        <w:ind w:left="0"/>
        <w:jc w:val="both"/>
      </w:pPr>
      <w:r>
        <w:rPr>
          <w:rFonts w:ascii="Times New Roman"/>
          <w:b w:val="false"/>
          <w:i w:val="false"/>
          <w:color w:val="000000"/>
          <w:sz w:val="28"/>
        </w:rPr>
        <w:t>
      4) единый накопительный пенсионный фонд (далее – ЕНПФ) – юридическое лицо, осуществляющее деятельность по привлечению пенсионных взносов и пенсионным выплатам;</w:t>
      </w:r>
    </w:p>
    <w:bookmarkEnd w:id="8"/>
    <w:bookmarkStart w:name="z18" w:id="9"/>
    <w:p>
      <w:pPr>
        <w:spacing w:after="0"/>
        <w:ind w:left="0"/>
        <w:jc w:val="both"/>
      </w:pPr>
      <w:r>
        <w:rPr>
          <w:rFonts w:ascii="Times New Roman"/>
          <w:b w:val="false"/>
          <w:i w:val="false"/>
          <w:color w:val="000000"/>
          <w:sz w:val="28"/>
        </w:rPr>
        <w:t xml:space="preserve">
      5) плательщики единого совокупного платежа (далее – плательщики) –физические лица, осуществляющие предпринимательскую деятельность без регистрации в качестве индивидуального предпринимателя, которые соответствуют условиям, установленным </w:t>
      </w:r>
      <w:r>
        <w:rPr>
          <w:rFonts w:ascii="Times New Roman"/>
          <w:b w:val="false"/>
          <w:i w:val="false"/>
          <w:color w:val="000000"/>
          <w:sz w:val="28"/>
        </w:rPr>
        <w:t>статьей 774</w:t>
      </w:r>
      <w:r>
        <w:rPr>
          <w:rFonts w:ascii="Times New Roman"/>
          <w:b w:val="false"/>
          <w:i w:val="false"/>
          <w:color w:val="000000"/>
          <w:sz w:val="28"/>
        </w:rPr>
        <w:t xml:space="preserve"> Кодекса;</w:t>
      </w:r>
    </w:p>
    <w:bookmarkEnd w:id="9"/>
    <w:bookmarkStart w:name="z19" w:id="10"/>
    <w:p>
      <w:pPr>
        <w:spacing w:after="0"/>
        <w:ind w:left="0"/>
        <w:jc w:val="both"/>
      </w:pPr>
      <w:r>
        <w:rPr>
          <w:rFonts w:ascii="Times New Roman"/>
          <w:b w:val="false"/>
          <w:i w:val="false"/>
          <w:color w:val="000000"/>
          <w:sz w:val="28"/>
        </w:rPr>
        <w:t>
      6) ведомственная информационная система Комитета государственных доходов Министерства финансов Республики Казахстан (далее – ИС КГД) –информационная система, регулируемая внутренними документами Комитета государственных доходов Министерства финансов Республики Казахстан;</w:t>
      </w:r>
    </w:p>
    <w:bookmarkEnd w:id="10"/>
    <w:bookmarkStart w:name="z20" w:id="11"/>
    <w:p>
      <w:pPr>
        <w:spacing w:after="0"/>
        <w:ind w:left="0"/>
        <w:jc w:val="both"/>
      </w:pPr>
      <w:r>
        <w:rPr>
          <w:rFonts w:ascii="Times New Roman"/>
          <w:b w:val="false"/>
          <w:i w:val="false"/>
          <w:color w:val="000000"/>
          <w:sz w:val="28"/>
        </w:rPr>
        <w:t>
      7) орган государственных доходов – государственный орган, в пределах своей компетенции осуществляющий обеспечение поступлений налогов и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11"/>
    <w:bookmarkStart w:name="z21" w:id="12"/>
    <w:p>
      <w:pPr>
        <w:spacing w:after="0"/>
        <w:ind w:left="0"/>
        <w:jc w:val="both"/>
      </w:pPr>
      <w:r>
        <w:rPr>
          <w:rFonts w:ascii="Times New Roman"/>
          <w:b w:val="false"/>
          <w:i w:val="false"/>
          <w:color w:val="000000"/>
          <w:sz w:val="28"/>
        </w:rPr>
        <w:t>
      8)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2"/>
    <w:bookmarkStart w:name="z22" w:id="13"/>
    <w:p>
      <w:pPr>
        <w:spacing w:after="0"/>
        <w:ind w:left="0"/>
        <w:jc w:val="both"/>
      </w:pPr>
      <w:r>
        <w:rPr>
          <w:rFonts w:ascii="Times New Roman"/>
          <w:b w:val="false"/>
          <w:i w:val="false"/>
          <w:color w:val="000000"/>
          <w:sz w:val="28"/>
        </w:rPr>
        <w:t>
      9) ведомственная автоматизированная информационная система Министерства труда и социальной защиты населения Республики Казахстан "Организация обработки платежей" (далее – АИС МТСЗН РК) – информационная система по автоматизации процессов для организации обработки пенсионных и социальных отчислений и платежей;</w:t>
      </w:r>
    </w:p>
    <w:bookmarkEnd w:id="13"/>
    <w:bookmarkStart w:name="z23" w:id="14"/>
    <w:p>
      <w:pPr>
        <w:spacing w:after="0"/>
        <w:ind w:left="0"/>
        <w:jc w:val="both"/>
      </w:pPr>
      <w:r>
        <w:rPr>
          <w:rFonts w:ascii="Times New Roman"/>
          <w:b w:val="false"/>
          <w:i w:val="false"/>
          <w:color w:val="000000"/>
          <w:sz w:val="28"/>
        </w:rPr>
        <w:t>
      10) государственная база данных "Физические лица" (далее – ГБД ФЛ) – единая система регистрации и хранения информации о физических лицах Министерства юстиции Республики Казахстан, достаточная для идентификации и определения гражданского состояния.</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постановлением Правительства РК от 23.06.2020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 w:id="15"/>
    <w:p>
      <w:pPr>
        <w:spacing w:after="0"/>
        <w:ind w:left="0"/>
        <w:jc w:val="left"/>
      </w:pPr>
      <w:r>
        <w:rPr>
          <w:rFonts w:ascii="Times New Roman"/>
          <w:b/>
          <w:i w:val="false"/>
          <w:color w:val="000000"/>
        </w:rPr>
        <w:t xml:space="preserve"> Глава 2. Уплата единого совокупного платежа</w:t>
      </w:r>
    </w:p>
    <w:bookmarkEnd w:id="15"/>
    <w:bookmarkStart w:name="z25" w:id="16"/>
    <w:p>
      <w:pPr>
        <w:spacing w:after="0"/>
        <w:ind w:left="0"/>
        <w:jc w:val="both"/>
      </w:pPr>
      <w:r>
        <w:rPr>
          <w:rFonts w:ascii="Times New Roman"/>
          <w:b w:val="false"/>
          <w:i w:val="false"/>
          <w:color w:val="000000"/>
          <w:sz w:val="28"/>
        </w:rPr>
        <w:t xml:space="preserve">
      3. Единый совокупный платеж подлежит уплате общей суммой. Уплата единого совокупного платежа производится по месту жительства путем внесения единого совокупного платежа плательщиком наличными деньгами либо безналичным способом через банки и организации, осуществляющие отдельные виды банковских операций, на банковский счет Государственной корпорации с учетом требований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26 июля 2016 года "О платежах и платежных системах" (далее – Закон о платежах).</w:t>
      </w:r>
    </w:p>
    <w:bookmarkEnd w:id="16"/>
    <w:p>
      <w:pPr>
        <w:spacing w:after="0"/>
        <w:ind w:left="0"/>
        <w:jc w:val="both"/>
      </w:pPr>
      <w:r>
        <w:rPr>
          <w:rFonts w:ascii="Times New Roman"/>
          <w:b w:val="false"/>
          <w:i w:val="false"/>
          <w:color w:val="000000"/>
          <w:sz w:val="28"/>
        </w:rPr>
        <w:t xml:space="preserve">
      При этом указанные организации не принимают единый совокупный платеж в случае несоответствия его размеру единого совокупного платежа, установленного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в редакции постановления Правительства РК от 12.04.2021 </w:t>
      </w:r>
      <w:r>
        <w:rPr>
          <w:rFonts w:ascii="Times New Roman"/>
          <w:b w:val="false"/>
          <w:i w:val="false"/>
          <w:color w:val="000000"/>
          <w:sz w:val="28"/>
        </w:rPr>
        <w:t>№ 22</w:t>
      </w:r>
      <w:r>
        <w:rPr>
          <w:rFonts w:ascii="Times New Roman"/>
          <w:b w:val="false"/>
          <w:i w:val="false"/>
          <w:color w:val="000000"/>
          <w:sz w:val="28"/>
        </w:rPr>
        <w:t>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 w:id="17"/>
    <w:p>
      <w:pPr>
        <w:spacing w:after="0"/>
        <w:ind w:left="0"/>
        <w:jc w:val="both"/>
      </w:pPr>
      <w:r>
        <w:rPr>
          <w:rFonts w:ascii="Times New Roman"/>
          <w:b w:val="false"/>
          <w:i w:val="false"/>
          <w:color w:val="000000"/>
          <w:sz w:val="28"/>
        </w:rPr>
        <w:t>
      4. Размер единого совокупного платежа, подлежащего уплате плательщиком, составляет:</w:t>
      </w:r>
    </w:p>
    <w:bookmarkEnd w:id="17"/>
    <w:bookmarkStart w:name="z28" w:id="18"/>
    <w:p>
      <w:pPr>
        <w:spacing w:after="0"/>
        <w:ind w:left="0"/>
        <w:jc w:val="both"/>
      </w:pPr>
      <w:r>
        <w:rPr>
          <w:rFonts w:ascii="Times New Roman"/>
          <w:b w:val="false"/>
          <w:i w:val="false"/>
          <w:color w:val="000000"/>
          <w:sz w:val="28"/>
        </w:rPr>
        <w:t>
      1-кратный размер месячного расчетного показателя в городах республиканского значения, столице и областного значения;</w:t>
      </w:r>
    </w:p>
    <w:bookmarkEnd w:id="18"/>
    <w:bookmarkStart w:name="z29" w:id="19"/>
    <w:p>
      <w:pPr>
        <w:spacing w:after="0"/>
        <w:ind w:left="0"/>
        <w:jc w:val="both"/>
      </w:pPr>
      <w:r>
        <w:rPr>
          <w:rFonts w:ascii="Times New Roman"/>
          <w:b w:val="false"/>
          <w:i w:val="false"/>
          <w:color w:val="000000"/>
          <w:sz w:val="28"/>
        </w:rPr>
        <w:t>
      0,5-кратный размер месячного расчетного показателя в других населенных пунктах.</w:t>
      </w:r>
    </w:p>
    <w:bookmarkEnd w:id="19"/>
    <w:bookmarkStart w:name="z30" w:id="20"/>
    <w:p>
      <w:pPr>
        <w:spacing w:after="0"/>
        <w:ind w:left="0"/>
        <w:jc w:val="both"/>
      </w:pPr>
      <w:r>
        <w:rPr>
          <w:rFonts w:ascii="Times New Roman"/>
          <w:b w:val="false"/>
          <w:i w:val="false"/>
          <w:color w:val="000000"/>
          <w:sz w:val="28"/>
        </w:rPr>
        <w:t>
      При этом на момент уплаты единого совокупного платежа применяется размер месячного расчетного показателя, установленного на соответствующий финансовый год Законом Республики Казахстан "О республиканском бюджете".</w:t>
      </w:r>
    </w:p>
    <w:bookmarkEnd w:id="20"/>
    <w:bookmarkStart w:name="z31" w:id="21"/>
    <w:p>
      <w:pPr>
        <w:spacing w:after="0"/>
        <w:ind w:left="0"/>
        <w:jc w:val="both"/>
      </w:pPr>
      <w:r>
        <w:rPr>
          <w:rFonts w:ascii="Times New Roman"/>
          <w:b w:val="false"/>
          <w:i w:val="false"/>
          <w:color w:val="000000"/>
          <w:sz w:val="28"/>
        </w:rPr>
        <w:t>
      5. Уплата единого совокупного платежа плательщиками осуществляется по месту жительства самостоятельно или третьим лицом в их пользу с указанием месяца календарного года, за который производится уплата единого совокупного платежа в формате "ММГГГГ".</w:t>
      </w:r>
    </w:p>
    <w:bookmarkEnd w:id="21"/>
    <w:p>
      <w:pPr>
        <w:spacing w:after="0"/>
        <w:ind w:left="0"/>
        <w:jc w:val="both"/>
      </w:pPr>
      <w:r>
        <w:rPr>
          <w:rFonts w:ascii="Times New Roman"/>
          <w:b w:val="false"/>
          <w:i w:val="false"/>
          <w:color w:val="000000"/>
          <w:sz w:val="28"/>
        </w:rPr>
        <w:t>
      При этом единый совокупный платеж может уплачиваться за текущие и последующие месяцы календарного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постановления Правительства РК от 12.04.2021 </w:t>
      </w:r>
      <w:r>
        <w:rPr>
          <w:rFonts w:ascii="Times New Roman"/>
          <w:b w:val="false"/>
          <w:i w:val="false"/>
          <w:color w:val="000000"/>
          <w:sz w:val="28"/>
        </w:rPr>
        <w:t>№ 22</w:t>
      </w:r>
      <w:r>
        <w:rPr>
          <w:rFonts w:ascii="Times New Roman"/>
          <w:b w:val="false"/>
          <w:i w:val="false"/>
          <w:color w:val="000000"/>
          <w:sz w:val="28"/>
        </w:rPr>
        <w:t>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 w:id="22"/>
    <w:p>
      <w:pPr>
        <w:spacing w:after="0"/>
        <w:ind w:left="0"/>
        <w:jc w:val="left"/>
      </w:pPr>
      <w:r>
        <w:rPr>
          <w:rFonts w:ascii="Times New Roman"/>
          <w:b/>
          <w:i w:val="false"/>
          <w:color w:val="000000"/>
        </w:rPr>
        <w:t xml:space="preserve"> Глава 3. Порядок распределения и перечисления единого совокупного платежа</w:t>
      </w:r>
    </w:p>
    <w:bookmarkEnd w:id="22"/>
    <w:bookmarkStart w:name="z34" w:id="23"/>
    <w:p>
      <w:pPr>
        <w:spacing w:after="0"/>
        <w:ind w:left="0"/>
        <w:jc w:val="both"/>
      </w:pPr>
      <w:r>
        <w:rPr>
          <w:rFonts w:ascii="Times New Roman"/>
          <w:b w:val="false"/>
          <w:i w:val="false"/>
          <w:color w:val="000000"/>
          <w:sz w:val="28"/>
        </w:rPr>
        <w:t>
      6. Банки и организации, осуществляющие отдельные виды банковских операций, перечисляют поступившую сумму единого совокупного платежа в Государственную корпорацию электронными платежными поручениями формата МТ-102.</w:t>
      </w:r>
    </w:p>
    <w:bookmarkEnd w:id="23"/>
    <w:bookmarkStart w:name="z35" w:id="24"/>
    <w:p>
      <w:pPr>
        <w:spacing w:after="0"/>
        <w:ind w:left="0"/>
        <w:jc w:val="both"/>
      </w:pPr>
      <w:r>
        <w:rPr>
          <w:rFonts w:ascii="Times New Roman"/>
          <w:b w:val="false"/>
          <w:i w:val="false"/>
          <w:color w:val="000000"/>
          <w:sz w:val="28"/>
        </w:rPr>
        <w:t xml:space="preserve">
      Формат платежного поручения МТ-102 (далее – платежное поручение МТ-102) содержит индивидуальный идентификационный номер, фамилию, имя, отчество (при его наличии), дату рождения лица, период (месяц, год) за который уплачивается единый совокупный платеж, а также сумму в размере, исчисляемом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настоящих Правил.</w:t>
      </w:r>
    </w:p>
    <w:bookmarkEnd w:id="24"/>
    <w:bookmarkStart w:name="z36" w:id="25"/>
    <w:p>
      <w:pPr>
        <w:spacing w:after="0"/>
        <w:ind w:left="0"/>
        <w:jc w:val="both"/>
      </w:pPr>
      <w:r>
        <w:rPr>
          <w:rFonts w:ascii="Times New Roman"/>
          <w:b w:val="false"/>
          <w:i w:val="false"/>
          <w:color w:val="000000"/>
          <w:sz w:val="28"/>
        </w:rPr>
        <w:t>
      7. Единый совокупный платеж (далее – ЕСП), уплаченный плательщиками, освобожденными от уплаты социальных платежей в соответствии с законодательством Республики Казахстан о пенсионном обеспечении, обязательном социальном страховании и обязательном социальном медицинском страховании, не подлежит распределению на социальные платежи и перечисляется Государственной корпорацией в виде индивидуального подоходного налога в соответствующие бюджеты по месту жительства плательщика согласно соответствующему коду бюджетной классификации (далее – КБК) на сумму распределяемых социальных платежей.</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Сведения о лицах, освобожденных от уплаты социальных платежей в соответствии с законодательством Республики Казахстан о пенсионном обеспечении, обязательном социальном страховании и обязательном социальном медицинском страховании представляются из АИС МТСЗН РК.</w:t>
      </w:r>
    </w:p>
    <w:bookmarkStart w:name="z38" w:id="26"/>
    <w:p>
      <w:pPr>
        <w:spacing w:after="0"/>
        <w:ind w:left="0"/>
        <w:jc w:val="both"/>
      </w:pPr>
      <w:r>
        <w:rPr>
          <w:rFonts w:ascii="Times New Roman"/>
          <w:b w:val="false"/>
          <w:i w:val="false"/>
          <w:color w:val="000000"/>
          <w:sz w:val="28"/>
        </w:rPr>
        <w:t>
      8. Государственная корпорация в течение трех операционных дней со дня поступления средств распределяет сумму ЕСП и перечисляет платежными поручениями:</w:t>
      </w:r>
    </w:p>
    <w:bookmarkEnd w:id="26"/>
    <w:bookmarkStart w:name="z39" w:id="27"/>
    <w:p>
      <w:pPr>
        <w:spacing w:after="0"/>
        <w:ind w:left="0"/>
        <w:jc w:val="both"/>
      </w:pPr>
      <w:r>
        <w:rPr>
          <w:rFonts w:ascii="Times New Roman"/>
          <w:b w:val="false"/>
          <w:i w:val="false"/>
          <w:color w:val="000000"/>
          <w:sz w:val="28"/>
        </w:rPr>
        <w:t xml:space="preserve">
      10 процентов от размера ЕСП,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виде индивидуального подоходного налога по месту жительства плательщиков согласно соответствующему КБК;</w:t>
      </w:r>
    </w:p>
    <w:bookmarkEnd w:id="27"/>
    <w:bookmarkStart w:name="z40" w:id="28"/>
    <w:p>
      <w:pPr>
        <w:spacing w:after="0"/>
        <w:ind w:left="0"/>
        <w:jc w:val="both"/>
      </w:pPr>
      <w:r>
        <w:rPr>
          <w:rFonts w:ascii="Times New Roman"/>
          <w:b w:val="false"/>
          <w:i w:val="false"/>
          <w:color w:val="000000"/>
          <w:sz w:val="28"/>
        </w:rPr>
        <w:t xml:space="preserve">
      20 процентов от размера ЕСП,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виде социальных отчислений в ГФСС;</w:t>
      </w:r>
    </w:p>
    <w:bookmarkEnd w:id="28"/>
    <w:bookmarkStart w:name="z41" w:id="29"/>
    <w:p>
      <w:pPr>
        <w:spacing w:after="0"/>
        <w:ind w:left="0"/>
        <w:jc w:val="both"/>
      </w:pPr>
      <w:r>
        <w:rPr>
          <w:rFonts w:ascii="Times New Roman"/>
          <w:b w:val="false"/>
          <w:i w:val="false"/>
          <w:color w:val="000000"/>
          <w:sz w:val="28"/>
        </w:rPr>
        <w:t xml:space="preserve">
      30 процентов от размера ЕСП,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виде обязательных пенсионных взносов в ЕНПФ;</w:t>
      </w:r>
    </w:p>
    <w:bookmarkEnd w:id="29"/>
    <w:bookmarkStart w:name="z42" w:id="30"/>
    <w:p>
      <w:pPr>
        <w:spacing w:after="0"/>
        <w:ind w:left="0"/>
        <w:jc w:val="both"/>
      </w:pPr>
      <w:r>
        <w:rPr>
          <w:rFonts w:ascii="Times New Roman"/>
          <w:b w:val="false"/>
          <w:i w:val="false"/>
          <w:color w:val="000000"/>
          <w:sz w:val="28"/>
        </w:rPr>
        <w:t xml:space="preserve">
      40 процентов от размера ЕСП,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настоящих Правил, в виде отчислений на обязательное медицинское страхование в ФСМС.</w:t>
      </w:r>
    </w:p>
    <w:bookmarkEnd w:id="30"/>
    <w:bookmarkStart w:name="z43" w:id="31"/>
    <w:p>
      <w:pPr>
        <w:spacing w:after="0"/>
        <w:ind w:left="0"/>
        <w:jc w:val="both"/>
      </w:pPr>
      <w:r>
        <w:rPr>
          <w:rFonts w:ascii="Times New Roman"/>
          <w:b w:val="false"/>
          <w:i w:val="false"/>
          <w:color w:val="000000"/>
          <w:sz w:val="28"/>
        </w:rPr>
        <w:t xml:space="preserve">
      Распределяемые суммы ЕСП Государственной корпорацией перечисляются без округления вне зависимости от вида социального платежа и индивидуального подоходного налога соответствующими кодами назначения платежа согласно </w:t>
      </w:r>
      <w:r>
        <w:rPr>
          <w:rFonts w:ascii="Times New Roman"/>
          <w:b w:val="false"/>
          <w:i w:val="false"/>
          <w:color w:val="000000"/>
          <w:sz w:val="28"/>
        </w:rPr>
        <w:t>Правилам</w:t>
      </w:r>
      <w:r>
        <w:rPr>
          <w:rFonts w:ascii="Times New Roman"/>
          <w:b w:val="false"/>
          <w:i w:val="false"/>
          <w:color w:val="000000"/>
          <w:sz w:val="28"/>
        </w:rPr>
        <w:t xml:space="preserve"> применения кодов секторов экономики и назначения платежей, утвержденным постановлением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 в реестре государственной регистрации нормативных правовых актов под № 14365).</w:t>
      </w:r>
    </w:p>
    <w:bookmarkEnd w:id="31"/>
    <w:bookmarkStart w:name="z44" w:id="32"/>
    <w:p>
      <w:pPr>
        <w:spacing w:after="0"/>
        <w:ind w:left="0"/>
        <w:jc w:val="both"/>
      </w:pPr>
      <w:r>
        <w:rPr>
          <w:rFonts w:ascii="Times New Roman"/>
          <w:b w:val="false"/>
          <w:i w:val="false"/>
          <w:color w:val="000000"/>
          <w:sz w:val="28"/>
        </w:rPr>
        <w:t>
      К электронным платежным поручениям по социальным платежам прилагается список физических лиц, за которых уплачиваются единые совокупные платежи с указанием периода уплаты.</w:t>
      </w:r>
    </w:p>
    <w:bookmarkEnd w:id="32"/>
    <w:bookmarkStart w:name="z45" w:id="33"/>
    <w:p>
      <w:pPr>
        <w:spacing w:after="0"/>
        <w:ind w:left="0"/>
        <w:jc w:val="both"/>
      </w:pPr>
      <w:r>
        <w:rPr>
          <w:rFonts w:ascii="Times New Roman"/>
          <w:b w:val="false"/>
          <w:i w:val="false"/>
          <w:color w:val="000000"/>
          <w:sz w:val="28"/>
        </w:rPr>
        <w:t>
      9. Государственная корпорация ежедневно по перечисленным платежным поручениям в рамках ЕСП направляет списки физических лиц из АИС МТСЗН РК в Комитет государственных доходов Министерства финансов Республики Казахстан (далее – КГД) с указанием индивидуальных идентификационных номеров, фамилии, имени, отчества (при его наличии), даты рождения, месяца уплаты, кодов (или бизнес идентификационный номер) территориальных органов государственных доходов, куда были перечислены суммы индивидуального подоходного налога, номеров платежей и референсов.</w:t>
      </w:r>
    </w:p>
    <w:bookmarkEnd w:id="33"/>
    <w:bookmarkStart w:name="z46" w:id="34"/>
    <w:p>
      <w:pPr>
        <w:spacing w:after="0"/>
        <w:ind w:left="0"/>
        <w:jc w:val="both"/>
      </w:pPr>
      <w:r>
        <w:rPr>
          <w:rFonts w:ascii="Times New Roman"/>
          <w:b w:val="false"/>
          <w:i w:val="false"/>
          <w:color w:val="000000"/>
          <w:sz w:val="28"/>
        </w:rPr>
        <w:t>
      10. Распределение индивидуального подоходного налога в рамках ЕСП осуществляется Государственной корпорацией согласно сведениям ГБД ФЛ и справочника кодов органов государственных доходов. Обновление справочника кодов органов государственных доходов осуществляется КГД.</w:t>
      </w:r>
    </w:p>
    <w:bookmarkEnd w:id="34"/>
    <w:bookmarkStart w:name="z47" w:id="35"/>
    <w:p>
      <w:pPr>
        <w:spacing w:after="0"/>
        <w:ind w:left="0"/>
        <w:jc w:val="left"/>
      </w:pPr>
      <w:r>
        <w:rPr>
          <w:rFonts w:ascii="Times New Roman"/>
          <w:b/>
          <w:i w:val="false"/>
          <w:color w:val="000000"/>
        </w:rPr>
        <w:t xml:space="preserve"> Глава 4. Порядок возврата ошибочно уплаченных сумм единого совокупного платежа</w:t>
      </w:r>
    </w:p>
    <w:bookmarkEnd w:id="35"/>
    <w:bookmarkStart w:name="z48" w:id="36"/>
    <w:p>
      <w:pPr>
        <w:spacing w:after="0"/>
        <w:ind w:left="0"/>
        <w:jc w:val="both"/>
      </w:pPr>
      <w:r>
        <w:rPr>
          <w:rFonts w:ascii="Times New Roman"/>
          <w:b w:val="false"/>
          <w:i w:val="false"/>
          <w:color w:val="000000"/>
          <w:sz w:val="28"/>
        </w:rPr>
        <w:t>
      11. Государственная корпорация осуществляет возврат ошибочно уплаченных сумм ЕСП плательщику в следующих случаях, если:</w:t>
      </w:r>
    </w:p>
    <w:bookmarkEnd w:id="36"/>
    <w:bookmarkStart w:name="z49" w:id="37"/>
    <w:p>
      <w:pPr>
        <w:spacing w:after="0"/>
        <w:ind w:left="0"/>
        <w:jc w:val="both"/>
      </w:pPr>
      <w:r>
        <w:rPr>
          <w:rFonts w:ascii="Times New Roman"/>
          <w:b w:val="false"/>
          <w:i w:val="false"/>
          <w:color w:val="000000"/>
          <w:sz w:val="28"/>
        </w:rPr>
        <w:t>
      1) в реквизитах платежного документа допущены ошибки;</w:t>
      </w:r>
    </w:p>
    <w:bookmarkEnd w:id="37"/>
    <w:bookmarkStart w:name="z50" w:id="38"/>
    <w:p>
      <w:pPr>
        <w:spacing w:after="0"/>
        <w:ind w:left="0"/>
        <w:jc w:val="both"/>
      </w:pPr>
      <w:r>
        <w:rPr>
          <w:rFonts w:ascii="Times New Roman"/>
          <w:b w:val="false"/>
          <w:i w:val="false"/>
          <w:color w:val="000000"/>
          <w:sz w:val="28"/>
        </w:rPr>
        <w:t>
      2) в одном платежном документе сумма ЕСП перечислена два и более раз за один и тот же период, на одного и того же физическое лицо;</w:t>
      </w:r>
    </w:p>
    <w:bookmarkEnd w:id="38"/>
    <w:bookmarkStart w:name="z51" w:id="39"/>
    <w:p>
      <w:pPr>
        <w:spacing w:after="0"/>
        <w:ind w:left="0"/>
        <w:jc w:val="both"/>
      </w:pPr>
      <w:r>
        <w:rPr>
          <w:rFonts w:ascii="Times New Roman"/>
          <w:b w:val="false"/>
          <w:i w:val="false"/>
          <w:color w:val="000000"/>
          <w:sz w:val="28"/>
        </w:rPr>
        <w:t>
      3) в списочной части платежного поручения МТ-102 допущены ошибки;</w:t>
      </w:r>
    </w:p>
    <w:bookmarkEnd w:id="39"/>
    <w:bookmarkStart w:name="z52" w:id="40"/>
    <w:p>
      <w:pPr>
        <w:spacing w:after="0"/>
        <w:ind w:left="0"/>
        <w:jc w:val="both"/>
      </w:pPr>
      <w:r>
        <w:rPr>
          <w:rFonts w:ascii="Times New Roman"/>
          <w:b w:val="false"/>
          <w:i w:val="false"/>
          <w:color w:val="000000"/>
          <w:sz w:val="28"/>
        </w:rPr>
        <w:t xml:space="preserve">
      4) сумма ЕСП не соответствует размеру, указанному в </w:t>
      </w:r>
      <w:r>
        <w:rPr>
          <w:rFonts w:ascii="Times New Roman"/>
          <w:b w:val="false"/>
          <w:i w:val="false"/>
          <w:color w:val="000000"/>
          <w:sz w:val="28"/>
        </w:rPr>
        <w:t>пункте 4</w:t>
      </w:r>
      <w:r>
        <w:rPr>
          <w:rFonts w:ascii="Times New Roman"/>
          <w:b w:val="false"/>
          <w:i w:val="false"/>
          <w:color w:val="000000"/>
          <w:sz w:val="28"/>
        </w:rPr>
        <w:t xml:space="preserve"> настоящих Правил, для соответствующего периода;</w:t>
      </w:r>
    </w:p>
    <w:bookmarkEnd w:id="40"/>
    <w:bookmarkStart w:name="z53" w:id="41"/>
    <w:p>
      <w:pPr>
        <w:spacing w:after="0"/>
        <w:ind w:left="0"/>
        <w:jc w:val="both"/>
      </w:pPr>
      <w:r>
        <w:rPr>
          <w:rFonts w:ascii="Times New Roman"/>
          <w:b w:val="false"/>
          <w:i w:val="false"/>
          <w:color w:val="000000"/>
          <w:sz w:val="28"/>
        </w:rPr>
        <w:t>
      5) отсутствует место постоянной регистрации плательщика в ГБД ФЛ;</w:t>
      </w:r>
    </w:p>
    <w:bookmarkEnd w:id="41"/>
    <w:bookmarkStart w:name="z54" w:id="42"/>
    <w:p>
      <w:pPr>
        <w:spacing w:after="0"/>
        <w:ind w:left="0"/>
        <w:jc w:val="both"/>
      </w:pPr>
      <w:r>
        <w:rPr>
          <w:rFonts w:ascii="Times New Roman"/>
          <w:b w:val="false"/>
          <w:i w:val="false"/>
          <w:color w:val="000000"/>
          <w:sz w:val="28"/>
        </w:rPr>
        <w:t>
      6) отсутствует соответствующий территориальный орган государственных доходов по зарегистрированному месту постоянной регистрации плательщика в ГБД ФЛ.</w:t>
      </w:r>
    </w:p>
    <w:bookmarkEnd w:id="42"/>
    <w:bookmarkStart w:name="z55" w:id="4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11 настоящих Правил, ЕСП в счет уплаты не засчитывается и возвращается как ошибочно уплаченные суммы ЕСП в банки и организации, осуществляющие отдельные виды банковских операций.</w:t>
      </w:r>
    </w:p>
    <w:bookmarkEnd w:id="43"/>
    <w:bookmarkStart w:name="z56" w:id="44"/>
    <w:p>
      <w:pPr>
        <w:spacing w:after="0"/>
        <w:ind w:left="0"/>
        <w:jc w:val="both"/>
      </w:pPr>
      <w:r>
        <w:rPr>
          <w:rFonts w:ascii="Times New Roman"/>
          <w:b w:val="false"/>
          <w:i w:val="false"/>
          <w:color w:val="000000"/>
          <w:sz w:val="28"/>
        </w:rPr>
        <w:t xml:space="preserve">
      12. Для возврата ошибочно уплаченных сумм ЕСП плательщиком, банком или организацией, осуществляющей отдельные виды банковских операций, подается заявление на возврат ошибочно уплаченного ЕСП в Государственную корпорацию,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к которому прилагается копия платежного документа либо документа, подтверждающего уплату ЕСП.</w:t>
      </w:r>
    </w:p>
    <w:bookmarkEnd w:id="44"/>
    <w:bookmarkStart w:name="z57" w:id="45"/>
    <w:p>
      <w:pPr>
        <w:spacing w:after="0"/>
        <w:ind w:left="0"/>
        <w:jc w:val="both"/>
      </w:pPr>
      <w:r>
        <w:rPr>
          <w:rFonts w:ascii="Times New Roman"/>
          <w:b w:val="false"/>
          <w:i w:val="false"/>
          <w:color w:val="000000"/>
          <w:sz w:val="28"/>
        </w:rPr>
        <w:t>
      13. Государственная корпорация в течение пяти операционных дней со дня поступления заявления плательщика, банка или организации, осуществляющей отдельные виды банковских операций, проверяет факт зачисления плательщиком ЕСП.</w:t>
      </w:r>
    </w:p>
    <w:bookmarkEnd w:id="45"/>
    <w:bookmarkStart w:name="z58" w:id="46"/>
    <w:p>
      <w:pPr>
        <w:spacing w:after="0"/>
        <w:ind w:left="0"/>
        <w:jc w:val="both"/>
      </w:pPr>
      <w:r>
        <w:rPr>
          <w:rFonts w:ascii="Times New Roman"/>
          <w:b w:val="false"/>
          <w:i w:val="false"/>
          <w:color w:val="000000"/>
          <w:sz w:val="28"/>
        </w:rPr>
        <w:t>
      При этом возврату не подлежат перечисленные суммы ЕСП в следующих случаях, если:</w:t>
      </w:r>
    </w:p>
    <w:bookmarkEnd w:id="46"/>
    <w:bookmarkStart w:name="z59" w:id="47"/>
    <w:p>
      <w:pPr>
        <w:spacing w:after="0"/>
        <w:ind w:left="0"/>
        <w:jc w:val="both"/>
      </w:pPr>
      <w:r>
        <w:rPr>
          <w:rFonts w:ascii="Times New Roman"/>
          <w:b w:val="false"/>
          <w:i w:val="false"/>
          <w:color w:val="000000"/>
          <w:sz w:val="28"/>
        </w:rPr>
        <w:t>
      1) сумма, требуемая плательщиком для возврата, не соответствует сумме, перечисленной в соответствующие бюджеты по месту постоянной регистрации плательщика, ГФСС, ФСМС и ЕНПФ;</w:t>
      </w:r>
    </w:p>
    <w:bookmarkEnd w:id="47"/>
    <w:bookmarkStart w:name="z60" w:id="48"/>
    <w:p>
      <w:pPr>
        <w:spacing w:after="0"/>
        <w:ind w:left="0"/>
        <w:jc w:val="both"/>
      </w:pPr>
      <w:r>
        <w:rPr>
          <w:rFonts w:ascii="Times New Roman"/>
          <w:b w:val="false"/>
          <w:i w:val="false"/>
          <w:color w:val="000000"/>
          <w:sz w:val="28"/>
        </w:rPr>
        <w:t xml:space="preserve">
      2) в заявлении плательщика неверно указаны (либо не указаны) реквизиты плательщика (индивидуальный идентификационный номер), реквизиты платежа (номер и (или) дата и (или) сумма платежного поручения); </w:t>
      </w:r>
    </w:p>
    <w:bookmarkEnd w:id="48"/>
    <w:bookmarkStart w:name="z61" w:id="49"/>
    <w:p>
      <w:pPr>
        <w:spacing w:after="0"/>
        <w:ind w:left="0"/>
        <w:jc w:val="both"/>
      </w:pPr>
      <w:r>
        <w:rPr>
          <w:rFonts w:ascii="Times New Roman"/>
          <w:b w:val="false"/>
          <w:i w:val="false"/>
          <w:color w:val="000000"/>
          <w:sz w:val="28"/>
        </w:rPr>
        <w:t xml:space="preserve">
      3) форма заявления плательщика не соответствует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9"/>
    <w:bookmarkStart w:name="z62" w:id="50"/>
    <w:p>
      <w:pPr>
        <w:spacing w:after="0"/>
        <w:ind w:left="0"/>
        <w:jc w:val="both"/>
      </w:pPr>
      <w:r>
        <w:rPr>
          <w:rFonts w:ascii="Times New Roman"/>
          <w:b w:val="false"/>
          <w:i w:val="false"/>
          <w:color w:val="000000"/>
          <w:sz w:val="28"/>
        </w:rPr>
        <w:t>
      4) в заявлении плательщика указана некорректная причина возврата (выбор более одной причины).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с изменением, внесенным постановлением Правительства РК от 23.06.2020 </w:t>
      </w:r>
      <w:r>
        <w:rPr>
          <w:rFonts w:ascii="Times New Roman"/>
          <w:b w:val="false"/>
          <w:i w:val="false"/>
          <w:color w:val="000000"/>
          <w:sz w:val="28"/>
        </w:rPr>
        <w:t>№ 383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51"/>
    <w:p>
      <w:pPr>
        <w:spacing w:after="0"/>
        <w:ind w:left="0"/>
        <w:jc w:val="both"/>
      </w:pPr>
      <w:r>
        <w:rPr>
          <w:rFonts w:ascii="Times New Roman"/>
          <w:b w:val="false"/>
          <w:i w:val="false"/>
          <w:color w:val="000000"/>
          <w:sz w:val="28"/>
        </w:rPr>
        <w:t xml:space="preserve">
      14. На основании заявления плательщика, банка или организации, осуществляющей отдельные виды банковских операций, за исключением случаев, предусмотренных частью второй </w:t>
      </w:r>
      <w:r>
        <w:rPr>
          <w:rFonts w:ascii="Times New Roman"/>
          <w:b w:val="false"/>
          <w:i w:val="false"/>
          <w:color w:val="000000"/>
          <w:sz w:val="28"/>
        </w:rPr>
        <w:t>пункта 13</w:t>
      </w:r>
      <w:r>
        <w:rPr>
          <w:rFonts w:ascii="Times New Roman"/>
          <w:b w:val="false"/>
          <w:i w:val="false"/>
          <w:color w:val="000000"/>
          <w:sz w:val="28"/>
        </w:rPr>
        <w:t xml:space="preserve"> настоящих Правил, Государственная корпорация в срок не позднее двух рабочих дней со дня проверки факта зачисления сумм ЕСП формирует и направляет в КГД, ГФСС, ФСМС и ЕНПФ предварительную электронную заявку, подготовленную на возврат ошибочно зачисленных сумм ЕСП.</w:t>
      </w:r>
    </w:p>
    <w:bookmarkEnd w:id="51"/>
    <w:bookmarkStart w:name="z64" w:id="52"/>
    <w:p>
      <w:pPr>
        <w:spacing w:after="0"/>
        <w:ind w:left="0"/>
        <w:jc w:val="both"/>
      </w:pPr>
      <w:r>
        <w:rPr>
          <w:rFonts w:ascii="Times New Roman"/>
          <w:b w:val="false"/>
          <w:i w:val="false"/>
          <w:color w:val="000000"/>
          <w:sz w:val="28"/>
        </w:rPr>
        <w:t>
      В предварительной электронной заявке указываются реквизиты платежного поручения ошибочно уплаченных сумм ЕСП с приложением подтверждающих документов.</w:t>
      </w:r>
    </w:p>
    <w:bookmarkEnd w:id="52"/>
    <w:bookmarkStart w:name="z65" w:id="53"/>
    <w:p>
      <w:pPr>
        <w:spacing w:after="0"/>
        <w:ind w:left="0"/>
        <w:jc w:val="both"/>
      </w:pPr>
      <w:r>
        <w:rPr>
          <w:rFonts w:ascii="Times New Roman"/>
          <w:b w:val="false"/>
          <w:i w:val="false"/>
          <w:color w:val="000000"/>
          <w:sz w:val="28"/>
        </w:rPr>
        <w:t xml:space="preserve">
      15. КГД, ГФСС, ФСМС и ЕНПФ в течение семи рабочих дней после поступления электронной заявки рассматривают и направляют в Государственную корпорацию уведомление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53"/>
    <w:bookmarkStart w:name="z66" w:id="54"/>
    <w:p>
      <w:pPr>
        <w:spacing w:after="0"/>
        <w:ind w:left="0"/>
        <w:jc w:val="both"/>
      </w:pPr>
      <w:r>
        <w:rPr>
          <w:rFonts w:ascii="Times New Roman"/>
          <w:b w:val="false"/>
          <w:i w:val="false"/>
          <w:color w:val="000000"/>
          <w:sz w:val="28"/>
        </w:rPr>
        <w:t>
      о возврате плательщику ошибочно уплаченных сумм индивидуального подоходного налога и (или) социальных платежей;</w:t>
      </w:r>
    </w:p>
    <w:bookmarkEnd w:id="54"/>
    <w:bookmarkStart w:name="z67" w:id="55"/>
    <w:p>
      <w:pPr>
        <w:spacing w:after="0"/>
        <w:ind w:left="0"/>
        <w:jc w:val="both"/>
      </w:pPr>
      <w:r>
        <w:rPr>
          <w:rFonts w:ascii="Times New Roman"/>
          <w:b w:val="false"/>
          <w:i w:val="false"/>
          <w:color w:val="000000"/>
          <w:sz w:val="28"/>
        </w:rPr>
        <w:t>
      об отказе в возврате плательщику ошибочно уплаченных сумм индивидуального подоходного налога и (или) социальных платежей по следующим основаниям:</w:t>
      </w:r>
    </w:p>
    <w:bookmarkEnd w:id="55"/>
    <w:bookmarkStart w:name="z68" w:id="56"/>
    <w:p>
      <w:pPr>
        <w:spacing w:after="0"/>
        <w:ind w:left="0"/>
        <w:jc w:val="both"/>
      </w:pPr>
      <w:r>
        <w:rPr>
          <w:rFonts w:ascii="Times New Roman"/>
          <w:b w:val="false"/>
          <w:i w:val="false"/>
          <w:color w:val="000000"/>
          <w:sz w:val="28"/>
        </w:rPr>
        <w:t xml:space="preserve">
      1) период уплаты обязательных пенсионных взносов в ЕНПФ включен в стаж работы; </w:t>
      </w:r>
    </w:p>
    <w:bookmarkEnd w:id="56"/>
    <w:bookmarkStart w:name="z69" w:id="57"/>
    <w:p>
      <w:pPr>
        <w:spacing w:after="0"/>
        <w:ind w:left="0"/>
        <w:jc w:val="both"/>
      </w:pPr>
      <w:r>
        <w:rPr>
          <w:rFonts w:ascii="Times New Roman"/>
          <w:b w:val="false"/>
          <w:i w:val="false"/>
          <w:color w:val="000000"/>
          <w:sz w:val="28"/>
        </w:rPr>
        <w:t>
      2) период уплаты социальных отчислений в ГФСС зачтен в стаж участия в системе обязательного социального страхования при назначении социальных выплат;</w:t>
      </w:r>
    </w:p>
    <w:bookmarkEnd w:id="57"/>
    <w:bookmarkStart w:name="z70" w:id="58"/>
    <w:p>
      <w:pPr>
        <w:spacing w:after="0"/>
        <w:ind w:left="0"/>
        <w:jc w:val="both"/>
      </w:pPr>
      <w:r>
        <w:rPr>
          <w:rFonts w:ascii="Times New Roman"/>
          <w:b w:val="false"/>
          <w:i w:val="false"/>
          <w:color w:val="000000"/>
          <w:sz w:val="28"/>
        </w:rPr>
        <w:t>
      3) за период уплаты взносов в ФСМС плательщик ЕСП получил медицинскую помощь за счет ФСМС;</w:t>
      </w:r>
    </w:p>
    <w:bookmarkEnd w:id="58"/>
    <w:bookmarkStart w:name="z71" w:id="59"/>
    <w:p>
      <w:pPr>
        <w:spacing w:after="0"/>
        <w:ind w:left="0"/>
        <w:jc w:val="both"/>
      </w:pPr>
      <w:r>
        <w:rPr>
          <w:rFonts w:ascii="Times New Roman"/>
          <w:b w:val="false"/>
          <w:i w:val="false"/>
          <w:color w:val="000000"/>
          <w:sz w:val="28"/>
        </w:rPr>
        <w:t>
      4) причина возврата, указанная в заявлении в возврате плательщику ошибочно уплаченных сумм индивидуального подоходного налога и (или) социальных платежей, не подтверждается.</w:t>
      </w:r>
    </w:p>
    <w:bookmarkEnd w:id="59"/>
    <w:bookmarkStart w:name="z72" w:id="60"/>
    <w:p>
      <w:pPr>
        <w:spacing w:after="0"/>
        <w:ind w:left="0"/>
        <w:jc w:val="both"/>
      </w:pPr>
      <w:r>
        <w:rPr>
          <w:rFonts w:ascii="Times New Roman"/>
          <w:b w:val="false"/>
          <w:i w:val="false"/>
          <w:color w:val="000000"/>
          <w:sz w:val="28"/>
        </w:rPr>
        <w:t>
      В случае получения уведомления об отказе из КГД, ГФСС, ФСМС и ЕНПФ либо от одного из них, Государственная корпорация в течение трех рабочих дней со дня получения отказов в возврате плательщику ошибочно уплаченных сумм индивидуального подоходного налога и (или) социальных платежей из КГД, ГФСС, ФСМС и ЕНПФ направляет соответствующим сторонам уведомление об аннулировании заявки на возврат. Плательщику в течение трех рабочих дней со дня получения отказов в возврате плательщику ошибочно уплаченных сумм индивидуального подоходного налога и (или) социальных платежей из КГД, ГФСС, ФСМС и ЕНПФ Государственной корпорацией направляется письменный ответ о причине отказа в возврате ошибочно уплаченных сумм индивидуального подоходного налога и (или) социальных платежей.</w:t>
      </w:r>
    </w:p>
    <w:bookmarkEnd w:id="60"/>
    <w:bookmarkStart w:name="z73" w:id="61"/>
    <w:p>
      <w:pPr>
        <w:spacing w:after="0"/>
        <w:ind w:left="0"/>
        <w:jc w:val="both"/>
      </w:pPr>
      <w:r>
        <w:rPr>
          <w:rFonts w:ascii="Times New Roman"/>
          <w:b w:val="false"/>
          <w:i w:val="false"/>
          <w:color w:val="000000"/>
          <w:sz w:val="28"/>
        </w:rPr>
        <w:t>
      При получении положительных ответов от КГД, ГФСС, ФСМС и ЕНПФ Государственная корпорация в течение двух рабочих дней направляет электронную заявку в КГД, ГФСС, ФСМС и ЕНПФ на перечисление запрашиваемых сумм ЕСП на счет Государственной корпорации.</w:t>
      </w:r>
    </w:p>
    <w:bookmarkEnd w:id="61"/>
    <w:bookmarkStart w:name="z74" w:id="62"/>
    <w:p>
      <w:pPr>
        <w:spacing w:after="0"/>
        <w:ind w:left="0"/>
        <w:jc w:val="both"/>
      </w:pPr>
      <w:r>
        <w:rPr>
          <w:rFonts w:ascii="Times New Roman"/>
          <w:b w:val="false"/>
          <w:i w:val="false"/>
          <w:color w:val="000000"/>
          <w:sz w:val="28"/>
        </w:rPr>
        <w:t>
      16. Перечисление запрашиваемых сумм ЕСП на счет Государственной корпорации осуществляется КГД, ГФСС, ФСМС и ЕНПФ в течение двух рабочих дней со дня получения электронной заявки с приложением списка плательщиков ЕСП и указанием номера, даты заявки Государственной корпорации.</w:t>
      </w:r>
    </w:p>
    <w:bookmarkEnd w:id="62"/>
    <w:bookmarkStart w:name="z75" w:id="63"/>
    <w:p>
      <w:pPr>
        <w:spacing w:after="0"/>
        <w:ind w:left="0"/>
        <w:jc w:val="both"/>
      </w:pPr>
      <w:r>
        <w:rPr>
          <w:rFonts w:ascii="Times New Roman"/>
          <w:b w:val="false"/>
          <w:i w:val="false"/>
          <w:color w:val="000000"/>
          <w:sz w:val="28"/>
        </w:rPr>
        <w:t>
      17. Государственная корпорация при получении полной суммы ЕСП в течение трех операционных дней со дня поступления сумм индивидуального подоходного налога и социальных платежей производит их перечисление платежным поручением на банковский счет плательщика ЕСП, указанного в заявлении на возврат ошибочно уплаченных сумм ЕСП.</w:t>
      </w:r>
    </w:p>
    <w:bookmarkEnd w:id="63"/>
    <w:bookmarkStart w:name="z76" w:id="64"/>
    <w:p>
      <w:pPr>
        <w:spacing w:after="0"/>
        <w:ind w:left="0"/>
        <w:jc w:val="both"/>
      </w:pPr>
      <w:r>
        <w:rPr>
          <w:rFonts w:ascii="Times New Roman"/>
          <w:b w:val="false"/>
          <w:i w:val="false"/>
          <w:color w:val="000000"/>
          <w:sz w:val="28"/>
        </w:rPr>
        <w:t>
      18. Государственная корпорация ежедневно представляет в орган государственных доходов реестры поступивших и возвращенных платежей по плательщикам ЕСП.</w:t>
      </w:r>
    </w:p>
    <w:bookmarkEnd w:id="64"/>
    <w:bookmarkStart w:name="z77" w:id="65"/>
    <w:p>
      <w:pPr>
        <w:spacing w:after="0"/>
        <w:ind w:left="0"/>
        <w:jc w:val="both"/>
      </w:pPr>
      <w:r>
        <w:rPr>
          <w:rFonts w:ascii="Times New Roman"/>
          <w:b w:val="false"/>
          <w:i w:val="false"/>
          <w:color w:val="000000"/>
          <w:sz w:val="28"/>
        </w:rPr>
        <w:t>
      19. Плательщик ЕСП при необходимости запрашивает и получает от Государственной корпорации информацию о перечисленных суммах социальных отчислений в ГФСС, отчислений взносов в ФСМС, обязательных пенсионных взносах в ЕНПФ, а также индивидуального подоходного налога, уплаченных единым совокупным платежом.</w:t>
      </w:r>
    </w:p>
    <w:bookmarkEnd w:id="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уплаты,</w:t>
            </w:r>
            <w:r>
              <w:br/>
            </w:r>
            <w:r>
              <w:rPr>
                <w:rFonts w:ascii="Times New Roman"/>
                <w:b w:val="false"/>
                <w:i w:val="false"/>
                <w:color w:val="000000"/>
                <w:sz w:val="20"/>
              </w:rPr>
              <w:t>распределения и перечисления</w:t>
            </w:r>
            <w:r>
              <w:br/>
            </w:r>
            <w:r>
              <w:rPr>
                <w:rFonts w:ascii="Times New Roman"/>
                <w:b w:val="false"/>
                <w:i w:val="false"/>
                <w:color w:val="000000"/>
                <w:sz w:val="20"/>
              </w:rPr>
              <w:t>единого совокупного платежа в</w:t>
            </w:r>
            <w:r>
              <w:br/>
            </w:r>
            <w:r>
              <w:rPr>
                <w:rFonts w:ascii="Times New Roman"/>
                <w:b w:val="false"/>
                <w:i w:val="false"/>
                <w:color w:val="000000"/>
                <w:sz w:val="20"/>
              </w:rPr>
              <w:t>виде индивидуального</w:t>
            </w:r>
            <w:r>
              <w:br/>
            </w:r>
            <w:r>
              <w:rPr>
                <w:rFonts w:ascii="Times New Roman"/>
                <w:b w:val="false"/>
                <w:i w:val="false"/>
                <w:color w:val="000000"/>
                <w:sz w:val="20"/>
              </w:rPr>
              <w:t>подоходного налога и</w:t>
            </w:r>
            <w:r>
              <w:br/>
            </w:r>
            <w:r>
              <w:rPr>
                <w:rFonts w:ascii="Times New Roman"/>
                <w:b w:val="false"/>
                <w:i w:val="false"/>
                <w:color w:val="000000"/>
                <w:sz w:val="20"/>
              </w:rPr>
              <w:t>социальных платежей, а также</w:t>
            </w:r>
            <w:r>
              <w:br/>
            </w:r>
            <w:r>
              <w:rPr>
                <w:rFonts w:ascii="Times New Roman"/>
                <w:b w:val="false"/>
                <w:i w:val="false"/>
                <w:color w:val="000000"/>
                <w:sz w:val="20"/>
              </w:rPr>
              <w:t>их возврата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0" w:id="66"/>
      <w:r>
        <w:rPr>
          <w:rFonts w:ascii="Times New Roman"/>
          <w:b w:val="false"/>
          <w:i w:val="false"/>
          <w:color w:val="000000"/>
          <w:sz w:val="28"/>
        </w:rPr>
        <w:t>
                                                             Председателю</w:t>
      </w:r>
    </w:p>
    <w:bookmarkEnd w:id="66"/>
    <w:p>
      <w:pPr>
        <w:spacing w:after="0"/>
        <w:ind w:left="0"/>
        <w:jc w:val="both"/>
      </w:pPr>
      <w:r>
        <w:rPr>
          <w:rFonts w:ascii="Times New Roman"/>
          <w:b w:val="false"/>
          <w:i w:val="false"/>
          <w:color w:val="000000"/>
          <w:sz w:val="28"/>
        </w:rPr>
        <w:t xml:space="preserve">                                                       Государственной корпорации</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(наименование)</w:t>
      </w:r>
    </w:p>
    <w:p>
      <w:pPr>
        <w:spacing w:after="0"/>
        <w:ind w:left="0"/>
        <w:jc w:val="both"/>
      </w:pPr>
      <w:r>
        <w:rPr>
          <w:rFonts w:ascii="Times New Roman"/>
          <w:b w:val="false"/>
          <w:i w:val="false"/>
          <w:color w:val="000000"/>
          <w:sz w:val="28"/>
        </w:rPr>
        <w:t xml:space="preserve">                                                 ________________________________</w:t>
      </w:r>
    </w:p>
    <w:p>
      <w:pPr>
        <w:spacing w:after="0"/>
        <w:ind w:left="0"/>
        <w:jc w:val="both"/>
      </w:pPr>
      <w:r>
        <w:rPr>
          <w:rFonts w:ascii="Times New Roman"/>
          <w:b w:val="false"/>
          <w:i w:val="false"/>
          <w:color w:val="000000"/>
          <w:sz w:val="28"/>
        </w:rPr>
        <w:t xml:space="preserve">                                                 (указать фамилию, имя, отчество</w:t>
      </w:r>
    </w:p>
    <w:p>
      <w:pPr>
        <w:spacing w:after="0"/>
        <w:ind w:left="0"/>
        <w:jc w:val="both"/>
      </w:pPr>
      <w:r>
        <w:rPr>
          <w:rFonts w:ascii="Times New Roman"/>
          <w:b w:val="false"/>
          <w:i w:val="false"/>
          <w:color w:val="000000"/>
          <w:sz w:val="28"/>
        </w:rPr>
        <w:t xml:space="preserve">                                                             (при его наличии)</w:t>
      </w:r>
    </w:p>
    <w:p>
      <w:pPr>
        <w:spacing w:after="0"/>
        <w:ind w:left="0"/>
        <w:jc w:val="both"/>
      </w:pPr>
      <w:bookmarkStart w:name="z81" w:id="67"/>
      <w:r>
        <w:rPr>
          <w:rFonts w:ascii="Times New Roman"/>
          <w:b w:val="false"/>
          <w:i w:val="false"/>
          <w:color w:val="000000"/>
          <w:sz w:val="28"/>
        </w:rPr>
        <w:t>
                                                 Адрес проживания, контактные</w:t>
      </w:r>
    </w:p>
    <w:bookmarkEnd w:id="67"/>
    <w:p>
      <w:pPr>
        <w:spacing w:after="0"/>
        <w:ind w:left="0"/>
        <w:jc w:val="both"/>
      </w:pPr>
      <w:r>
        <w:rPr>
          <w:rFonts w:ascii="Times New Roman"/>
          <w:b w:val="false"/>
          <w:i w:val="false"/>
          <w:color w:val="000000"/>
          <w:sz w:val="28"/>
        </w:rPr>
        <w:t xml:space="preserve">                                                 данные_________________________</w:t>
      </w:r>
    </w:p>
    <w:p>
      <w:pPr>
        <w:spacing w:after="0"/>
        <w:ind w:left="0"/>
        <w:jc w:val="both"/>
      </w:pPr>
      <w:bookmarkStart w:name="z82" w:id="68"/>
      <w:r>
        <w:rPr>
          <w:rFonts w:ascii="Times New Roman"/>
          <w:b w:val="false"/>
          <w:i w:val="false"/>
          <w:color w:val="000000"/>
          <w:sz w:val="28"/>
        </w:rPr>
        <w:t xml:space="preserve">
                               </w:t>
      </w:r>
      <w:r>
        <w:rPr>
          <w:rFonts w:ascii="Times New Roman"/>
          <w:b/>
          <w:i w:val="false"/>
          <w:color w:val="000000"/>
          <w:sz w:val="28"/>
        </w:rPr>
        <w:t>      Заявление</w:t>
      </w:r>
    </w:p>
    <w:bookmarkEnd w:id="68"/>
    <w:p>
      <w:pPr>
        <w:spacing w:after="0"/>
        <w:ind w:left="0"/>
        <w:jc w:val="both"/>
      </w:pPr>
      <w:r>
        <w:rPr>
          <w:rFonts w:ascii="Times New Roman"/>
          <w:b w:val="false"/>
          <w:i w:val="false"/>
          <w:color w:val="000000"/>
          <w:sz w:val="28"/>
        </w:rPr>
        <w:t xml:space="preserve"> </w:t>
      </w:r>
      <w:r>
        <w:rPr>
          <w:rFonts w:ascii="Times New Roman"/>
          <w:b/>
          <w:i w:val="false"/>
          <w:color w:val="000000"/>
          <w:sz w:val="28"/>
        </w:rPr>
        <w:t>      на возврат ошибочно уплаченных сумм единого совокупного платежа</w:t>
      </w:r>
    </w:p>
    <w:p>
      <w:pPr>
        <w:spacing w:after="0"/>
        <w:ind w:left="0"/>
        <w:jc w:val="both"/>
      </w:pPr>
      <w:r>
        <w:rPr>
          <w:rFonts w:ascii="Times New Roman"/>
          <w:b w:val="false"/>
          <w:i w:val="false"/>
          <w:color w:val="000000"/>
          <w:sz w:val="28"/>
        </w:rPr>
        <w:t>от ________________________________________________________________________</w:t>
      </w:r>
    </w:p>
    <w:p>
      <w:pPr>
        <w:spacing w:after="0"/>
        <w:ind w:left="0"/>
        <w:jc w:val="both"/>
      </w:pPr>
      <w:r>
        <w:rPr>
          <w:rFonts w:ascii="Times New Roman"/>
          <w:b w:val="false"/>
          <w:i w:val="false"/>
          <w:color w:val="000000"/>
          <w:sz w:val="28"/>
        </w:rPr>
        <w:t>(наименование плательщика единого совокупного платежа или банка, организации,</w:t>
      </w:r>
    </w:p>
    <w:p>
      <w:pPr>
        <w:spacing w:after="0"/>
        <w:ind w:left="0"/>
        <w:jc w:val="both"/>
      </w:pPr>
      <w:r>
        <w:rPr>
          <w:rFonts w:ascii="Times New Roman"/>
          <w:b w:val="false"/>
          <w:i w:val="false"/>
          <w:color w:val="000000"/>
          <w:sz w:val="28"/>
        </w:rPr>
        <w:t xml:space="preserve">       осуществляющей отдельные виды банковских операций плательщика)</w:t>
      </w:r>
    </w:p>
    <w:p>
      <w:pPr>
        <w:spacing w:after="0"/>
        <w:ind w:left="0"/>
        <w:jc w:val="both"/>
      </w:pPr>
      <w:r>
        <w:rPr>
          <w:rFonts w:ascii="Times New Roman"/>
          <w:b w:val="false"/>
          <w:i w:val="false"/>
          <w:color w:val="000000"/>
          <w:sz w:val="28"/>
        </w:rPr>
        <w:t xml:space="preserve">       Прошу произвести возврат ошибочно уплаченного единого совокупного</w:t>
      </w:r>
    </w:p>
    <w:p>
      <w:pPr>
        <w:spacing w:after="0"/>
        <w:ind w:left="0"/>
        <w:jc w:val="both"/>
      </w:pPr>
      <w:r>
        <w:rPr>
          <w:rFonts w:ascii="Times New Roman"/>
          <w:b w:val="false"/>
          <w:i w:val="false"/>
          <w:color w:val="000000"/>
          <w:sz w:val="28"/>
        </w:rPr>
        <w:t>платежа за ______________________________________________________________</w:t>
      </w:r>
    </w:p>
    <w:p>
      <w:pPr>
        <w:spacing w:after="0"/>
        <w:ind w:left="0"/>
        <w:jc w:val="both"/>
      </w:pPr>
      <w:r>
        <w:rPr>
          <w:rFonts w:ascii="Times New Roman"/>
          <w:b w:val="false"/>
          <w:i w:val="false"/>
          <w:color w:val="000000"/>
          <w:sz w:val="28"/>
        </w:rPr>
        <w:t xml:space="preserve">                   (указать фамилию, имя, отчество (при его наличии),</w:t>
      </w:r>
    </w:p>
    <w:p>
      <w:pPr>
        <w:spacing w:after="0"/>
        <w:ind w:left="0"/>
        <w:jc w:val="both"/>
      </w:pPr>
      <w:r>
        <w:rPr>
          <w:rFonts w:ascii="Times New Roman"/>
          <w:b w:val="false"/>
          <w:i w:val="false"/>
          <w:color w:val="000000"/>
          <w:sz w:val="28"/>
        </w:rPr>
        <w:t>_______________________________________________________________________,</w:t>
      </w:r>
    </w:p>
    <w:p>
      <w:pPr>
        <w:spacing w:after="0"/>
        <w:ind w:left="0"/>
        <w:jc w:val="both"/>
      </w:pPr>
      <w:r>
        <w:rPr>
          <w:rFonts w:ascii="Times New Roman"/>
          <w:b w:val="false"/>
          <w:i w:val="false"/>
          <w:color w:val="000000"/>
          <w:sz w:val="28"/>
        </w:rPr>
        <w:t xml:space="preserve">                   индивидуальный идентификационный номер)</w:t>
      </w:r>
    </w:p>
    <w:p>
      <w:pPr>
        <w:spacing w:after="0"/>
        <w:ind w:left="0"/>
        <w:jc w:val="both"/>
      </w:pPr>
      <w:r>
        <w:rPr>
          <w:rFonts w:ascii="Times New Roman"/>
          <w:b w:val="false"/>
          <w:i w:val="false"/>
          <w:color w:val="000000"/>
          <w:sz w:val="28"/>
        </w:rPr>
        <w:t>перечисленного платежным поручением от "__" _______20__года № ___,</w:t>
      </w:r>
    </w:p>
    <w:p>
      <w:pPr>
        <w:spacing w:after="0"/>
        <w:ind w:left="0"/>
        <w:jc w:val="both"/>
      </w:pPr>
      <w:r>
        <w:rPr>
          <w:rFonts w:ascii="Times New Roman"/>
          <w:b w:val="false"/>
          <w:i w:val="false"/>
          <w:color w:val="000000"/>
          <w:sz w:val="28"/>
        </w:rPr>
        <w:t>референс, общая сумма ________________, сумма возврата _________________.</w:t>
      </w:r>
    </w:p>
    <w:p>
      <w:pPr>
        <w:spacing w:after="0"/>
        <w:ind w:left="0"/>
        <w:jc w:val="both"/>
      </w:pPr>
      <w:r>
        <w:rPr>
          <w:rFonts w:ascii="Times New Roman"/>
          <w:b w:val="false"/>
          <w:i w:val="false"/>
          <w:color w:val="000000"/>
          <w:sz w:val="28"/>
        </w:rPr>
        <w:t xml:space="preserve">       Корректировка последующими платежами невозможна по следующей</w:t>
      </w:r>
    </w:p>
    <w:p>
      <w:pPr>
        <w:spacing w:after="0"/>
        <w:ind w:left="0"/>
        <w:jc w:val="both"/>
      </w:pPr>
      <w:r>
        <w:rPr>
          <w:rFonts w:ascii="Times New Roman"/>
          <w:b w:val="false"/>
          <w:i w:val="false"/>
          <w:color w:val="000000"/>
          <w:sz w:val="28"/>
        </w:rPr>
        <w:t>причине____________________________________________________________</w:t>
      </w:r>
    </w:p>
    <w:p>
      <w:pPr>
        <w:spacing w:after="0"/>
        <w:ind w:left="0"/>
        <w:jc w:val="both"/>
      </w:pPr>
      <w:r>
        <w:rPr>
          <w:rFonts w:ascii="Times New Roman"/>
          <w:b w:val="false"/>
          <w:i w:val="false"/>
          <w:color w:val="000000"/>
          <w:sz w:val="28"/>
        </w:rPr>
        <w:t xml:space="preserve">                               (перечислить)</w:t>
      </w:r>
    </w:p>
    <w:p>
      <w:pPr>
        <w:spacing w:after="0"/>
        <w:ind w:left="0"/>
        <w:jc w:val="both"/>
      </w:pPr>
      <w:r>
        <w:rPr>
          <w:rFonts w:ascii="Times New Roman"/>
          <w:b w:val="false"/>
          <w:i w:val="false"/>
          <w:color w:val="000000"/>
          <w:sz w:val="28"/>
        </w:rPr>
        <w:t xml:space="preserve">       1) ошибочно перечислены;</w:t>
      </w:r>
    </w:p>
    <w:p>
      <w:pPr>
        <w:spacing w:after="0"/>
        <w:ind w:left="0"/>
        <w:jc w:val="both"/>
      </w:pPr>
      <w:r>
        <w:rPr>
          <w:rFonts w:ascii="Times New Roman"/>
          <w:b w:val="false"/>
          <w:i w:val="false"/>
          <w:color w:val="000000"/>
          <w:sz w:val="28"/>
        </w:rPr>
        <w:t xml:space="preserve">       2) в формате платежного поручения МТ 102 допущены ошибки;</w:t>
      </w:r>
    </w:p>
    <w:p>
      <w:pPr>
        <w:spacing w:after="0"/>
        <w:ind w:left="0"/>
        <w:jc w:val="both"/>
      </w:pPr>
      <w:r>
        <w:rPr>
          <w:rFonts w:ascii="Times New Roman"/>
          <w:b w:val="false"/>
          <w:i w:val="false"/>
          <w:color w:val="000000"/>
          <w:sz w:val="28"/>
        </w:rPr>
        <w:t xml:space="preserve">       3) суммы единого совокупного платежа перечислены плательщиком</w:t>
      </w:r>
    </w:p>
    <w:p>
      <w:pPr>
        <w:spacing w:after="0"/>
        <w:ind w:left="0"/>
        <w:jc w:val="both"/>
      </w:pPr>
      <w:r>
        <w:rPr>
          <w:rFonts w:ascii="Times New Roman"/>
          <w:b w:val="false"/>
          <w:i w:val="false"/>
          <w:color w:val="000000"/>
          <w:sz w:val="28"/>
        </w:rPr>
        <w:t>или банком два или более раз.</w:t>
      </w:r>
    </w:p>
    <w:p>
      <w:pPr>
        <w:spacing w:after="0"/>
        <w:ind w:left="0"/>
        <w:jc w:val="both"/>
      </w:pPr>
      <w:r>
        <w:rPr>
          <w:rFonts w:ascii="Times New Roman"/>
          <w:b w:val="false"/>
          <w:i w:val="false"/>
          <w:color w:val="000000"/>
          <w:sz w:val="28"/>
        </w:rPr>
        <w:t xml:space="preserve">       Возврат просим произвести по следующим реквизитам:</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             (указать полные данные плательщика, банковские реквизиты)</w:t>
      </w:r>
    </w:p>
    <w:p>
      <w:pPr>
        <w:spacing w:after="0"/>
        <w:ind w:left="0"/>
        <w:jc w:val="both"/>
      </w:pPr>
      <w:r>
        <w:rPr>
          <w:rFonts w:ascii="Times New Roman"/>
          <w:b w:val="false"/>
          <w:i w:val="false"/>
          <w:color w:val="000000"/>
          <w:sz w:val="28"/>
        </w:rPr>
        <w:t xml:space="preserve">       Плательщик 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уплаты,</w:t>
            </w:r>
            <w:r>
              <w:br/>
            </w:r>
            <w:r>
              <w:rPr>
                <w:rFonts w:ascii="Times New Roman"/>
                <w:b w:val="false"/>
                <w:i w:val="false"/>
                <w:color w:val="000000"/>
                <w:sz w:val="20"/>
              </w:rPr>
              <w:t>распределения и перечисления</w:t>
            </w:r>
            <w:r>
              <w:br/>
            </w:r>
            <w:r>
              <w:rPr>
                <w:rFonts w:ascii="Times New Roman"/>
                <w:b w:val="false"/>
                <w:i w:val="false"/>
                <w:color w:val="000000"/>
                <w:sz w:val="20"/>
              </w:rPr>
              <w:t>единого совокупного платежа в</w:t>
            </w:r>
            <w:r>
              <w:br/>
            </w:r>
            <w:r>
              <w:rPr>
                <w:rFonts w:ascii="Times New Roman"/>
                <w:b w:val="false"/>
                <w:i w:val="false"/>
                <w:color w:val="000000"/>
                <w:sz w:val="20"/>
              </w:rPr>
              <w:t>виде индивидуального</w:t>
            </w:r>
            <w:r>
              <w:br/>
            </w:r>
            <w:r>
              <w:rPr>
                <w:rFonts w:ascii="Times New Roman"/>
                <w:b w:val="false"/>
                <w:i w:val="false"/>
                <w:color w:val="000000"/>
                <w:sz w:val="20"/>
              </w:rPr>
              <w:t>подоходного налога и</w:t>
            </w:r>
            <w:r>
              <w:br/>
            </w:r>
            <w:r>
              <w:rPr>
                <w:rFonts w:ascii="Times New Roman"/>
                <w:b w:val="false"/>
                <w:i w:val="false"/>
                <w:color w:val="000000"/>
                <w:sz w:val="20"/>
              </w:rPr>
              <w:t>социальных платежей, а также</w:t>
            </w:r>
            <w:r>
              <w:br/>
            </w:r>
            <w:r>
              <w:rPr>
                <w:rFonts w:ascii="Times New Roman"/>
                <w:b w:val="false"/>
                <w:i w:val="false"/>
                <w:color w:val="000000"/>
                <w:sz w:val="20"/>
              </w:rPr>
              <w:t>их возврата</w:t>
            </w:r>
          </w:p>
        </w:tc>
      </w:tr>
    </w:tbl>
    <w:bookmarkStart w:name="z84" w:id="69"/>
    <w:p>
      <w:pPr>
        <w:spacing w:after="0"/>
        <w:ind w:left="0"/>
        <w:jc w:val="left"/>
      </w:pPr>
      <w:r>
        <w:rPr>
          <w:rFonts w:ascii="Times New Roman"/>
          <w:b/>
          <w:i w:val="false"/>
          <w:color w:val="000000"/>
        </w:rPr>
        <w:t xml:space="preserve"> Уведомление</w:t>
      </w:r>
      <w:r>
        <w:br/>
      </w:r>
      <w:r>
        <w:rPr>
          <w:rFonts w:ascii="Times New Roman"/>
          <w:b/>
          <w:i w:val="false"/>
          <w:color w:val="000000"/>
        </w:rPr>
        <w:t>об отказе в возврате суммы единого совокупного платежа</w:t>
      </w:r>
    </w:p>
    <w:bookmarkEnd w:id="69"/>
    <w:p>
      <w:pPr>
        <w:spacing w:after="0"/>
        <w:ind w:left="0"/>
        <w:jc w:val="both"/>
      </w:pPr>
      <w:bookmarkStart w:name="z85" w:id="70"/>
      <w:r>
        <w:rPr>
          <w:rFonts w:ascii="Times New Roman"/>
          <w:b w:val="false"/>
          <w:i w:val="false"/>
          <w:color w:val="000000"/>
          <w:sz w:val="28"/>
        </w:rPr>
        <w:t>
      от "___" _______20___года</w:t>
      </w:r>
    </w:p>
    <w:bookmarkEnd w:id="70"/>
    <w:p>
      <w:pPr>
        <w:spacing w:after="0"/>
        <w:ind w:left="0"/>
        <w:jc w:val="both"/>
      </w:pPr>
      <w:r>
        <w:rPr>
          <w:rFonts w:ascii="Times New Roman"/>
          <w:b w:val="false"/>
          <w:i w:val="false"/>
          <w:color w:val="000000"/>
          <w:sz w:val="28"/>
        </w:rPr>
        <w:t xml:space="preserve">       Гражданин (ка) _____________________________________________________</w:t>
      </w:r>
    </w:p>
    <w:p>
      <w:pPr>
        <w:spacing w:after="0"/>
        <w:ind w:left="0"/>
        <w:jc w:val="both"/>
      </w:pPr>
      <w:r>
        <w:rPr>
          <w:rFonts w:ascii="Times New Roman"/>
          <w:b w:val="false"/>
          <w:i w:val="false"/>
          <w:color w:val="000000"/>
          <w:sz w:val="28"/>
        </w:rPr>
        <w:t xml:space="preserve">                         (фамилия, имя, отчество (при наличии)</w:t>
      </w:r>
    </w:p>
    <w:p>
      <w:pPr>
        <w:spacing w:after="0"/>
        <w:ind w:left="0"/>
        <w:jc w:val="both"/>
      </w:pPr>
      <w:r>
        <w:rPr>
          <w:rFonts w:ascii="Times New Roman"/>
          <w:b w:val="false"/>
          <w:i w:val="false"/>
          <w:color w:val="000000"/>
          <w:sz w:val="28"/>
        </w:rPr>
        <w:t xml:space="preserve">       Дата рождения ________________________</w:t>
      </w:r>
    </w:p>
    <w:p>
      <w:pPr>
        <w:spacing w:after="0"/>
        <w:ind w:left="0"/>
        <w:jc w:val="both"/>
      </w:pPr>
      <w:r>
        <w:rPr>
          <w:rFonts w:ascii="Times New Roman"/>
          <w:b w:val="false"/>
          <w:i w:val="false"/>
          <w:color w:val="000000"/>
          <w:sz w:val="28"/>
        </w:rPr>
        <w:t xml:space="preserve">       Отказано в возврате по причине _______________________________________</w:t>
      </w:r>
    </w:p>
    <w:p>
      <w:pPr>
        <w:spacing w:after="0"/>
        <w:ind w:left="0"/>
        <w:jc w:val="both"/>
      </w:pPr>
      <w:r>
        <w:rPr>
          <w:rFonts w:ascii="Times New Roman"/>
          <w:b w:val="false"/>
          <w:i w:val="false"/>
          <w:color w:val="000000"/>
          <w:sz w:val="28"/>
        </w:rPr>
        <w:t xml:space="preserve">       Уведомление удостоверено ЭЦП ответственного лица</w:t>
      </w:r>
    </w:p>
    <w:p>
      <w:pPr>
        <w:spacing w:after="0"/>
        <w:ind w:left="0"/>
        <w:jc w:val="both"/>
      </w:pPr>
      <w:r>
        <w:rPr>
          <w:rFonts w:ascii="Times New Roman"/>
          <w:b w:val="false"/>
          <w:i w:val="false"/>
          <w:color w:val="000000"/>
          <w:sz w:val="28"/>
        </w:rPr>
        <w:t xml:space="preserve">       Руководитель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