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faeb" w14:textId="445f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2015 года № 1200 "Об утверждении Правил осуществления государственных закупок с применением особого порядка"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2019 года № 261. Утратило силу постановлением Правительства Республики Казахстан от 14 июля 2023 года № 587.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1200 "Об утверждении Правил осуществления государственных закупок с применением особого порядка" (САПП Республики Казахстан, 2015 г., № 89-90, ст. 636)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с применением особого порядка (далее - Правила),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Заказчик разрабатывает и утверждает отдельный годовой план государственных закупок (предварительный годовой план государственных закупок) товаров, работ, услуг, сведения о которых составляют государственные секреты и (или) содержат служебную информацию ограниченного распространения, определенную Правительством Республики Казахстан на основании соответствующего бюджета (плана развития) или индивидуального плана финансирования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положительного предложения соответствующей бюджетной комиссии заказчик вправе до утверждения (уточнения) соответствующего бюджета разработать и утвердить предварительный годовой план государственных закупок.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Заказчики, являющиеся государственными предприятиями, юридическими лицами, более пятидесяти процентов голосующих акций (долей участия в уставном капитале) которых принадлежат государству,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указанных случаях предварительный годовой план государственных закупок разрабатывается и утверждается отдельно как на стадиях до утверждения, так и на стадиях до уточнения соответствующего бюджета (плана развития) или индивидуального плана финансирования.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годового плана государственных закупок (предварительного годового плана государственных закупок)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утверждается должностным лицом не ниже заместителя первого руководителя заказчика.";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Заказчик вправе отказаться от осуществления государственных закупок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подпункта 1)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превышающей шестикратного размера месячного расчетного показателя, установленного на соответствующий финансовый год законом о республиканском бюджете (за исключением случаев, когда срок уплаты отсрочен в соответствии с законодательством Республики Казахстан).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финансовая устойчивость потенциальных поставщиков определяется путем представления указанных сведений с учетом требований настоящих Правил;";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подпункта 2)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"передача потенциальным поставщиком субподрядчикам (соисполнителям) на субподряд (соисполнение) в совокупности более одной второй объема выполняемых работ или оказываемых услуг в случае представления сведений о субподрядчиках;";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подпункта 1)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превышающей шестикратного размера месячного расчетного показателя, установленного на соответствующий финансовый год законом о республиканском бюджете (за исключением случаев, когда срок уплаты отсрочен в соответствии с законодательством Республики Казахстан).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финансовая устойчивость потенциальных поставщиков определяется путем представления указанных сведений с учетом требований настоящих Правил;";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подпункта 2)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"передача потенциальным поставщиком субподрядчикам (соисполнителям) на субподряд (соисполнение) в совокупности более одной второй объема выполняемых работ или оказываемых услуг в случае представления сведений о субподрядчиках;";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нарушившим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представившим недостоверную информацию по квалификационным требованиям и требованиям конкурсной документации;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внесшим обеспечение заявки на участие в конкурсе либо не внесшим его в размере, установленном настоящими Правилами.";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Цена заявки на участие в конкурсе потенциального поставщика на работы признается демпинговой в случае, если она ниже цены, указанной в технико-экономическом обосновании (для разработки проектно-сметной документации) и проектно-сметной документации, прошедшей экспертизу в соответствии с законодательством Республики Казахстан, более чем на десять процентов.";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"102. Цена заявки на участие в конкурсе потенциального поставщика на работы по разработке технико-экономического обоснования, проектно-сметной (типовой проектно-сметной) документации и градостроительных проектов признается демпинговой в случае, если она ниже цены, рассчитанной заказчиком в соответствии с Государственными нормативами по определению стоимости проектных работ для строительства в Республике Казахстан, утвержденными уполномоченным органом в сфере архитектурной, градостроительной и строительной деятельности, более чем на пятнадцать процентов.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Цена заявки на участие в конкурсе потенциального поставщика на оказание инжиниринговых услуг в сфере архитектурной, градостроительной и строительной деятельности (технический надзор) признается демпинговой в случае, если она ниже цены, рассчитанной в соответствии с Нормативным документом по определению затрат на инжиниринговые услуги в строительстве, утвержденным уполномоченным органом в сфере архитектурной, градостроительной и строительной деятельности, более чем на пятнадцать процентов.";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"106. Если государственные закупки способом конкурса признаны несостоявшимися, заказчик в течение пятнадцати календарных дней принимает одно из следующих решений: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повторном проведении государственных закупок способом конкурса;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изменении конкурсной документации и повторном проведении государственных закупок способом конкурса.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повторных государственных закупок способом конкурса несостоявшимися, заказчик вправе осуществить государственные закупки способом из одного источника в случаях: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представленных заявок на участие в конкурсе. При этом потенциальный поставщик, которому направляется приглашение на участие в государственных закупках способом из одного источника, определяется заказчиком;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менее двух заявок на участие в конкурсе. При этом приглашение на участие в государственных закупках способом из одного источника направляется потенциальному поставщику, представившему заявку на участие в конкурсе. Цена заключенного договора о государственных закупках не должна превышать конкурсное ценовое предложение потенциального поставщика, указанное в заявке на участие в конкурсе.";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106-6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предоставляется право для приведения заявок на участие в конкурсе в соответствии с квалификационными требованиями и требованиями конкурсной документации потенциальным поставщикам: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нарушившим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представившим недостоверную информацию по квалификационным требованиям и требованиям конкурсной документации;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внесшим обеспечение заявки на участие в конкурсе либо не внесшим его в размере, установленном настоящими Правилами.";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рассмотрение заказчиком и организатором государственных закупок, представленных потенциальным поставщиком, документов, подтверждающих соответствие потенциального поставщика квалификационным требованиям, за исключением случаев, когда государственные закупки способом из одного источника осуществляются на основании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обоснования цены, предлагаемой им на участие в государственных закупках способом из одного источника;";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"111. В случаях,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потенциальный поставщик, которому направляется запрос, определяется заказчиком.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направляется запрос потенциальному поставщику, представившему конкурсную заявку.";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"114. В случае принятия предложения о поставке товаров, выполнении работ, оказании услуг, потенциальный поставщик в течение десяти календарных дней со дня получения приглашения к участию в государственных закупках, представляет организатору государственных закупок свое письменное согласие с приложением документов, подтверждающих его соответствие квалификационным требованиям, отсутствие ограничений, связанных с процессом государственных закупок товаров, работ, услуг, документы, подтверждающие соответствие предлагаемых товаров, работ, услуг требованиям технической спецификации, а также предлагаемую потенциальным поставщиком цену за поставляемые товары, выполняемые работы, оказываемые услуги с его обоснованием.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цены должно содержать расчет стоимости предлагаемых к поставке товаров, работ, услуг, включая все расходы потенциального поставщика на транспортировку, страхование, уплату таможенных пошлин, налогов (без НДС), платежей и сборов, стоимость комплектующих деталей и обязательных запасных частей, обслуживания в течение начального срока эксплуатации на единицу измерения, другие расходы.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несоответствие технической спецификации потенциального поставщика технической спецификации, предложенной организатором государственных закупок, если предлагаются товары и услуги с более лучшими функциональными и другими характеристиками, а также, когда предлагаются более лучшие технологические решения и (или) выполнение работ из лучших материалов.";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"119. Если потенциальный поставщик, определенный победителем, не подписал в течение тридцати календарных дней проект договора о государственных закупках, либо, заключив договор о государственных закупках, не внес обеспечение исполнения договора о государственных закупках,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поставщику, занявшему второе место, проект договора о государственных закупках, который должен быть подписан потенциальным поставщиком, занявшим второе место, в течение трех рабочих дней со дня представления ему проекта договора о государственных закупках.";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"123. Размер обеспечения исполнения договора устанавливается организатором в размере трех процентов от общей суммы договора о государственных закупках.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договором о государственных закупках предусмотрена выплата аванса, потенциальный поставщик дополнительно к обеспечению исполнения договора вносит обеспечение аванса в размере, равном авансу. При этом потенциальный поставщик имеет право отказаться от выплаты аванса.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обязательствам, предусмотренным договором о государственных закупках.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заключения договора о государственных закупках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Закона, заказчик вправе установить требование о внесении обеспечения аванса.";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"124. Поставщик выбирает один из следующих видов обеспечения исполнения договора о государственных закупках: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гарантийный денежный взнос, который вносится на банковский счет заказчика либо на счет, предусмотренный бюджетным законодательством Республики Казахстан для заказчиков, являющихся государственными органами и государственными учреждениями;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банковскую гарантию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договор страхования гражданско-правовой ответственности поставщика, заключаемый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43 Закона.";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указанным Правилам: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техническую спецификацию с указанием национальных стандартов, а в случае их отсутствия межгосударственных стандартов на закупаемые товары, работы,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конкурсной документации.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работ, услуг с учетом нормирования государственных закупок.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техническая спецификация должна содержать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работ, требующих проектно-сметной документации, вместо технической спецификации конкурсная документация должна содержать утвержденную в установленном порядке проектно-сметную документацию. При этом сроки выполнения работ по таким государственным закупкам должны соответствовать срокам выполнения работ, указанным в утвержденной в установленном порядке проектно-сметной документации;";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"потенциальный поставщик вправе подтвердить соответствие квалификационному требованию о платежеспособности посредством предоставления обеспечения исполнения договора в виде гарантийного денежного взноса, банковской гарантии одного либо нескольких банков-резидентов Республики Казахстан либо договора страхования гражданско-правовой ответственности поставщика;";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"сведения о субподрядчиках по выполнению работ (соисполнителях при оказании услуг), являющихся предметом закупок на конкурсе, а также виды работ и услуг, передаваемых потенциальным поставщиком субподрядчикам (соисполнителям)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конкурсной документации.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предельные объемы работ и услуг, которые могут быть переданы субподрядчикам (соисполнителям) для выполнения работ либо оказания услуг, не должны превышать в совокупности одной второй объема выполняемых работ или оказываемых услуг.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требование не распространяется на случаи заключения договоров о государственных закупках, предусмотренных подпунктом 36)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Закона, с юридическими лицами, определенными операторами в соответствии с законами Республики Казахстан.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субподрядчикам (соисполнителям) запрещается передавать иным субподрядчикам (соисполнителям) объемы выполнения работ либо оказания услуг, являющихся предметом проводимых государственных закупок;";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техническую спецификацию с указанием национальных стандартов, а в случае их отсутствия межгосударственных стандартов на закупаемые товары, работы, услуги.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работ, услуг с учетом нормирования государственных закупок, сроков и (или) объемов поставки товаров, выполнения работ, оказания услуг, предоставления гарантий качества к обслуживанию товара, к расходам на эксплуатацию товара, условия поставки товара, выполнения работ, оказания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конкурсной документации. 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осуществлении государственных закупок работ, требующих проектно-сметную документацию, потенциальным поставщиком предоставляется письмо о согласии с условиями проектно-сметной документацией, утвержденной в установленном порядке;";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52 изложить в следующей редакции: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В случае если потенциальный поставщик, признанный победителем, в сроки, установленные Законом, не представил заказчику подписанный договор о государственных закупках или, заключив договор о государственных закупках, не внес обеспечение исполнения договора о государственных закупках, то такой потенциальный поставщик признается уклонившимся от заключения договора о государственных закупках.";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53 изложить в следующей редакции: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В случае признания потенциального поставщика, определенного победителем государственных закупок, уклонившимся от заключения договора о государственных закупках заказчик:";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2-1 к указанным Правилам изложить в следующей редакции: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нарушившим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представившим недостоверную информацию по квалификационным требованиям и требованиям конкурсной документации;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внесшим обеспечение заявки на участие в конкурсе либо не внесшим его в размере, установленном Правилами.";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Поставщик в течение десяти рабочих дней со дня заключения договора вносит обеспечение исполнения договора, в случаях и в размере, установленных Правилами. Поставщик вправе выбрать один из следующих видов обеспечения исполнения договора: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гарантийный денежный взнос, который вносится на банковский счет Заказчика либо на счет, предусмотренный бюджетным законодательством Республики Казахстан для заказчиков, являющихся государственными органами и государственными учреждениями; 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банковскую гарантию;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 страхования гражданско-правовой ответственности поставщика, заключаемый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43 Закона.";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Поставщик в течение десяти рабочих дней со дня заключения договора вносит обеспечение исполнения договора, в случаях и в размере, установленных Правилами. Поставщик вправе выбрать один из следующих видов обеспечения исполнения договора: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гарантийный денежный взнос, который вносится на банковский счет Заказчика либо на счет, предусмотренный бюджетным законодательством Республики Казахстан для заказчиков, являющихся государственными органами и государственными учреждениями; 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банковскую гарантию;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 страхования гражданско-правовой ответственности поставщика, заключаемый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43 Закона.";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Подрядчик может заключать договоры с субподрядными организациями в объеме не более одной второй от общего объема работ (цены подряда) и не может передавать договор третьему лицу без письменного разрешения Заказчика. Наличие Субподрядчиков не меняет условия договора между Заказчиком и Подрядчиком.";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54 изложить в следующей редакции: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"54. Заказчик может в любое время расторгнуть договор в силу нецелесообразности его дальнейшего выполнения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направив Подрядчику соответствующее письменное уведомление, в котором указываются причина расторжения договора, оговариваются объем аннулированных работ договора, а также дата вступления в силу расторжения договора.";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Поставщик в течение десяти рабочих дней со дня заключения договора вносит обеспечение исполнения договора, в случаях и в размере, установленных Правилами. Поставщик вправе выбрать один из следующих видов обеспечения исполнения договора: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гарантийный денежный взнос, который вносится на банковский счет Заказчика либо на счет, предусмотренный бюджетным законодательством Республики Казахстан для заказчиков, являющихся государственными органами и государственными учреждениями; 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банковскую гарантию;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 страхования гражданско-правовой ответственности поставщика, заключаемый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43 Закона.";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30 изложить в следующей редакции: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Заказчик может в любое время расторгнуть договор в силу нецелесообразности его дальнейшего выполнения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направив Поставщику соответствующее письменное уведомление.".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</w:tr>
    </w:tbl>
    <w:bookmarkStart w:name="z12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 закупаемых товаров (работ, услуг) (представляется на каждый лот в отдельности)</w:t>
      </w:r>
    </w:p>
    <w:bookmarkEnd w:id="107"/>
    <w:p>
      <w:pPr>
        <w:spacing w:after="0"/>
        <w:ind w:left="0"/>
        <w:jc w:val="both"/>
      </w:pPr>
      <w:bookmarkStart w:name="z125" w:id="108"/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конкурса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лота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лота _________________________________</w:t>
      </w:r>
    </w:p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спецификация разрабатывается с указанием национальных стандартов, а в случае их отсутствия межгосударственных стандартов на закупаемые товары, работы, услуги.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работ, услуг с учетом нормирования государственных закупок.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техническая спецификация должна содержать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работ, требующих проектно-сметной документации, вместо технической спецификации конкурсная документация должна содержать утвержденную в установленном порядке проектно-сметную документацию. При этом сроки выполнения работ по таким государственным закупкам должны соответствовать срокам выполнения работ, указанным в утвержденной в установленном порядке проектно-сметной документации.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государственных закупок работ по разработке технико-экономического обоснования и разработке проектно-сметной (типовой проектно-сметной) документации в техническом задании об их разработке должно быть указано требование о применении при расчетах и проектировании материалов и оборудования, соответствующих действующим национальным и неправительственным стандартам Республики Казахстан (при их наличии). 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технической спецификации на товары, услуги описание функциональных, технических, качественных и эксплуатационных характеристик должно быть распределено на соответствующие разделы, содержащие пределы функциональности, параметры технических характеристик, назначение товара и эксплуатационные условия товара, услуги.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необходимости, в технической спецификации указываются сопутствующие услуги, необходимые при поставке товаров (монтаж, наладка, обучение, проверки и испытания товаров и так далее) заказчику, и, где они должны проводиться, год выпуска товара, срок гарантии. 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приобретения услуг, качество оказания которых зависит от квалификации работника, непосредственно оказывающего такие услуги, в технической спецификации дается описание требований, предъявляемых к работнику, определяющих его уровень и профиль профессиональной подготовки, стаж работы, необходимые для выполнения возложенных на него обязанностей. 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</w:tr>
    </w:tbl>
    <w:bookmarkStart w:name="z13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 закупаемых товаров (представляется потенциальным поставщиком на каждый лот в отдельности)</w:t>
      </w:r>
    </w:p>
    <w:bookmarkEnd w:id="116"/>
    <w:p>
      <w:pPr>
        <w:spacing w:after="0"/>
        <w:ind w:left="0"/>
        <w:jc w:val="both"/>
      </w:pPr>
      <w:bookmarkStart w:name="z136" w:id="117"/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конкурса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(с указанием марки, модели, типа и\или товарного знака либо знака обслуживания и т.д.)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Гарантийный срок (при наличии) (в месяцах)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функциональных, технических, качественных и эксплуатационных характеристик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сведения, подтверждающие соответствие товара требованиям конкурсной документации (технической спецификации).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спецификация разрабатывается с указанием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техническая спецификация должна содержать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</w:tr>
    </w:tbl>
    <w:bookmarkStart w:name="z14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 закупаемых работ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по государственным закупкам ____________________________ (указать полное наименование)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спецификация разрабатывается с полным описанием требуемых технических и качественных характеристик закупаемых работ, включая необходимые спецификации, планы, чертежи, эскизы, и указанием национальных стандартов, а в случае их отсутствия межгосударственных стандартов на закупаемые работы.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работ с учетом нормирования государственных закупок.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работ, требующих проектно-сметной документации, вместо технической спецификации конкурсная документация должна содержать утвержденную в установленном порядке проектно-сметную документацию. При этом сроки выполнения работ по таким государственным закупкам должны соответствовать срокам выполнения работ, указанным в утвержденной в установленном порядке проектно-сметной документации.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данной технической спецификации организатор государственных закупок дает краткое описание строительной площадки, географических, инженерно-геологических и других особых природных условий, наличие инфраструктуры и коммуникаций, описание местных ресурсов, систему стандартов и технических нормативов и указывает полный состав объекта, требования по инженерной подготовке территории, технологии производства и оборудованию, инженерному обеспечению, используемым материалам и конструкциям, оснащению объекта и т.п., исключающие разногласия при вводе объекта в эксплуатацию. 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</w:tr>
    </w:tbl>
    <w:bookmarkStart w:name="z14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 (заполняется потенциальным поставщиком при закупках услуг)</w:t>
      </w:r>
    </w:p>
    <w:bookmarkEnd w:id="125"/>
    <w:p>
      <w:pPr>
        <w:spacing w:after="0"/>
        <w:ind w:left="0"/>
        <w:jc w:val="both"/>
      </w:pPr>
      <w:bookmarkStart w:name="z149" w:id="126"/>
      <w:r>
        <w:rPr>
          <w:rFonts w:ascii="Times New Roman"/>
          <w:b w:val="false"/>
          <w:i w:val="false"/>
          <w:color w:val="000000"/>
          <w:sz w:val="28"/>
        </w:rPr>
        <w:t>
      № конкурса________________________________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конкурса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лота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лота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Общие сведения о потенциальном поставщике: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БИН/ИИН/ИНН/УНП</w:t>
      </w:r>
    </w:p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оказанных потенциальным поставщиком услуг в течение последних десяти лет, аналогичных (схожих) закупаемым на конкурсе, с приложением копий подтверждающих документов (заполняется в случае наличия).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месяц оказания услуги (с __ по __)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Потенциальный поставщик указывает сведения о наличии материальных ресурсов, предусмотренных конкурсной документацией, необходимых для оказания услуг с приложением копий подтверждающих документов.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имеющихся единиц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(новое, хорошее, плохое)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</w:tr>
    </w:tbl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Потенциальный поставщик указывает сведения о квалифицированных работниках для выполнения возложенных на них обязанностей, необходимых в целях оказания услуг по данному конкурсу (лоту), с приложением копий подтверждающих документов.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работника (приложить копию документа, удостоверяющего личность)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оказания услуг, закупаемых на данном конкурсе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квалификации (указать номер и дату выдачи диплома об образовании, сертификата, аттестата приложить их копии)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разряд, класс по специальности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при условии, если требования к работникам и по наличию таких работников указаны в технической спецификации по данному конкурсу (лоту).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</w:t>
            </w:r>
          </w:p>
        </w:tc>
      </w:tr>
    </w:tbl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Документами, подтверждающими опыт работы по договорам о государственных закупках, связанных с оказанием услуг,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397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а также услуг, учет которых производится посредством сертифицированных систем (приборов) учета, в том числе коммунальных услуг (водоснабжение, канализация, газоснабжение) и услуг связи является копия счет-фактуры.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копий подтверждающих документов обязательно только по тем сведениям, указание которых предусмотрено в конкурсной документации. В случае если конкурсной документацией не предусмотрены требования в части обладания соответствующими материальными и трудовыми ресурсами, копии подтверждающих документов могут не предоставляться.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Документом, подтверждающим право аренды материальных ресурсов, является копия договора аренды либо копия предварительного договора аренды. При этом, срок аренды по договорам не должен быть менее срока оказания услуг, установленного в конкурсной документации.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наличия требования по стажу, документом, подтверждающим стаж работника, является копия выписки из Единого накопительного пенсионного фонда о перечисленных обязательных пенсионных взносах или сведений из Государственного фонда социального страхования о произведенных социальных отчислениях и один из документов, предусмотренных подпунктами 1), 2), 3), 4), 5) и 8)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года. 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стаж работника учитывается за последние десять лет. 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представление копии договора субаренды материальных ресурсов.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расчете опыта работы по договорам, со сроком свыше одного года признается год завершения услуги.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- идентификационный номер налогоплательщика;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- учетный номер плательщика.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</w:tr>
    </w:tbl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 (заполняется потенциальным поставщиком при закупках товаров)</w:t>
      </w:r>
    </w:p>
    <w:bookmarkEnd w:id="144"/>
    <w:p>
      <w:pPr>
        <w:spacing w:after="0"/>
        <w:ind w:left="0"/>
        <w:jc w:val="both"/>
      </w:pPr>
      <w:bookmarkStart w:name="z170" w:id="145"/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конкурса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лота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лота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Общие сведения о потенциальном поставщике: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БИН/ИИН/ИНН/УНП ___________________________________________</w:t>
      </w:r>
    </w:p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товаров, поставленных (произведенных) потенциальным поставщиком в течение последних десяти лет, аналогичных (схожих) закупаемым на конкурсе, с приложением копий подтверждающих документов (заполняется в случае наличия).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</w:t>
            </w:r>
          </w:p>
        </w:tc>
      </w:tr>
    </w:tbl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опыт работы на рынке закупаемых товаров, являются копии актов приемки товаров и счетов-фактур. При наличии опыта работы на рынке закупаемых товаров до 1 января 2017 года документами, подтверждающими опыт работы, также могут являться копии накладных и счетов-фактур.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- идентификационный номер налогоплательщика;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- учетный номер плательщика.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</w:tr>
    </w:tbl>
    <w:bookmarkStart w:name="z18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субподрядчиках по выполнению работ (соисполнителях при оказании услуг), являющихся предметом закупок на конкурсе, а также виды работ и услуг, передаваемых потенциальным поставщиком субподрядчикам (соисполнителям) (указать полное наименование конкурса)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субподрядчика (соисполнителя) - юридического лица либо фамилия, имя, отчество (при наличии) субподрядчика (соисполнителя), являющегося физическим лицом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номер субподрядчика (соисполнителя), его полный юридический и почтовый адрес, контактный телефон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выполняемых работ (оказываемых услуг) в соответствии с технической спецификацией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выполняемых работ (оказываемых услуг) в соответствии с технической спецификацией в денежном выражении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выполняемых работ (оказываемых услуг) в соответствии с технической спецификацией в процентном выражении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данному субподрядчику (соисполнителю)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объема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данному субподрядчику (соисполнителю)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объема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всем субподрядчикам (соисполнителям)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объема</w:t>
            </w:r>
          </w:p>
        </w:tc>
      </w:tr>
    </w:tbl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субподрядчик (и) (соисполнитель (и)) потенциального поставщика, подающего заявку на участие в конкурсе (указать полное наименование конкурса), выражают свою осведомленность об условиях участия в государственных закупках способом конкурса (указать полное наименование конкурса) и принимают на себя ответственность за нарушения требований, предусмотренных конкурсной документацией в части, касающейся субподрядчиков (соисполнителей) потенциального поставщика.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субподрядчика (соисполнителя) - юридического лица либо фамилия, имя, отчество (при наличии) субподрядчика (соисполнителя), являющегося физическим лицом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уполномоченного представителя субподрядчика (соисполнителя)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объем работ и услуг, передаваемых потенциальным поставщиком субподрядчикам (соисполнителям), не превышает в совокупности одной второй объема выполняемых работ или оказываемых услуг.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требование не распространяется на случаи заключения договоров о государственных закупках, предусмотренных подпунктом 36)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Закона, с юридическими лицами, определенными операторами в соответствии с законами Республики Казахстан.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субподрядчикам (соисполнителям) запрещается передавать иным субподрядчикам (соисполнителям) объемы выполнения работ либо оказания услуг, являющихся предметом проводимых государственных закупок.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