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fdc2" w14:textId="e17f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октября 2012 года № 1384 "Об утверждении Правил размещения отчетности, необходимой государственным органам, на интернет-ресурсе Фонда национального благосостояния, а также перечня, форм и периодичности размещения отчетности"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2019 года № 531. Утратило силу постановлением Правительства Республики Казахстан от 11 июля 2023 года № 550.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2012 года № 1384 "Об утверждении Правил размещения отчетности, необходимой государственным органам, на интернет-ресурсе Фонда национального благосостояния, а также перечня, форм и периодичности размещения отчетности" (САПП Республики Казахстан, 2012 г., № 75-76, ст. 1126)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отчетности, необходимой государственным органам, на интернет-ресурсе Фонда национального благосостояния,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Фонд принимает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 правовые, организационные и технические (программно-технические) меры защиты электронных информационных ресурсов ограниченного доступа, размещенных на интернет-ресурсе Фонда.";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периодичность размещения отчетности, необходимой государственным органам, на интернет-ресурсе Фонда национального благосостояния,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отчетности, необходимой государственным органам, размещаемой на интернет-ресурсе Фонда национального благосостояния,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531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2012 года № 1384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периодичность размещения отчетности, необходимой государственным органам, на интернет-ресурсе Фонда национального благосостояния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отчетности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Периодичность размещения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Государственный орган, имеющий доступ к отчетности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заимствований и график погашения (структура гарантий)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до 25 числа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 МНЭ, МФ, ГП (по согласованию), АПК (по согласованию), СК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финансовой устойчивости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по истечению 80 календарных дней с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 МНЭ, МФ, ГП (по согласованию), АПК (по согласованию), СК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освоению денежных средств Национального фонда Республики Казахстан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до 15 числа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 МНЭ, МФ, ГП (по согласованию), АПК (по согласованию), СК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социальным показателям дочерних организаций, имеющих статус национальных компаний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15 числа третьего месяца, следующего за отчетным периодом (по состоянию на 1 января)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 МНЭ, МФ, ГП (по согласованию), АПК (по согласованию), СК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инвестиционных проектах Фонда в рамках ГПИИР, Государственной программы инфраструктурного развития "Нұрлы жол", а также выносимых на рассмотрение Совета директоров Фонда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к 10 числу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 МИИР, МНЭ, МФ, ГП (по согласованию), АПК (по согласованию), СК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 по отрасли связи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ежемесячно, до 10 числа месяца, следующего за отчетным периодом, и в сроки, указанные в форме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 МЦРИАП, СК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по освоению бюджетных инвестиций и кредитов Фонда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ежемесячно, до 10 числа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 МНЭ, МФ, ГП (по согласованию), АПК (по согласованию), СК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по IT-специалистам группы Фонда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15 числа второго месяца, следующего за отчетным периодом (по состоянию на 1 января)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 МЦРИАП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группы Фонда согласно Методике классификации юридических лиц, акции (доли участия) которых прямо или косвенно принадлежат Фонду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30 апреля, следующего за отчетным периодом (по состоянию на 1 января)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 МНЭ, МФ, ГП (по согласованию), АПК (по согласованию), СК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развития Фонда, утвержденный Советом директоров Фонда, и отчет по его исполнению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недель после утверждения Плана развития и рассмотрения отчета Советом директоров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 МНЭ, МФ, ГП (по согласованию), АПК (по согласованию), СК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причинах остатка на контрольном счете наличности Фонда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 10 марта, следующего за отчҰтным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 МНЭ, МФ, ГП (по согласованию), АПК (по согласованию), СК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передаче в конкурентную среду объектов Фонда, предусмотренных в постановлении Правительства Республики Казахстан от 30 декабря 2015 года № 1141 "О некоторых вопросах приватизации на 2016 – 2020 годы"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до 10 числа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 МНЭ, МФ, ГП (по согласованию), АПК (по согласованию), СК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Фонда о начисленных прочих распределениях в пользу акционера по корпоративному центру Фонда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до 15 числа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 МНЭ, МФ, ГП (по согласованию), АПК (по согласованию), СК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начисленных дивидендах на государственный пакет акций Фонда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марта,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АП, КПМ, МНЭ, МФ, ГП (по согласованию), АПК (по согласованию), СК (по согласованию)</w:t>
            </w:r>
          </w:p>
        </w:tc>
      </w:tr>
    </w:tbl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– Администрация Президента Республики Казахстан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КПМ – Канцелярия Премьер-Министра Республики Казахстан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АПК – Агентство Республики Казахстан по противодействию коррупции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 – Счетный комитет по контролю за исполнением республиканского бюджета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– Акционерное общество "Фонд национального благосостояния "Самрук-Қазына"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ГПИИР – Государственная программа индустриально-инновационного развития Республики Казахстан на 2015 – 2019 годы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2019 года № 531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2012 года № 1384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отчетности, необходимой государственным органам, размещаемой на интернет-ресурсе Фонда национального благосостояния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заимствований и график погашения (Структура гарантий)</w:t>
      </w:r>
    </w:p>
    <w:bookmarkEnd w:id="34"/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дочерней организации (корпоративного центра):</w:t>
      </w:r>
    </w:p>
    <w:bookmarkEnd w:id="35"/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Период, за который составляется отчетность: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Последующие столбцы не заполняются для гарантий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 (Гарант)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Заимодатель (Бенефициар по гарантии)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(Гарантируемый инструмент)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заимствования (Объект гарантии; цель привлечения гарантируемого заимствования)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SUBSI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CRDTR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INSTR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PURPS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заимствования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заимствования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Заимствования внутри группы "Самрук-Казына"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за компании группы "Самрук-Казына"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за иные компании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заимствования (Договор гарантии)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займа (Условия гарантии)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освоения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условия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REFNO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REFDT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LNCCY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LNAMNT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LNACT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INTRT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CONDS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займа (Срок гарантируемого займа)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обеспечения по займу (Вид обеспечения по гарантии)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освоения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 периода доступности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остаточный срок в днях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DTPLC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AVLB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DTPMT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NDAYS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CLTRL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основного долга (далее -ОД) на отчетную дату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кв. 20ХХ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кв. 20ХХ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кв. 20ХХ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Y0DBT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1QPRL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1QINT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2QPRL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2QINT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3QPRL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3QINT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кв. 20ХХ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 на начало периода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 на начало периода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4QPRL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4QINT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Y1DBT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Y1PRL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Y1INT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Y2DBT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Y2PRL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Y2INT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20XX+5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 на начало периода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 на начало периода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 на начало периода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Y3DBT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Y3PRL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Y3INT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Y4DBT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Y4PRL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Y4INT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Y5DBT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Y5PRL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Y5INT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финансовой устойчивости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 дату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значение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(факт)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20ХХ+1 (оценка)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20ХХ+2 (прогноз)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20ХХ+3 (прогноз)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20ХХ+4 (прогноз)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20ХХ+5 (прогноз)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Долг/EBITDA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покрытия процентных платежей (EBITDA/процентные расходы)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Долг/Собственный капитал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текущей ликвидности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освоению денежных средств Национального фонда Республики Казахстан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млн.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(целевое назначение)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 (предусмотрено)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 (перечислено)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фонду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Неосвоенный остаток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наличии у фонда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(= 8 + 10)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(= 4 - 6)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неосвоения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социальным показателям дочерних организаций (далее – ДО), имеющих статус национальных компаний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n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работников,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административно-управленческого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оплаты труда,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административно-управленческого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плата,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административно-управленческого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Текучесть кадров,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текучесть кадров среди менеджмента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инвестиционных проектах Фонда в рамках ГПИИР</w:t>
      </w:r>
      <w:r>
        <w:rPr>
          <w:rFonts w:ascii="Times New Roman"/>
          <w:b/>
          <w:i w:val="false"/>
          <w:color w:val="000000"/>
          <w:vertAlign w:val="superscript"/>
        </w:rPr>
        <w:t xml:space="preserve"> </w:t>
      </w:r>
      <w:r>
        <w:rPr>
          <w:rFonts w:ascii="Times New Roman"/>
          <w:b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</w:rPr>
        <w:t>, "Нұрлы жол"</w:t>
      </w:r>
      <w:r>
        <w:rPr>
          <w:rFonts w:ascii="Times New Roman"/>
          <w:b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</w:rPr>
        <w:t>, и выносимых на рассмотрение Совета директоров Фонда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Цель/Эффект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 в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стоимостном выражении в год, млн.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на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Освоенные инвестиции с начала реализации проекта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проекта, млн.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финансирования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млн.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от общей стоимости проекта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Собст. (Фонд и ДЗО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РБ (НФ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ЕНПФ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(заем)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 (ММ. ГГ.)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выхода на проектную мощность (ММ. ГГ.)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 в натуральном выражении (с даты ввода в эксплуатацию), тонн, шт. и т.п.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 в стоимостном выражении (с даты ввода в эксплуатацию), млн. тенге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состояние (исполненные мероприятия по проекту и проводимые работы)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Проблемные вопросы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решения с указанием компетентного органа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программа индустриально-инновационного развития Республики Казахстан на 2015 – 2019 годы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программа инфраструктурного развития "Нұрлы жол" на 2015 – 2019 годы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Дочерние и зависимые организаций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Республиканский бюджет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Национальный фонд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Единый накопительный пенсионный фонд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6</w:t>
            </w:r>
          </w:p>
        </w:tc>
      </w:tr>
    </w:tbl>
    <w:bookmarkStart w:name="z7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Аналитическая информация по отрасли связи Ежемесячная информация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с нарастающим итогом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цифровизации местных сетей телекоммуникаций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цифровизации местных сетей телекоммуникаций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фиксированных телефонных линий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фиксированных телефонных линий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фиксированного Интернета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фиксированного широкополосного доступа к Интернету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пользователей, имеющих доступ к Интернету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пользователей, имеющих широкополосный доступ к Интернету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пропускная способность Интернета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Мбит/с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охвата услугами широкополосного доступа к Интернету с использованием технологии CDMA 450 сельских населенных пунктов с численностью от 50 человек и более (в разрезе регионов)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услугами широкополосного доступа к Интернету с использованием технологии CDMA 450 сельских населенных пунктов с численностью от 50 человек и более (в разрезе регионов)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отделений почтовой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форме 6 </w:t>
            </w:r>
          </w:p>
        </w:tc>
      </w:tr>
    </w:tbl>
    <w:bookmarkStart w:name="z8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Ежемесячная аналитическая информация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предоставления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за отчетный период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текущем состоянии и развитии акционерного общества "Казахтелеком"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числа, следующего за отчетным месяцем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выполненных работах по цифровым коммутационным станциям на местных сетях телекоммуникаций. Развитие местной сети телекоммуникаций. Строительство местной сети телекоммуникаций.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выполненных работах по модернизации и развитию сетей телекоммуникаций сельской связи с использованием технологии CDMA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выполненных работах по расширению Национальной информационной супермагистрали на основе технологии спектрального уплотнения DWDM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сельских населенных пунктах, обеспеченных универсальными услугами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строительство Зоновой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расширение Магистральной сети телекоммуникаций (Волоконно-оптической линии связи Национальной информационной супермагистрали)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проектах внедрения новых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доступа к Интернету и широкополосного доступа к Интернету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беспроводного доступа к Интернету на основе технологии CDMA-450/800, EV-DO, 4G (LTE), FTTH (инфраструктура, количество базовых станций, в разрезе областей)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и средняя скорость широкополосного доступа к Интернету по технологиям ADSL, FTTH, CDMA-450, EV-DO, LTE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услуг SIP-телефонии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точек доступа к широкополосному Интернету по технологии Wi-Fi, установленных в местах общественного пользования (высшие учебные заведения, больницы, гостиницы, центры обслуживания населения, областные железнодорожные вокзалы и т. д.)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ID TV (количество абонентов, инфраструктура)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6</w:t>
            </w:r>
          </w:p>
        </w:tc>
      </w:tr>
    </w:tbl>
    <w:bookmarkStart w:name="z8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показателям Международного союза электросвязи (далее – МСЭ)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МСЭ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предоставления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Фиксированная телефонная сеть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год, к 1 мая и 1 ноября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 телефонные линии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емкость местных телефонных станций общего пользования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фиксированных телефонных линий, подключенных к цифровым телефонным станциям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112IP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VoIP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Процентная доля фиксированных телефонных линий, которые обслуживают квартирных абонентов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фиксированных телефонных линий в городских районах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Процентная доля населенных пунктов с телефонным обслуживанием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таксофоны общего пользования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цифровой сети с интеграцией служб (далее - ЦСИС)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 ЦСИС с базовой скоростью передачи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 ЦСИС с первичной скоростью передачи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Эквиваленты речевого канала ЦСИС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112pt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ПеренесҰнные номера в сети фиксированной телефонной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подвижной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Контракты для подвижной сотовой телефонной связи (с последующей оплатой + с предоплатой)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Контракты подвижной сотовой связи: предоплата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pop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охвата населения сетью подвижной сотовой телефонной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271G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сетями подвижной связи 3G/4G (процентная доля населения)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271pt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номеров линий подвижной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абонентов фиксированного (проводного) Интернета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 Интернета с доступом по телефонной линии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пропускная способность Интернета (Мбит/с)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4214og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пропускная способность исходящего Интернета (Мбит/с)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4214ic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пропускная способность входящего Интернета (Мбит/с)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пропускная способность Интернета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4214di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пропускная способность входящего Интернета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4214do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пропускная способность исходящего Интернета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 широкополосного Интернета с фиксированной (проводной) связью в зависимости от технологии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4213tfb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абонентов широкополосного Интернета с фиксированным (проводным) доступом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4213cab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 Интернета с использованием кабельного модема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4213dsl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 цифровой абонентской линии (далее - ЦАЛ) (Интернет)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4213ftt h/b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Волоконно-оптическое подключение к дому/зданию (FTTH/B)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4213ob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абоненты широкополосного Интернета с фиксированным (проводным) доступом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(проводной) широкополосный доступ в зависимости от скорости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 2 56to2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со скоростью от 256 кбит/с до менее 2 Мбит/с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 2to10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со скоростью от 2 Мбит/с до менее 10 Мбит/с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 G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10 Мбит/с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 10to100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со скоростью от 10 Мбит/с до менее 100 Мбит/с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 100to1G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со скоростью от 100 Мбит/с до менее 1 Гбит/с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 G 1Gb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со скоростью выше 1 Гбит/с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Беспроводной широкополосный доступ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271twb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абонентов с беспроводным широкополосным доступом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линии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271fw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наземной фиксированной беспроводной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271mw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наземной подвижной беспроводной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271mb_use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линии подвижной связи с использованием передачи данных на широкополосных скоростях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271md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линии подвижной связи для передачи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фиксированный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Междугородный фиксированный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фиксированный телефонный трафик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1313w 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исходящий трафик между сетями фиксированной и подвижной связи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132mb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входящий и исходящий фиксированный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исходящий фиксированный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132mi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входящий фиксированный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133wm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трафик подвижной связи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1331wm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минут исходящей/исходной подвижной связи с той же самой сетью подвижной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1332wm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минут исходящей/исходной подвижной связи с другими сетями подвижной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1332wmf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минут исходящей подвижной связи с сетями фиксированной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1333wm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минут исходящей/исходной подвижной связи с международными сетями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1335wm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минут входящей международной связи с сетью подвижной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sms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Переданные SMS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133mm 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Переданные MMS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132tb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международный входящий и исходящий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международный исходящий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132ti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международный входящий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VoIP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VoIP в минутах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135tfb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Интернет–трафик с использованием фиксированной (проводной) широкополосной связи (Гбайт)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136mwi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Интернет–трафик с использованием подвижной широкополосной связи (в пределах страны) (Гбайт)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136mwo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Интернет–трафик с использованием подвижной широкополосной связи (за пределами страны, исходящий роуминг) (Гбайт)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услуги фиксированной местной телефонной связи - линии для квартирных абонентов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установку в рамках услуг телефонной связи для квартирных абонентов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абонентская плата за услуги телефонной связи для квартирных абонентов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трех минут разговора в случае местного вызова по сети фиксированной телефонной связи (тариф в период максимальной нагрузки)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трех минут разговора в случае местного вызова по сети фиксированной телефонной связи (тариф в обычное время)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услуги фиксированной местной телефонной связи - корпоративные линии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установку в рамках услуг корпоративной телефонной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абонентская плата за услуги корпоративной телефонной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подвижную сотовую 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подключение к сети подвижной сотовой связи с последующей оплатой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подключение к сети подвижной сотовой связи с предоплатой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абонентская плата за подвижную сотовую 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- стоимость трех минут местного вызова (в период максимальной нагрузки в той же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153pn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период максимальной нагрузки в той же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153ро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период максимальной нагрузки в другой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153pf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период максимальной нагрузки, с фиксированной линией связи)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153со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- стоимость трех минут местного вызова (в обычное время в той же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153pon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обычное время в той же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153роо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обычное время в другой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153pof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обычное время, с фиксированной линией связи)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153рwn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выходные дни/вечером в той же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153pwo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выходные дни/вечером в другой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153pwf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выходные дни/вечером, с фиксированной линией связи)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153sms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- стоимость SMS (в той же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153sms_po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- стоимость SMS (в другой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Интернет с широкополосным доступом посредством фиксированной (проводной)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4213bс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широкополосный доступ к Интернету с фиксированной (проводной) связью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4213bs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абонентская плата за пользование Интернетом с широкополосным доступом посредством фиксированной (проводной) связи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4213bs_s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передачи при использовании фиксированного широкополосного доступа, в Мбит/с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4213bs_с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объем трафика при использовании фиксированного (проводного) широкополосного доступа, в ГБ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4213bs_cp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превышение ограничения на широкополосный доступ посредством фиксированной (проводной)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обслуживания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очередников для фиксированных линий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неисправностей на 100 фиксированных линий за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неисправностей фиксированных телефонных линий, устраненных к следующему рабочему дню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146u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безуспешных вызовов при подвижной сотовой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отброшенных вызовов при подвижной сотовой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147c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 на 100 контрактов на фиксированную (проводную) широкополосную 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активации обслуживания в отношении услуги фиксированной (проводной) широкополосной связи (в днях)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персонала в сфере электросвязи, работающего полный рабочий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If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персонала в сфере электросвязи женского пола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51w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персонала в сфере подвижной электросвязи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доход от всех услуг электросвязи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услуг фиксированной телефонной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подвижной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годовые инвестиции в электросвязь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службу фиксированной телефонной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(проводную) широкополосную 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подвижную 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инвестиции в электросвязь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Платное телевидение (далее - ТВ)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965IP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подключения IPTV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подключения спутникового 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965cab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подключения кабельного 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965oth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абонентских подключений 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6</w:t>
            </w:r>
          </w:p>
        </w:tc>
      </w:tr>
    </w:tbl>
    <w:bookmarkStart w:name="z8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показателям Регионального содружества в области связи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предоставления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стационарных отделений почтовой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год, к 1 мая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почтальонов,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Почтово-кассовые терминалы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 (далее - ед.)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почтово-кассовые терминалы, используемые в качестве пунктов подключений к сети передачи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автомобилей, используемых на перевозке почты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контрольных сроков прохождения международных и внутренних отправлений EMS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контрольных сроков прохождения письменной корреспонденции (для внутренних отправлений)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Письменная корреспонденция,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письменная корреспонденция,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нее: международная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заказная письменная корреспонденция,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письменная корреспонденция с объявленной ценностью,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 (далее - тыс. ед.)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нее: международная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 периодических печатных изданий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отправленных и доставленных внутри страны по подписке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реализованных в розницу через сеть почтовых отделений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Гибридная почта,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 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пенсий и пособий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Посылки,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Отправления ускоренной почты (услуги EMS),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(далее - шт.)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почтовый обмен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него письменная корреспонденция,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письменная корреспонденция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заказная письменная корреспонденция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письменная корреспонденция с объявленной ценностью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мешки "М"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посылки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отправления от посылторговых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сообщения электронной почты (гибридная почта)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отправления ускоренной почты (услуги EMS)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переводы, всего, из них: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платный обмен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платный обмен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услуги почтовой связи: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пересылку простого письма в пределах страны (весом до 20 грамм):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национальной валюты (далее - ед. нац. валюты)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 (далее - дол. США)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бюджетных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коммерческих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пересылку почтового денежного перевода в пределах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бюджетных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коммерческих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пересылку обыкновенной посылки наземным транспортом в пределах страны (в номинальном весе на соответствующий период)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бюджетных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коммерческих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услуг почтовой связи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услуг почтовой связи на душу населения: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валюты/чел.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численность работников почтовой связи всего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человек (далее - тыс. чел.)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работающих на полную ставку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работающих женщин от общей численности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7</w:t>
            </w:r>
          </w:p>
        </w:tc>
      </w:tr>
    </w:tbl>
    <w:bookmarkStart w:name="z8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освоению бюджетных инвестиций и кредитов Фонда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предоставления бюджетных инвестиций/кредитов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проекта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предусмотренных Законом о республиканском бюджете бюджетных инвестиций/кредитов, млн.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выделенных бюджетных инвестиций/кредитов, млн.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освоенных средств исполнителем проекта, млн.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неосвоенных средств, млн.тенге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освоения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неосвоения бюджетных инвестиций/кредитов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инвестиции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8</w:t>
            </w:r>
          </w:p>
        </w:tc>
      </w:tr>
    </w:tbl>
    <w:bookmarkStart w:name="z8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IT-специалистам группы Фонда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IT-специалистов в группе Фонда (чел.)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IT-специалисты высшего уровня квалификации в разрезе специальностей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аналитик (чел.)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 (чел.)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IТ-специальности (чел.)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9</w:t>
            </w:r>
          </w:p>
        </w:tc>
      </w:tr>
    </w:tbl>
    <w:bookmarkStart w:name="z9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группы Фонда</w:t>
      </w:r>
      <w:r>
        <w:rPr>
          <w:rFonts w:ascii="Times New Roman"/>
          <w:b/>
          <w:i w:val="false"/>
          <w:color w:val="000000"/>
          <w:vertAlign w:val="superscript"/>
        </w:rPr>
        <w:t>7</w:t>
      </w:r>
      <w:r>
        <w:rPr>
          <w:rFonts w:ascii="Times New Roman"/>
          <w:b/>
          <w:i w:val="false"/>
          <w:color w:val="000000"/>
        </w:rPr>
        <w:t xml:space="preserve"> согласно Методике классификации юридических лиц, акции (доли участия) которых прямо или косвенно принадлежат Фонду</w:t>
      </w:r>
      <w:r>
        <w:rPr>
          <w:rFonts w:ascii="Times New Roman"/>
          <w:b/>
          <w:i w:val="false"/>
          <w:color w:val="000000"/>
          <w:vertAlign w:val="superscript"/>
        </w:rPr>
        <w:t>8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компаний (дочерняя организация/ассоциированная компания, совместное предприятие)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владения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организаций,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(АО)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(ТОО)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дочерних, зависимых и иных юридических лиц Фонда, являющихся аффилированными с ними, на которые Фонд имеет значительное влияние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Утверждена Правлением Фонда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Бизнес-идентификационный номер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10</w:t>
            </w:r>
          </w:p>
        </w:tc>
      </w:tr>
    </w:tbl>
    <w:bookmarkStart w:name="z9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развития Фонда, утвержденный Советом директоров Фонда, и отчет по его исполнению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20ХХ-2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20ХХ-1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Оценка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Макроэкономические показатели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потребительских цен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цена на нефть (Брент)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 за баррель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курс тенге к доллару США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за 1 доллар в среднем за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Реальный рост ВВП, в % к предыдущему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Ключевые показатели деятельности (КПД) по группе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Консолидированные финансовые показатели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Показатели финансовой устойчивости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основной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реализации, процентные доходы и прочие финансовые доходы (для ДО финансового сегмента по их основной деятельности), прочие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субсидии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неосновной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расходы на текущую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реализованной продукции/услуг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и административные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транспортировке и реализации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прибыль "+"/ убыток "-"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доходах/убытках организаций, учитываемых по методу долевого участия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Доход/ (убыток) от прекращенной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подоходному налогу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доход/(убыток) до вычета доли меньшинства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меньшинства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доход/ (убыток)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акционеру (Правительству)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расходы на развитие (инвестиции)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Фонда в Уставный капитал 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долей участия (без БВУ)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в рабочем состоянии производственных активов и прочих основных средств, непосредственно участвующих в процессе производственной деятельности 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инвестиционных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в уставный капитал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и долговые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20ХХ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20ХХ+1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20ХХ+2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20ХХ+3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20ХХ+4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План на год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 % к оценке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План на 1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План на 2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План на 3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Прогноз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Прогноз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Прогноз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Прогноз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11</w:t>
            </w:r>
          </w:p>
        </w:tc>
      </w:tr>
    </w:tbl>
    <w:bookmarkStart w:name="z10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причинах остатка на контрольном счете наличности Фонда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АРБП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компании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Неиспользованный остаток на контрольном счете наличности (далее – КСН) Фонда на начало года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средств, предусмотренных в Законе о РБ, в отчетном финансовом году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средств на КСН Фонда (гр.4 + гр.7)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на КСН Фонда за отчетный финансовый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 КСН Фонда за отчетный финансовый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Неиспользованный остаток на КСН Фонда на конец года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неиспользования средств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поступлений отчетного финансового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остатки средств отчетного финансового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74"/>
    <w:bookmarkStart w:name="z1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Администратор республиканской бюджетной программы</w:t>
      </w:r>
    </w:p>
    <w:bookmarkEnd w:id="75"/>
    <w:bookmarkStart w:name="z1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Бюджетная программа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12</w:t>
            </w:r>
          </w:p>
        </w:tc>
      </w:tr>
    </w:tbl>
    <w:bookmarkStart w:name="z10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передаче в конкурентную среду объектов Фонда, предусмотренных в постановлении Правительства Республики Казахстан от 30 декабря 2015 года № 1141 "О некоторых вопросах приватизации на 2016 – 2020 годы" (далее – ППРК № 1141)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актива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приложении № 3/№ 4 к ППРК 1141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собственности, всего, 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 продажу (передачу),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конкурентную среду, дата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продажи (подписание договора купли-продажи)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выбытия из структуры Фонда (продано, ликвидировано, реорганизовано)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продажи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ППРК № 1141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приложению 3 ППРК № 1141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приложению 4 ППРК № 1141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тыс. тенге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(собственный капитал)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(стартовая)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11=10-8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12=10-9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79"/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требуется заполнение по ликвидированным и реорганизованным активам</w:t>
      </w:r>
    </w:p>
    <w:bookmarkEnd w:id="80"/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финансовые показатели за отчетный год, предшествующий году продажи актива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13</w:t>
            </w:r>
          </w:p>
        </w:tc>
      </w:tr>
    </w:tbl>
    <w:bookmarkStart w:name="z11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Фонда о начисленных прочих распределениях в пользу Акционера по корпоративному центру Фонда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поручения,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14</w:t>
            </w:r>
          </w:p>
        </w:tc>
      </w:tr>
    </w:tbl>
    <w:bookmarkStart w:name="z11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перечислению дивидендов на государственный пакет акций Фонда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осуществляющий права владения и пользования государственным пакетом акции (далее – ГПА)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ГПА, в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по итогам года, предшествующего отчетному финансовому году (тыс.тенге)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дивидендов на ГПА в отчетном финансовом году (тыс.тенге)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состоянию на "____" ______________________ 20___г.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