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c715" w14:textId="051c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развития регионов на 2020 - 2025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декабря 2019 года № 990. Утратило силу постановлением Правительства Республики Казахстан от 23 сентября 2022 года № 733.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23.09.2022 </w:t>
      </w:r>
      <w:r>
        <w:rPr>
          <w:rFonts w:ascii="Times New Roman"/>
          <w:b w:val="false"/>
          <w:i w:val="false"/>
          <w:color w:val="ff0000"/>
          <w:sz w:val="28"/>
        </w:rPr>
        <w:t>№ 733</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Государственную программу</w:t>
      </w:r>
      <w:r>
        <w:rPr>
          <w:rFonts w:ascii="Times New Roman"/>
          <w:b w:val="false"/>
          <w:i w:val="false"/>
          <w:color w:val="000000"/>
          <w:sz w:val="28"/>
        </w:rPr>
        <w:t xml:space="preserve"> развития регионов на 2020 - 2025 годы (далее - Программа).</w:t>
      </w:r>
    </w:p>
    <w:bookmarkEnd w:id="1"/>
    <w:bookmarkStart w:name="z5" w:id="2"/>
    <w:p>
      <w:pPr>
        <w:spacing w:after="0"/>
        <w:ind w:left="0"/>
        <w:jc w:val="both"/>
      </w:pPr>
      <w:r>
        <w:rPr>
          <w:rFonts w:ascii="Times New Roman"/>
          <w:b w:val="false"/>
          <w:i w:val="false"/>
          <w:color w:val="000000"/>
          <w:sz w:val="28"/>
        </w:rPr>
        <w:t>
      2.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принять меры по реализации Программы.</w:t>
      </w:r>
    </w:p>
    <w:bookmarkEnd w:id="2"/>
    <w:bookmarkStart w:name="z6" w:id="3"/>
    <w:p>
      <w:pPr>
        <w:spacing w:after="0"/>
        <w:ind w:left="0"/>
        <w:jc w:val="both"/>
      </w:pPr>
      <w:r>
        <w:rPr>
          <w:rFonts w:ascii="Times New Roman"/>
          <w:b w:val="false"/>
          <w:i w:val="false"/>
          <w:color w:val="000000"/>
          <w:sz w:val="28"/>
        </w:rPr>
        <w:t xml:space="preserve">
      3. Ответственным центральным, местным исполнительным органам, государственным органам, непосредственно подчиненным и подотчетным Президенту Республики Казахстан (по согласованию), и иным организациям (по согласованию) представлять информацию об исполнении Плана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2019 года № 990</w:t>
            </w:r>
          </w:p>
        </w:tc>
      </w:tr>
    </w:tbl>
    <w:bookmarkStart w:name="z11" w:id="6"/>
    <w:p>
      <w:pPr>
        <w:spacing w:after="0"/>
        <w:ind w:left="0"/>
        <w:jc w:val="left"/>
      </w:pPr>
      <w:r>
        <w:rPr>
          <w:rFonts w:ascii="Times New Roman"/>
          <w:b/>
          <w:i w:val="false"/>
          <w:color w:val="000000"/>
        </w:rPr>
        <w:t xml:space="preserve"> Государственная программа развития регионов на 2020 - 2025 годы</w:t>
      </w:r>
    </w:p>
    <w:bookmarkEnd w:id="6"/>
    <w:bookmarkStart w:name="z12" w:id="7"/>
    <w:p>
      <w:pPr>
        <w:spacing w:after="0"/>
        <w:ind w:left="0"/>
        <w:jc w:val="left"/>
      </w:pPr>
      <w:r>
        <w:rPr>
          <w:rFonts w:ascii="Times New Roman"/>
          <w:b/>
          <w:i w:val="false"/>
          <w:color w:val="000000"/>
        </w:rPr>
        <w:t xml:space="preserve"> 1. Паспорт Государственной программы</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Государственная программа развития регионов на 2020 - 2025 годы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2025 года, утвержденный Указом Президента Республики Казахстан от 15 февраля 2018 года № 636;</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Прогнозная схема территориально-пространственного развития страны до 2030 года, утвержденная Указом Президента Республики Казахстан от 9 октября 2019 года № 185;</w:t>
            </w:r>
          </w:p>
          <w:p>
            <w:pPr>
              <w:spacing w:after="20"/>
              <w:ind w:left="20"/>
              <w:jc w:val="both"/>
            </w:pPr>
            <w:r>
              <w:rPr>
                <w:rFonts w:ascii="Times New Roman"/>
                <w:b w:val="false"/>
                <w:i w:val="false"/>
                <w:color w:val="000000"/>
                <w:sz w:val="20"/>
              </w:rPr>
              <w:t>
</w:t>
            </w:r>
            <w:r>
              <w:rPr>
                <w:rFonts w:ascii="Times New Roman"/>
                <w:b w:val="false"/>
                <w:i w:val="false"/>
                <w:color w:val="000000"/>
                <w:sz w:val="20"/>
              </w:rPr>
              <w:t>пункт 59 Общенационального плана мероприятий по реализации Послания Главы государства народу Казахстана от 5 октября 2018 года "Рост благосостояния казахстанцев: повышение доходов и качества жизни", утвержденного Указом Президента Республики Казахстан от 12 октября 2018 года № 772;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пункт 91 </w:t>
            </w:r>
            <w:r>
              <w:rPr>
                <w:rFonts w:ascii="Times New Roman"/>
                <w:b w:val="false"/>
                <w:i w:val="false"/>
                <w:color w:val="000000"/>
                <w:sz w:val="20"/>
              </w:rPr>
              <w:t>Плана действий</w:t>
            </w:r>
            <w:r>
              <w:rPr>
                <w:rFonts w:ascii="Times New Roman"/>
                <w:b w:val="false"/>
                <w:i w:val="false"/>
                <w:color w:val="000000"/>
                <w:sz w:val="20"/>
              </w:rPr>
              <w:t xml:space="preserve"> по реализации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 утвержденного Указом Президента Республики Казахстан от 19 июня 2019 года № 27;</w:t>
            </w:r>
          </w:p>
          <w:p>
            <w:pPr>
              <w:spacing w:after="20"/>
              <w:ind w:left="20"/>
              <w:jc w:val="both"/>
            </w:pPr>
            <w:r>
              <w:rPr>
                <w:rFonts w:ascii="Times New Roman"/>
                <w:b w:val="false"/>
                <w:i w:val="false"/>
                <w:color w:val="000000"/>
                <w:sz w:val="20"/>
              </w:rPr>
              <w:t>
</w:t>
            </w:r>
            <w:r>
              <w:rPr>
                <w:rFonts w:ascii="Times New Roman"/>
                <w:b w:val="false"/>
                <w:i w:val="false"/>
                <w:color w:val="000000"/>
                <w:sz w:val="20"/>
              </w:rPr>
              <w:t>поручения Елбасы, озвученные на XVIII очередном съезде партии "Нұр Отан" 27 февраля 2019 года, по вопросам реализации региональной политики</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Разработчик Программы</w:t>
            </w:r>
          </w:p>
        </w:tc>
        <w:tc>
          <w:tcPr>
            <w:tcW w:w="6150" w:type="dxa"/>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Министерство национальной экономики Республики Казахстан</w:t>
            </w:r>
          </w:p>
          <w:bookmarkEnd w:id="9"/>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xml:space="preserve">
Государственные органы, ответственные </w:t>
            </w:r>
          </w:p>
          <w:bookmarkEnd w:id="10"/>
          <w:p>
            <w:pPr>
              <w:spacing w:after="20"/>
              <w:ind w:left="20"/>
              <w:jc w:val="both"/>
            </w:pPr>
            <w:r>
              <w:rPr>
                <w:rFonts w:ascii="Times New Roman"/>
                <w:b w:val="false"/>
                <w:i w:val="false"/>
                <w:color w:val="000000"/>
                <w:sz w:val="20"/>
              </w:rPr>
              <w:t>
за реализацию Программы</w:t>
            </w:r>
          </w:p>
        </w:tc>
        <w:tc>
          <w:tcPr>
            <w:tcW w:w="6150" w:type="dxa"/>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Министерство национальной экономики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финансов Республики Казахстан, Министерство труда и социальной защиты населения Республики Казахстан, Министерство цифрового развития, инноваций и аэрокосмической промышленности Республики Казахстан, Министерство экологии, геологии и природных ресурсов Республики Казахстан, Министерство здравоохранения Республики Казахстан, Министерство внутренних дел Республики Казахстан, Министерство информации и общественного развития Республики Казахстан, Министерство образования и науки Республики Казахстан, Министерство энергетики Республики Казахстан, акиматы областей, городов Нур-Султана, Алматы и Шымкента, АО "ФНБ "Самрук-Казына" (по согласованию), АО "НГК "Казгеология" (по согласованию)</w:t>
            </w:r>
          </w:p>
          <w:bookmarkEnd w:id="11"/>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xml:space="preserve">
Цель </w:t>
            </w:r>
          </w:p>
          <w:bookmarkEnd w:id="12"/>
          <w:p>
            <w:pPr>
              <w:spacing w:after="20"/>
              <w:ind w:left="20"/>
              <w:jc w:val="both"/>
            </w:pPr>
            <w:r>
              <w:rPr>
                <w:rFonts w:ascii="Times New Roman"/>
                <w:b w:val="false"/>
                <w:i w:val="false"/>
                <w:color w:val="000000"/>
                <w:sz w:val="20"/>
              </w:rPr>
              <w:t>
Программы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экономической конкурентоспособности регионов и улучшение качества жизни населения через управляемую урбанизацию</w:t>
            </w:r>
          </w:p>
        </w:tc>
      </w:tr>
      <w:tr>
        <w:trPr>
          <w:trHeight w:val="30" w:hRule="atLeast"/>
        </w:trPr>
        <w:tc>
          <w:tcPr>
            <w:tcW w:w="6150" w:type="dxa"/>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xml:space="preserve">
Задачи </w:t>
            </w:r>
          </w:p>
          <w:bookmarkEnd w:id="13"/>
          <w:p>
            <w:pPr>
              <w:spacing w:after="20"/>
              <w:ind w:left="20"/>
              <w:jc w:val="both"/>
            </w:pPr>
            <w:r>
              <w:rPr>
                <w:rFonts w:ascii="Times New Roman"/>
                <w:b w:val="false"/>
                <w:i w:val="false"/>
                <w:color w:val="000000"/>
                <w:sz w:val="20"/>
              </w:rPr>
              <w:t xml:space="preserve">
Программы </w:t>
            </w:r>
          </w:p>
        </w:tc>
        <w:tc>
          <w:tcPr>
            <w:tcW w:w="6150" w:type="dxa"/>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 Развитие функциональных городских районов - агломераций с центрами в городах Нур-Султане, Алматы, Шымкенте и Актобе</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Развитие функциональных городских районов с центрами в областных центрах, городе Семее</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Развитие моногородов с численностью населения более 50 тысяч человек, не входящих в состав функциональных городских районов</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Развитие приграничных моно- и малых городов с прилегающими территориями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5. Развитие сельских населенных пунктов</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8" w:id="15"/>
          <w:p>
            <w:pPr>
              <w:spacing w:after="20"/>
              <w:ind w:left="20"/>
              <w:jc w:val="both"/>
            </w:pPr>
            <w:r>
              <w:rPr>
                <w:rFonts w:ascii="Times New Roman"/>
                <w:b w:val="false"/>
                <w:i w:val="false"/>
                <w:color w:val="000000"/>
                <w:sz w:val="20"/>
              </w:rPr>
              <w:t xml:space="preserve">
Сроки </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реализации</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2020 - 2025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57" w:type="dxa"/>
                  <w:tcBorders/>
                  <w:tcMar>
                    <w:top w:w="15" w:type="dxa"/>
                    <w:left w:w="15" w:type="dxa"/>
                    <w:bottom w:w="15" w:type="dxa"/>
                    <w:right w:w="15" w:type="dxa"/>
                  </w:tcMar>
                  <w:vAlign w:val="center"/>
                </w:tcPr>
                <w:bookmarkStart w:name="z30" w:id="16"/>
                <w:p>
                  <w:pPr>
                    <w:spacing w:after="20"/>
                    <w:ind w:left="20"/>
                    <w:jc w:val="both"/>
                  </w:pPr>
                  <w:r>
                    <w:rPr>
                      <w:rFonts w:ascii="Times New Roman"/>
                      <w:b w:val="false"/>
                      <w:i w:val="false"/>
                      <w:color w:val="000000"/>
                      <w:sz w:val="20"/>
                    </w:rPr>
                    <w:t>
2021</w:t>
                  </w:r>
                </w:p>
                <w:bookmarkEnd w:id="16"/>
                <w:p>
                  <w:pPr>
                    <w:spacing w:after="20"/>
                    <w:ind w:left="20"/>
                    <w:jc w:val="both"/>
                  </w:pPr>
                  <w:r>
                    <w:rPr>
                      <w:rFonts w:ascii="Times New Roman"/>
                      <w:b w:val="false"/>
                      <w:i w:val="false"/>
                      <w:color w:val="000000"/>
                      <w:sz w:val="20"/>
                    </w:rPr>
                    <w:t>
год</w:t>
                  </w:r>
                </w:p>
              </w:tc>
              <w:tc>
                <w:tcPr>
                  <w:tcW w:w="1757" w:type="dxa"/>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2022</w:t>
                  </w:r>
                </w:p>
                <w:bookmarkEnd w:id="17"/>
                <w:p>
                  <w:pPr>
                    <w:spacing w:after="20"/>
                    <w:ind w:left="20"/>
                    <w:jc w:val="both"/>
                  </w:pPr>
                  <w:r>
                    <w:rPr>
                      <w:rFonts w:ascii="Times New Roman"/>
                      <w:b w:val="false"/>
                      <w:i w:val="false"/>
                      <w:color w:val="000000"/>
                      <w:sz w:val="20"/>
                    </w:rPr>
                    <w:t>
год</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757" w:type="dxa"/>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xml:space="preserve">
2024 </w:t>
                  </w:r>
                </w:p>
                <w:bookmarkEnd w:id="18"/>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урбанизации*, % (на конец года)</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 в среднем</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Разрыв развития по ВРП на душу населения между регионами**, раз</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Темпы роста реальных денежных доходов населения***,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республике в среднем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Нур-Султан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bl>
          <w:p/>
          <w:bookmarkStart w:name="z33" w:id="19"/>
          <w:p>
            <w:pPr>
              <w:spacing w:after="20"/>
              <w:ind w:left="20"/>
              <w:jc w:val="both"/>
            </w:pPr>
            <w:r>
              <w:rPr>
                <w:rFonts w:ascii="Times New Roman"/>
                <w:b w:val="false"/>
                <w:i w:val="false"/>
                <w:color w:val="000000"/>
                <w:sz w:val="20"/>
              </w:rPr>
              <w:t>
* Прогнозные значения уровня урбанизации на 2020-2025 годы рассчитаны на основе темпов роста/снижения уровня урбанизации за 2000-2018 годы.</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 Прогнозные значения разрыва по ВРП на душу населения между регионами на 2020 - 2025 годы рассчитаны на основе анализа темпов роста/снижения объемов ВРП по 16 регионам за 2016-2017 годы и по 17 регионам за 2018 год.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Прогнозные значения темпов роста реальных денежных доходов населения на 2020 - 2025 годы рассчитаны на основе анализа темпов роста/снижения реальных денежных доходов по отношению к 2016 году.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Финансирование Государственной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Объемы финансирования Государственной программы составляют:</w:t>
            </w:r>
          </w:p>
          <w:p>
            <w:pPr>
              <w:spacing w:after="20"/>
              <w:ind w:left="20"/>
              <w:jc w:val="both"/>
            </w:pPr>
          </w:p>
          <w:bookmarkStart w:name="z38" w:id="21"/>
          <w:p>
            <w:pPr>
              <w:spacing w:after="20"/>
              <w:ind w:left="20"/>
              <w:jc w:val="both"/>
            </w:pPr>
            <w:r>
              <w:rPr>
                <w:rFonts w:ascii="Times New Roman"/>
                <w:b w:val="false"/>
                <w:i w:val="false"/>
                <w:color w:val="000000"/>
                <w:sz w:val="20"/>
              </w:rPr>
              <w:t>
млн. тенге</w:t>
            </w:r>
          </w:p>
          <w:bookmarkEnd w:id="21"/>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2020</w:t>
                  </w:r>
                </w:p>
                <w:bookmarkEnd w:id="22"/>
                <w:p>
                  <w:pPr>
                    <w:spacing w:after="20"/>
                    <w:ind w:left="20"/>
                    <w:jc w:val="both"/>
                  </w:pPr>
                  <w:r>
                    <w:rPr>
                      <w:rFonts w:ascii="Times New Roman"/>
                      <w:b w:val="false"/>
                      <w:i w:val="false"/>
                      <w:color w:val="000000"/>
                      <w:sz w:val="20"/>
                    </w:rPr>
                    <w:t>
год</w:t>
                  </w:r>
                </w:p>
              </w:tc>
              <w:tc>
                <w:tcPr>
                  <w:tcW w:w="1757" w:type="dxa"/>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2021</w:t>
                  </w:r>
                </w:p>
                <w:bookmarkEnd w:id="23"/>
                <w:p>
                  <w:pPr>
                    <w:spacing w:after="20"/>
                    <w:ind w:left="20"/>
                    <w:jc w:val="both"/>
                  </w:pPr>
                  <w:r>
                    <w:rPr>
                      <w:rFonts w:ascii="Times New Roman"/>
                      <w:b w:val="false"/>
                      <w:i w:val="false"/>
                      <w:color w:val="000000"/>
                      <w:sz w:val="20"/>
                    </w:rPr>
                    <w:t>
год</w:t>
                  </w:r>
                </w:p>
              </w:tc>
              <w:tc>
                <w:tcPr>
                  <w:tcW w:w="1757" w:type="dxa"/>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2022</w:t>
                  </w:r>
                </w:p>
                <w:bookmarkEnd w:id="24"/>
                <w:p>
                  <w:pPr>
                    <w:spacing w:after="20"/>
                    <w:ind w:left="20"/>
                    <w:jc w:val="both"/>
                  </w:pPr>
                  <w:r>
                    <w:rPr>
                      <w:rFonts w:ascii="Times New Roman"/>
                      <w:b w:val="false"/>
                      <w:i w:val="false"/>
                      <w:color w:val="000000"/>
                      <w:sz w:val="20"/>
                    </w:rPr>
                    <w:t>
год</w:t>
                  </w:r>
                </w:p>
              </w:tc>
              <w:tc>
                <w:tcPr>
                  <w:tcW w:w="1757" w:type="dxa"/>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2023</w:t>
                  </w:r>
                </w:p>
                <w:bookmarkEnd w:id="25"/>
                <w:p>
                  <w:pPr>
                    <w:spacing w:after="20"/>
                    <w:ind w:left="20"/>
                    <w:jc w:val="both"/>
                  </w:pPr>
                  <w:r>
                    <w:rPr>
                      <w:rFonts w:ascii="Times New Roman"/>
                      <w:b w:val="false"/>
                      <w:i w:val="false"/>
                      <w:color w:val="000000"/>
                      <w:sz w:val="20"/>
                    </w:rPr>
                    <w:t>
год</w:t>
                  </w:r>
                </w:p>
              </w:tc>
              <w:tc>
                <w:tcPr>
                  <w:tcW w:w="1757" w:type="dxa"/>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2024</w:t>
                  </w:r>
                </w:p>
                <w:bookmarkEnd w:id="26"/>
                <w:p>
                  <w:pPr>
                    <w:spacing w:after="20"/>
                    <w:ind w:left="20"/>
                    <w:jc w:val="both"/>
                  </w:pPr>
                  <w:r>
                    <w:rPr>
                      <w:rFonts w:ascii="Times New Roman"/>
                      <w:b w:val="false"/>
                      <w:i w:val="false"/>
                      <w:color w:val="000000"/>
                      <w:sz w:val="20"/>
                    </w:rPr>
                    <w:t>
год</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95 636</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средства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158 437</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77 618</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w:t>
                  </w: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 Объем средств будет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 </w:t>
            </w:r>
          </w:p>
        </w:tc>
      </w:tr>
    </w:tbl>
    <w:bookmarkStart w:name="z44" w:id="27"/>
    <w:p>
      <w:pPr>
        <w:spacing w:after="0"/>
        <w:ind w:left="0"/>
        <w:jc w:val="both"/>
      </w:pPr>
      <w:r>
        <w:rPr>
          <w:rFonts w:ascii="Times New Roman"/>
          <w:b w:val="false"/>
          <w:i w:val="false"/>
          <w:color w:val="000000"/>
          <w:sz w:val="28"/>
        </w:rPr>
        <w:t xml:space="preserve">
      </w:t>
      </w:r>
      <w:r>
        <w:rPr>
          <w:rFonts w:ascii="Times New Roman"/>
          <w:b/>
          <w:i w:val="false"/>
          <w:color w:val="000000"/>
          <w:sz w:val="28"/>
        </w:rPr>
        <w:t>2. Введение</w:t>
      </w:r>
    </w:p>
    <w:bookmarkEnd w:id="27"/>
    <w:bookmarkStart w:name="z45" w:id="28"/>
    <w:p>
      <w:pPr>
        <w:spacing w:after="0"/>
        <w:ind w:left="0"/>
        <w:jc w:val="both"/>
      </w:pPr>
      <w:r>
        <w:rPr>
          <w:rFonts w:ascii="Times New Roman"/>
          <w:b w:val="false"/>
          <w:i w:val="false"/>
          <w:color w:val="000000"/>
          <w:sz w:val="28"/>
        </w:rPr>
        <w:t xml:space="preserve">
      Государственная программа развития регионов на 2020 - 2025 годы (далее - Государственная программа) разработана в реализацию Стратегического плана развития Республики Казахстан до 2025 года, Прогнозной схемы территориально-пространственного развития страны до 2030 года (далее - Прогнозная схема), Послания Главы государства народу Казахстана от 5 октября 2018 года "Рост благосостояния казахстанцев: повышение доходов и качества жизни", поручений Елбасы, озвученных на XVIII очередном съезде партии "Нұр Отан", по вопросам реализации региональной политики. </w:t>
      </w:r>
    </w:p>
    <w:bookmarkEnd w:id="28"/>
    <w:bookmarkStart w:name="z46" w:id="29"/>
    <w:p>
      <w:pPr>
        <w:spacing w:after="0"/>
        <w:ind w:left="0"/>
        <w:jc w:val="both"/>
      </w:pPr>
      <w:r>
        <w:rPr>
          <w:rFonts w:ascii="Times New Roman"/>
          <w:b w:val="false"/>
          <w:i w:val="false"/>
          <w:color w:val="000000"/>
          <w:sz w:val="28"/>
        </w:rPr>
        <w:t>
      Прогнозная схема является инструментом реализации региональной политики и определяет долгосрочное видение развития страны в части расселения населения, размещения инфраструктуры, иных аспектов эффективного использования территорий.</w:t>
      </w:r>
    </w:p>
    <w:bookmarkEnd w:id="29"/>
    <w:bookmarkStart w:name="z47" w:id="30"/>
    <w:p>
      <w:pPr>
        <w:spacing w:after="0"/>
        <w:ind w:left="0"/>
        <w:jc w:val="both"/>
      </w:pPr>
      <w:r>
        <w:rPr>
          <w:rFonts w:ascii="Times New Roman"/>
          <w:b w:val="false"/>
          <w:i w:val="false"/>
          <w:color w:val="000000"/>
          <w:sz w:val="28"/>
        </w:rPr>
        <w:t>
      В Прогнозной схеме Казахстан рассматривается как открытая система, подверженная современным глобальным трендам (глобализация, цифровизация экономики, внешняя миграция). В Прогнозной схеме определены теоретические основы перспектив развития крупных и больших городов как драйверов роста несырьевого валового внутреннего продукта (далее - ВВП) страны.</w:t>
      </w:r>
    </w:p>
    <w:bookmarkEnd w:id="30"/>
    <w:bookmarkStart w:name="z48" w:id="31"/>
    <w:p>
      <w:pPr>
        <w:spacing w:after="0"/>
        <w:ind w:left="0"/>
        <w:jc w:val="both"/>
      </w:pPr>
      <w:r>
        <w:rPr>
          <w:rFonts w:ascii="Times New Roman"/>
          <w:b w:val="false"/>
          <w:i w:val="false"/>
          <w:color w:val="000000"/>
          <w:sz w:val="28"/>
        </w:rPr>
        <w:t>
      С учетом решаемых в рамках Государственной программы задач употребляются нижеследующие термины:</w:t>
      </w:r>
    </w:p>
    <w:bookmarkEnd w:id="31"/>
    <w:bookmarkStart w:name="z49" w:id="32"/>
    <w:p>
      <w:pPr>
        <w:spacing w:after="0"/>
        <w:ind w:left="0"/>
        <w:jc w:val="both"/>
      </w:pPr>
      <w:r>
        <w:rPr>
          <w:rFonts w:ascii="Times New Roman"/>
          <w:b w:val="false"/>
          <w:i w:val="false"/>
          <w:color w:val="000000"/>
          <w:sz w:val="28"/>
        </w:rPr>
        <w:t xml:space="preserve">
      1) агломерация - урбанизированное скопление близко расположенных населенных пунктов вокруг одного (моноцентрическая) или нескольких (полицентрическая) городов-ядер, объединенных между собой постоянными производственными, культурно-бытовыми и иными связями, а также имеющих тенденцию к территориальному слиянию. </w:t>
      </w:r>
    </w:p>
    <w:bookmarkEnd w:id="32"/>
    <w:bookmarkStart w:name="z50" w:id="33"/>
    <w:p>
      <w:pPr>
        <w:spacing w:after="0"/>
        <w:ind w:left="0"/>
        <w:jc w:val="both"/>
      </w:pPr>
      <w:r>
        <w:rPr>
          <w:rFonts w:ascii="Times New Roman"/>
          <w:b w:val="false"/>
          <w:i w:val="false"/>
          <w:color w:val="000000"/>
          <w:sz w:val="28"/>
        </w:rPr>
        <w:t>
      Основными критериями определения агломераций в Казахстане являются:</w:t>
      </w:r>
    </w:p>
    <w:bookmarkEnd w:id="33"/>
    <w:bookmarkStart w:name="z51" w:id="34"/>
    <w:p>
      <w:pPr>
        <w:spacing w:after="0"/>
        <w:ind w:left="0"/>
        <w:jc w:val="both"/>
      </w:pPr>
      <w:r>
        <w:rPr>
          <w:rFonts w:ascii="Times New Roman"/>
          <w:b w:val="false"/>
          <w:i w:val="false"/>
          <w:color w:val="000000"/>
          <w:sz w:val="28"/>
        </w:rPr>
        <w:t>
      административный статус города-центра (столица, город республиканского значения, город областного значения);</w:t>
      </w:r>
    </w:p>
    <w:bookmarkEnd w:id="34"/>
    <w:bookmarkStart w:name="z52" w:id="35"/>
    <w:p>
      <w:pPr>
        <w:spacing w:after="0"/>
        <w:ind w:left="0"/>
        <w:jc w:val="both"/>
      </w:pPr>
      <w:r>
        <w:rPr>
          <w:rFonts w:ascii="Times New Roman"/>
          <w:b w:val="false"/>
          <w:i w:val="false"/>
          <w:color w:val="000000"/>
          <w:sz w:val="28"/>
        </w:rPr>
        <w:t>
      демографическая емкость, что включает в себя высокую плотность населения региона, миграционный приток, ресурсную базу (земельные, водные, продовольственные ресурсы);</w:t>
      </w:r>
    </w:p>
    <w:bookmarkEnd w:id="35"/>
    <w:bookmarkStart w:name="z53" w:id="36"/>
    <w:p>
      <w:pPr>
        <w:spacing w:after="0"/>
        <w:ind w:left="0"/>
        <w:jc w:val="both"/>
      </w:pPr>
      <w:r>
        <w:rPr>
          <w:rFonts w:ascii="Times New Roman"/>
          <w:b w:val="false"/>
          <w:i w:val="false"/>
          <w:color w:val="000000"/>
          <w:sz w:val="28"/>
        </w:rPr>
        <w:t>
      логистический потенциал, что означает удобное географическое расположение, прохождение международных транспортных коридоров, наличие транспортного узла и инфраструктуры;</w:t>
      </w:r>
    </w:p>
    <w:bookmarkEnd w:id="36"/>
    <w:bookmarkStart w:name="z54" w:id="37"/>
    <w:p>
      <w:pPr>
        <w:spacing w:after="0"/>
        <w:ind w:left="0"/>
        <w:jc w:val="both"/>
      </w:pPr>
      <w:r>
        <w:rPr>
          <w:rFonts w:ascii="Times New Roman"/>
          <w:b w:val="false"/>
          <w:i w:val="false"/>
          <w:color w:val="000000"/>
          <w:sz w:val="28"/>
        </w:rPr>
        <w:t>
      экономический потенциал, то есть развитость города-центра (индустриально-инновационный, сервисный, трудовой, финансовый, научный потенциал);</w:t>
      </w:r>
    </w:p>
    <w:bookmarkEnd w:id="37"/>
    <w:bookmarkStart w:name="z55" w:id="38"/>
    <w:p>
      <w:pPr>
        <w:spacing w:after="0"/>
        <w:ind w:left="0"/>
        <w:jc w:val="both"/>
      </w:pPr>
      <w:r>
        <w:rPr>
          <w:rFonts w:ascii="Times New Roman"/>
          <w:b w:val="false"/>
          <w:i w:val="false"/>
          <w:color w:val="000000"/>
          <w:sz w:val="28"/>
        </w:rPr>
        <w:t>
      2) функциональный городской район (далее - ФГР) - это аналог агломерационных образований на региональном уровне. При этом ФГР объединяет:</w:t>
      </w:r>
    </w:p>
    <w:bookmarkEnd w:id="38"/>
    <w:bookmarkStart w:name="z56" w:id="39"/>
    <w:p>
      <w:pPr>
        <w:spacing w:after="0"/>
        <w:ind w:left="0"/>
        <w:jc w:val="both"/>
      </w:pPr>
      <w:r>
        <w:rPr>
          <w:rFonts w:ascii="Times New Roman"/>
          <w:b w:val="false"/>
          <w:i w:val="false"/>
          <w:color w:val="000000"/>
          <w:sz w:val="28"/>
        </w:rPr>
        <w:t>
      а) город-ядро с населением не менее 100 тыс. человек и плотностью не менее 1000 чел. на 1 кв. км (при этом не являющийся частью другого ФГР или моногородом);</w:t>
      </w:r>
    </w:p>
    <w:bookmarkEnd w:id="39"/>
    <w:bookmarkStart w:name="z57" w:id="40"/>
    <w:p>
      <w:pPr>
        <w:spacing w:after="0"/>
        <w:ind w:left="0"/>
        <w:jc w:val="both"/>
      </w:pPr>
      <w:r>
        <w:rPr>
          <w:rFonts w:ascii="Times New Roman"/>
          <w:b w:val="false"/>
          <w:i w:val="false"/>
          <w:color w:val="000000"/>
          <w:sz w:val="28"/>
        </w:rPr>
        <w:t>
      б) окружающие населенные пункты, расположенные в радиусе не более 30 км от города-ядра, не менее 15% трудового населения которых участвует в ежедневной маятниковой миграции в город-ядро;</w:t>
      </w:r>
    </w:p>
    <w:bookmarkEnd w:id="40"/>
    <w:bookmarkStart w:name="z58" w:id="41"/>
    <w:p>
      <w:pPr>
        <w:spacing w:after="0"/>
        <w:ind w:left="0"/>
        <w:jc w:val="both"/>
      </w:pPr>
      <w:r>
        <w:rPr>
          <w:rFonts w:ascii="Times New Roman"/>
          <w:b w:val="false"/>
          <w:i w:val="false"/>
          <w:color w:val="000000"/>
          <w:sz w:val="28"/>
        </w:rPr>
        <w:t>
      3) моногород - город, где основная часть (20% и более) промышленного производства и трудоспособного населения сосредоточена на одном или нескольких (немногих) градообразующих предприятиях, как правило, одного профиля и сырьевой направленности (моноспециализация), которые при этом определяют все экономические и социальные процессы, происходящие в городе.</w:t>
      </w:r>
    </w:p>
    <w:bookmarkEnd w:id="41"/>
    <w:bookmarkStart w:name="z59" w:id="42"/>
    <w:p>
      <w:pPr>
        <w:spacing w:after="0"/>
        <w:ind w:left="0"/>
        <w:jc w:val="both"/>
      </w:pPr>
      <w:r>
        <w:rPr>
          <w:rFonts w:ascii="Times New Roman"/>
          <w:b w:val="false"/>
          <w:i w:val="false"/>
          <w:color w:val="000000"/>
          <w:sz w:val="28"/>
        </w:rPr>
        <w:t>
      В категорию моногородов включены города с численностью населения от 10 до 200 тыс. человек, характеризующихся одним из следующих критериев:</w:t>
      </w:r>
    </w:p>
    <w:bookmarkEnd w:id="42"/>
    <w:bookmarkStart w:name="z60" w:id="43"/>
    <w:p>
      <w:pPr>
        <w:spacing w:after="0"/>
        <w:ind w:left="0"/>
        <w:jc w:val="both"/>
      </w:pPr>
      <w:r>
        <w:rPr>
          <w:rFonts w:ascii="Times New Roman"/>
          <w:b w:val="false"/>
          <w:i w:val="false"/>
          <w:color w:val="000000"/>
          <w:sz w:val="28"/>
        </w:rPr>
        <w:t>
      объем промышленного производства градообразующих предприятий города, в основном добывающего сектора, составляет более 20% от общегородского объема производства (моноспециализация);</w:t>
      </w:r>
    </w:p>
    <w:bookmarkEnd w:id="43"/>
    <w:bookmarkStart w:name="z61" w:id="44"/>
    <w:p>
      <w:pPr>
        <w:spacing w:after="0"/>
        <w:ind w:left="0"/>
        <w:jc w:val="both"/>
      </w:pPr>
      <w:r>
        <w:rPr>
          <w:rFonts w:ascii="Times New Roman"/>
          <w:b w:val="false"/>
          <w:i w:val="false"/>
          <w:color w:val="000000"/>
          <w:sz w:val="28"/>
        </w:rPr>
        <w:t>
      на градообразующих предприятиях города занято более 20% от общей численности занятого населения;</w:t>
      </w:r>
    </w:p>
    <w:bookmarkEnd w:id="44"/>
    <w:bookmarkStart w:name="z62" w:id="45"/>
    <w:p>
      <w:pPr>
        <w:spacing w:after="0"/>
        <w:ind w:left="0"/>
        <w:jc w:val="both"/>
      </w:pPr>
      <w:r>
        <w:rPr>
          <w:rFonts w:ascii="Times New Roman"/>
          <w:b w:val="false"/>
          <w:i w:val="false"/>
          <w:color w:val="000000"/>
          <w:sz w:val="28"/>
        </w:rPr>
        <w:t>
      города, в которых в настоящее время градообразующие предприятия работают частично или приостановили деятельность (при этом зачастую моногородам административно подчинены пригородные поселки и сельские населенные пункты, экономически тесно связанные с городом);</w:t>
      </w:r>
    </w:p>
    <w:bookmarkEnd w:id="45"/>
    <w:bookmarkStart w:name="z63" w:id="46"/>
    <w:p>
      <w:pPr>
        <w:spacing w:after="0"/>
        <w:ind w:left="0"/>
        <w:jc w:val="both"/>
      </w:pPr>
      <w:r>
        <w:rPr>
          <w:rFonts w:ascii="Times New Roman"/>
          <w:b w:val="false"/>
          <w:i w:val="false"/>
          <w:color w:val="000000"/>
          <w:sz w:val="28"/>
        </w:rPr>
        <w:t>
      4) малый город - город с численностью населения до 50 тыс. человек;</w:t>
      </w:r>
    </w:p>
    <w:bookmarkEnd w:id="46"/>
    <w:bookmarkStart w:name="z64" w:id="47"/>
    <w:p>
      <w:pPr>
        <w:spacing w:after="0"/>
        <w:ind w:left="0"/>
        <w:jc w:val="both"/>
      </w:pPr>
      <w:r>
        <w:rPr>
          <w:rFonts w:ascii="Times New Roman"/>
          <w:b w:val="false"/>
          <w:i w:val="false"/>
          <w:color w:val="000000"/>
          <w:sz w:val="28"/>
        </w:rPr>
        <w:t>
      5) опорный сельский населенный пункт - благоустроенный сельский населенный пункт (далее - СНП), в котором создается инфраструктура для обеспечения государственными и социальными услугами проживающему в нем населению и жителям прилегающих СНП, составляющих сельский кластер.</w:t>
      </w:r>
    </w:p>
    <w:bookmarkEnd w:id="47"/>
    <w:bookmarkStart w:name="z65" w:id="48"/>
    <w:p>
      <w:pPr>
        <w:spacing w:after="0"/>
        <w:ind w:left="0"/>
        <w:jc w:val="both"/>
      </w:pPr>
      <w:r>
        <w:rPr>
          <w:rFonts w:ascii="Times New Roman"/>
          <w:b w:val="false"/>
          <w:i w:val="false"/>
          <w:color w:val="000000"/>
          <w:sz w:val="28"/>
        </w:rPr>
        <w:t>
      Сельский кластер - совокупность опорного села и окружающих его сел на расстоянии около 10-15 км удаленности. При этом расстояние по формированию сельских кластеров составляет 10 км для густонаселенных (Туркестанская, Алматинская, Жамбылская, Мангистауская, Кызылординская области) и 15 км для средненаселенных регионов Республики Казахстан (Атырауская, Восточно-Казахстанская, Акмолинская, Костанайская, Западно-Казахстанская, Актюбинская, Северо-Казахстанская, Карагандинская, Павлодарская области);</w:t>
      </w:r>
    </w:p>
    <w:bookmarkEnd w:id="48"/>
    <w:bookmarkStart w:name="z66" w:id="49"/>
    <w:p>
      <w:pPr>
        <w:spacing w:after="0"/>
        <w:ind w:left="0"/>
        <w:jc w:val="both"/>
      </w:pPr>
      <w:r>
        <w:rPr>
          <w:rFonts w:ascii="Times New Roman"/>
          <w:b w:val="false"/>
          <w:i w:val="false"/>
          <w:color w:val="000000"/>
          <w:sz w:val="28"/>
        </w:rPr>
        <w:t>
      6) приграничные территории - территории административно-территориальных образований и населенных пунктов, расположенных на расстоянии до 50 км от Государственной границы Республики Казахстан;</w:t>
      </w:r>
    </w:p>
    <w:bookmarkEnd w:id="49"/>
    <w:bookmarkStart w:name="z67" w:id="50"/>
    <w:p>
      <w:pPr>
        <w:spacing w:after="0"/>
        <w:ind w:left="0"/>
        <w:jc w:val="both"/>
      </w:pPr>
      <w:r>
        <w:rPr>
          <w:rFonts w:ascii="Times New Roman"/>
          <w:b w:val="false"/>
          <w:i w:val="false"/>
          <w:color w:val="000000"/>
          <w:sz w:val="28"/>
        </w:rPr>
        <w:t>
      7) центры экономического роста - конкретные населенные пункты, выполняющие в экономике страны или региона функцию источника инноваций и прогресса, являющиеся благодаря "эффекту масштаба" полюсами притяжения (концентрации) факторов производства, и где размещаются предприятия динамично развивающихся отраслей, производящие новые товары и услуги.</w:t>
      </w:r>
    </w:p>
    <w:bookmarkEnd w:id="50"/>
    <w:bookmarkStart w:name="z68" w:id="51"/>
    <w:p>
      <w:pPr>
        <w:spacing w:after="0"/>
        <w:ind w:left="0"/>
        <w:jc w:val="both"/>
      </w:pPr>
      <w:r>
        <w:rPr>
          <w:rFonts w:ascii="Times New Roman"/>
          <w:b w:val="false"/>
          <w:i w:val="false"/>
          <w:color w:val="000000"/>
          <w:sz w:val="28"/>
        </w:rPr>
        <w:t xml:space="preserve">
      В настоящей Государственной программе в число центров экономического роста включены: </w:t>
      </w:r>
    </w:p>
    <w:bookmarkEnd w:id="51"/>
    <w:bookmarkStart w:name="z69" w:id="52"/>
    <w:p>
      <w:pPr>
        <w:spacing w:after="0"/>
        <w:ind w:left="0"/>
        <w:jc w:val="both"/>
      </w:pPr>
      <w:r>
        <w:rPr>
          <w:rFonts w:ascii="Times New Roman"/>
          <w:b w:val="false"/>
          <w:i w:val="false"/>
          <w:color w:val="000000"/>
          <w:sz w:val="28"/>
        </w:rPr>
        <w:t>
      в масштабах страны - ФГР с центрами в городах "первого уровня" (агломерации с центрами в городах Нур-Султане, Алматы, Шымкенте и Актобе);</w:t>
      </w:r>
    </w:p>
    <w:bookmarkEnd w:id="52"/>
    <w:bookmarkStart w:name="z70" w:id="53"/>
    <w:p>
      <w:pPr>
        <w:spacing w:after="0"/>
        <w:ind w:left="0"/>
        <w:jc w:val="both"/>
      </w:pPr>
      <w:r>
        <w:rPr>
          <w:rFonts w:ascii="Times New Roman"/>
          <w:b w:val="false"/>
          <w:i w:val="false"/>
          <w:color w:val="000000"/>
          <w:sz w:val="28"/>
        </w:rPr>
        <w:t>
      в масштабах регионов - ФГР с центрами в городах "второго уровня" (областные центры, город Семей);</w:t>
      </w:r>
    </w:p>
    <w:bookmarkEnd w:id="53"/>
    <w:bookmarkStart w:name="z71" w:id="54"/>
    <w:p>
      <w:pPr>
        <w:spacing w:after="0"/>
        <w:ind w:left="0"/>
        <w:jc w:val="both"/>
      </w:pPr>
      <w:r>
        <w:rPr>
          <w:rFonts w:ascii="Times New Roman"/>
          <w:b w:val="false"/>
          <w:i w:val="false"/>
          <w:color w:val="000000"/>
          <w:sz w:val="28"/>
        </w:rPr>
        <w:t>
      8) уполномоченный орган - центральный государственный орган Республики Казахстан, осуществляющий руководство, а также межотраслевую координацию в сфере регионального развития;</w:t>
      </w:r>
    </w:p>
    <w:bookmarkEnd w:id="54"/>
    <w:bookmarkStart w:name="z72" w:id="55"/>
    <w:p>
      <w:pPr>
        <w:spacing w:after="0"/>
        <w:ind w:left="0"/>
        <w:jc w:val="both"/>
      </w:pPr>
      <w:r>
        <w:rPr>
          <w:rFonts w:ascii="Times New Roman"/>
          <w:b w:val="false"/>
          <w:i w:val="false"/>
          <w:color w:val="000000"/>
          <w:sz w:val="28"/>
        </w:rPr>
        <w:t>
      9) Совет по региональной политике - консультативно-совещательный орган при Правительстве Республики Казахстан;</w:t>
      </w:r>
    </w:p>
    <w:bookmarkEnd w:id="55"/>
    <w:bookmarkStart w:name="z73" w:id="56"/>
    <w:p>
      <w:pPr>
        <w:spacing w:after="0"/>
        <w:ind w:left="0"/>
        <w:jc w:val="both"/>
      </w:pPr>
      <w:r>
        <w:rPr>
          <w:rFonts w:ascii="Times New Roman"/>
          <w:b w:val="false"/>
          <w:i w:val="false"/>
          <w:color w:val="000000"/>
          <w:sz w:val="28"/>
        </w:rPr>
        <w:t>
      10) Межведомственная комиссия по вопросам региональной политики - консультативно-совещательный орган при уполномоченном органе (далее - МВК);</w:t>
      </w:r>
    </w:p>
    <w:bookmarkEnd w:id="56"/>
    <w:bookmarkStart w:name="z74" w:id="57"/>
    <w:p>
      <w:pPr>
        <w:spacing w:after="0"/>
        <w:ind w:left="0"/>
        <w:jc w:val="both"/>
      </w:pPr>
      <w:r>
        <w:rPr>
          <w:rFonts w:ascii="Times New Roman"/>
          <w:b w:val="false"/>
          <w:i w:val="false"/>
          <w:color w:val="000000"/>
          <w:sz w:val="28"/>
        </w:rPr>
        <w:t>
      11) "якорный" инвестиционный проект - средний инвестиционный проект, реализуемый в несырьевых секторах экономики Казахстана и направленный на диверсификацию экономики моно- или малого города, на котором планируется создание не менее 50 постоянных рабочих мест.</w:t>
      </w:r>
    </w:p>
    <w:bookmarkEnd w:id="57"/>
    <w:bookmarkStart w:name="z75" w:id="58"/>
    <w:p>
      <w:pPr>
        <w:spacing w:after="0"/>
        <w:ind w:left="0"/>
        <w:jc w:val="both"/>
      </w:pPr>
      <w:r>
        <w:rPr>
          <w:rFonts w:ascii="Times New Roman"/>
          <w:b w:val="false"/>
          <w:i w:val="false"/>
          <w:color w:val="000000"/>
          <w:sz w:val="28"/>
        </w:rPr>
        <w:t xml:space="preserve">
      </w:t>
      </w:r>
      <w:r>
        <w:rPr>
          <w:rFonts w:ascii="Times New Roman"/>
          <w:b/>
          <w:i w:val="false"/>
          <w:color w:val="000000"/>
          <w:sz w:val="28"/>
        </w:rPr>
        <w:t>3. Анализ текущей ситуации</w:t>
      </w:r>
    </w:p>
    <w:bookmarkEnd w:id="58"/>
    <w:bookmarkStart w:name="z76" w:id="59"/>
    <w:p>
      <w:pPr>
        <w:spacing w:after="0"/>
        <w:ind w:left="0"/>
        <w:jc w:val="both"/>
      </w:pPr>
      <w:r>
        <w:rPr>
          <w:rFonts w:ascii="Times New Roman"/>
          <w:b w:val="false"/>
          <w:i w:val="false"/>
          <w:color w:val="000000"/>
          <w:sz w:val="28"/>
        </w:rPr>
        <w:t>
      Программа развития регионов реализуется с 2014 года (постановлением Правительства Республики Казахстан от 16 ноября 2018 года придан статус Государственной программы) и охватывает вопросы развития агломераций, моно- и малых городов, а также сел с высоким потенциалом развития.</w:t>
      </w:r>
    </w:p>
    <w:bookmarkEnd w:id="59"/>
    <w:bookmarkStart w:name="z77" w:id="60"/>
    <w:p>
      <w:pPr>
        <w:spacing w:after="0"/>
        <w:ind w:left="0"/>
        <w:jc w:val="both"/>
      </w:pPr>
      <w:r>
        <w:rPr>
          <w:rFonts w:ascii="Times New Roman"/>
          <w:b w:val="false"/>
          <w:i w:val="false"/>
          <w:color w:val="000000"/>
          <w:sz w:val="28"/>
        </w:rPr>
        <w:t>
      В 2019 году заканчивается первая пятилетка данной Программы и по итогам ее реализации были получены следующие результаты.</w:t>
      </w:r>
    </w:p>
    <w:bookmarkEnd w:id="60"/>
    <w:bookmarkStart w:name="z78" w:id="61"/>
    <w:p>
      <w:pPr>
        <w:spacing w:after="0"/>
        <w:ind w:left="0"/>
        <w:jc w:val="both"/>
      </w:pPr>
      <w:r>
        <w:rPr>
          <w:rFonts w:ascii="Times New Roman"/>
          <w:b w:val="false"/>
          <w:i w:val="false"/>
          <w:color w:val="000000"/>
          <w:sz w:val="28"/>
        </w:rPr>
        <w:t xml:space="preserve">
      Население 4-х крупных агломераций (с центрами в городах Нур-Султане, Алматы, Актобе и Шымкенте с близлежащими населенными пунктами) увеличилось на 1 млн. человек. </w:t>
      </w:r>
    </w:p>
    <w:bookmarkEnd w:id="61"/>
    <w:bookmarkStart w:name="z79" w:id="62"/>
    <w:p>
      <w:pPr>
        <w:spacing w:after="0"/>
        <w:ind w:left="0"/>
        <w:jc w:val="both"/>
      </w:pPr>
      <w:r>
        <w:rPr>
          <w:rFonts w:ascii="Times New Roman"/>
          <w:b w:val="false"/>
          <w:i w:val="false"/>
          <w:color w:val="000000"/>
          <w:sz w:val="28"/>
        </w:rPr>
        <w:t xml:space="preserve">
      Снижен износ сетей водоснабжения в моногородах на 10% и электросетей на 12%. </w:t>
      </w:r>
    </w:p>
    <w:bookmarkEnd w:id="62"/>
    <w:bookmarkStart w:name="z80" w:id="63"/>
    <w:p>
      <w:pPr>
        <w:spacing w:after="0"/>
        <w:ind w:left="0"/>
        <w:jc w:val="both"/>
      </w:pPr>
      <w:r>
        <w:rPr>
          <w:rFonts w:ascii="Times New Roman"/>
          <w:b w:val="false"/>
          <w:i w:val="false"/>
          <w:color w:val="000000"/>
          <w:sz w:val="28"/>
        </w:rPr>
        <w:t xml:space="preserve">
      За 5 лет 17 тыс. специалистам социальной сферы и агропромышленного комплекса выданы льготные бюджетные кредиты на покупку жилья по программе "С дипломом в село!". </w:t>
      </w:r>
    </w:p>
    <w:bookmarkEnd w:id="63"/>
    <w:bookmarkStart w:name="z81" w:id="64"/>
    <w:p>
      <w:pPr>
        <w:spacing w:after="0"/>
        <w:ind w:left="0"/>
        <w:jc w:val="both"/>
      </w:pPr>
      <w:r>
        <w:rPr>
          <w:rFonts w:ascii="Times New Roman"/>
          <w:b w:val="false"/>
          <w:i w:val="false"/>
          <w:color w:val="000000"/>
          <w:sz w:val="28"/>
        </w:rPr>
        <w:t>
      В рамках поддержки системы местного самоуправления были реализованы 8 тыс. проектов по благоустройству сел. Улучшена инфраструктура в селах для 700 тыс. сельчан.</w:t>
      </w:r>
    </w:p>
    <w:bookmarkEnd w:id="64"/>
    <w:bookmarkStart w:name="z82" w:id="65"/>
    <w:p>
      <w:pPr>
        <w:spacing w:after="0"/>
        <w:ind w:left="0"/>
        <w:jc w:val="both"/>
      </w:pPr>
      <w:r>
        <w:rPr>
          <w:rFonts w:ascii="Times New Roman"/>
          <w:b w:val="false"/>
          <w:i w:val="false"/>
          <w:color w:val="000000"/>
          <w:sz w:val="28"/>
        </w:rPr>
        <w:t>
      Всего на указанные мероприятия было выделено 252 млрд. тенге.</w:t>
      </w:r>
    </w:p>
    <w:bookmarkEnd w:id="65"/>
    <w:bookmarkStart w:name="z83" w:id="66"/>
    <w:p>
      <w:pPr>
        <w:spacing w:after="0"/>
        <w:ind w:left="0"/>
        <w:jc w:val="both"/>
      </w:pPr>
      <w:r>
        <w:rPr>
          <w:rFonts w:ascii="Times New Roman"/>
          <w:b w:val="false"/>
          <w:i w:val="false"/>
          <w:color w:val="000000"/>
          <w:sz w:val="28"/>
        </w:rPr>
        <w:t>
      Также проводились мероприятия по развитию водоснабжения и строительству жилья.</w:t>
      </w:r>
    </w:p>
    <w:bookmarkEnd w:id="66"/>
    <w:bookmarkStart w:name="z84" w:id="67"/>
    <w:p>
      <w:pPr>
        <w:spacing w:after="0"/>
        <w:ind w:left="0"/>
        <w:jc w:val="both"/>
      </w:pPr>
      <w:r>
        <w:rPr>
          <w:rFonts w:ascii="Times New Roman"/>
          <w:b w:val="false"/>
          <w:i w:val="false"/>
          <w:color w:val="000000"/>
          <w:sz w:val="28"/>
        </w:rPr>
        <w:t>
      С 2017 года мероприятия по строительству жилья были интегрированы в Государственную программу жилищного строительства "Нурлы жер" на 2015-2019 годы. С 2020 года вопросы водоснабжения, водоотведения и жилищно-коммунального хозяйства будут реализовываться в рамках Государственной программы жилищно-коммунального развития "Нұрлы жер" на 2020 - 2025 годы.</w:t>
      </w:r>
    </w:p>
    <w:bookmarkEnd w:id="67"/>
    <w:bookmarkStart w:name="z85" w:id="68"/>
    <w:p>
      <w:pPr>
        <w:spacing w:after="0"/>
        <w:ind w:left="0"/>
        <w:jc w:val="both"/>
      </w:pPr>
      <w:r>
        <w:rPr>
          <w:rFonts w:ascii="Times New Roman"/>
          <w:b w:val="false"/>
          <w:i w:val="false"/>
          <w:color w:val="000000"/>
          <w:sz w:val="28"/>
        </w:rPr>
        <w:t>
      За 5 лет реализации Государственной программы развития регионов на развитие инженерной инфраструктуры было выделено 1,4 трлн.тенге.</w:t>
      </w:r>
    </w:p>
    <w:bookmarkEnd w:id="68"/>
    <w:bookmarkStart w:name="z86" w:id="69"/>
    <w:p>
      <w:pPr>
        <w:spacing w:after="0"/>
        <w:ind w:left="0"/>
        <w:jc w:val="both"/>
      </w:pPr>
      <w:r>
        <w:rPr>
          <w:rFonts w:ascii="Times New Roman"/>
          <w:b w:val="false"/>
          <w:i w:val="false"/>
          <w:color w:val="000000"/>
          <w:sz w:val="28"/>
        </w:rPr>
        <w:t xml:space="preserve">
      Исследования Всемирного банка (далее - ВБ), Программы развития ООН (далее - ПРООН), Организации экономического сотрудничества и развития (далее - ОЭСР) свидетельствуют, что в настоящее время долгосрочными драйверами экономического роста государств являются не отдельные отрасли или регионы (области) как таковые, а концентрация рабочей силы (талантливой молодежи и специалистов) в крупных городах с привлекательными условиями жизни. ПРООН в Национальном докладе о человеческом развитии в Республике Казахстан за 2018 год "Урбанизация как ускоритель инклюзивного и устойчивого развития в Казахстане" констатирует, что, по сути, очень немногим странам удалось достичь уровня дохода на душу населения в размере 10 тыс. долларов США при доле городского населения менее 60%. В этой связи там же отмечается, что хотя урбанизация сама по себе не гарантирует экономический рост, устойчивое экономическое развитие не происходит в отсутствие урбанизации. </w:t>
      </w:r>
    </w:p>
    <w:bookmarkEnd w:id="69"/>
    <w:bookmarkStart w:name="z87" w:id="70"/>
    <w:p>
      <w:pPr>
        <w:spacing w:after="0"/>
        <w:ind w:left="0"/>
        <w:jc w:val="both"/>
      </w:pPr>
      <w:r>
        <w:rPr>
          <w:rFonts w:ascii="Times New Roman"/>
          <w:b w:val="false"/>
          <w:i w:val="false"/>
          <w:color w:val="000000"/>
          <w:sz w:val="28"/>
        </w:rPr>
        <w:t>
      Анализ регионального развития экономически развитых стран свидетельствует, что рост городов является важным институциональным условием социально-экономического подъема и для Казахстана. Так, уровень урбанизации в топ-"тридцатке" стран по Индексу человеческого развития составляет 80% и более. В странах ОЭСР данный показатель достиг в среднем 77%. Фактически аналогичная ситуация наблюдается в странах с огромными территориями и малой плотностью населения на единицу площади, наподобие Казахстана, но с высоким уровнем ВВП на душу населения или динамично развивающихся. Так, в Австралии доля городского населения составляет около 90%, Канаде - 82%, Аргентине - 87%, Бразилии - 75%. Одновременно для всех перечисленных стран характерным является проживание основной части городского населения в крупнейших и известных во всем мире городах (Сидней, Мельбурн, Торонто, Монреаль, Буэнос-Айрес, Сан-Паулу, Рио-де-Жанейро и другие).</w:t>
      </w:r>
    </w:p>
    <w:bookmarkEnd w:id="70"/>
    <w:bookmarkStart w:name="z88" w:id="71"/>
    <w:p>
      <w:pPr>
        <w:spacing w:after="0"/>
        <w:ind w:left="0"/>
        <w:jc w:val="both"/>
      </w:pPr>
      <w:r>
        <w:rPr>
          <w:rFonts w:ascii="Times New Roman"/>
          <w:b w:val="false"/>
          <w:i w:val="false"/>
          <w:color w:val="000000"/>
          <w:sz w:val="28"/>
        </w:rPr>
        <w:t>
      В этом плане еще в 2006 году была принята Стратегия территориального развития Республики Казахстан до 2015 года. Уникальность документа в том, что впервые в Казахстане в противовес существовавшей теории равномерного развития областей признано необходимым формирование центров экономического роста на страновом и региональном уровнях. Это подразумевало приоритетное развитие столицы, города республиканского значения - Алматы и областных центров. В данную Стратегию была заложена идея, что имеется прямая зависимость между ростом крупных и больших городов или урбанистическими процессами и инновационным развитием экономики, улучшением качества жизни.</w:t>
      </w:r>
    </w:p>
    <w:bookmarkEnd w:id="71"/>
    <w:bookmarkStart w:name="z89" w:id="72"/>
    <w:p>
      <w:pPr>
        <w:spacing w:after="0"/>
        <w:ind w:left="0"/>
        <w:jc w:val="both"/>
      </w:pPr>
      <w:r>
        <w:rPr>
          <w:rFonts w:ascii="Times New Roman"/>
          <w:b w:val="false"/>
          <w:i w:val="false"/>
          <w:color w:val="000000"/>
          <w:sz w:val="28"/>
        </w:rPr>
        <w:t>
      В целом за последние 10 лет численность городского населения увеличивается с опережением в сравнении с ростом сельского населения. Так, численность горожан с 2009 по 2019 годы (данные на начало года) увеличилась на 23,5%, сельского - на 5,2%, при росте всего населения страны на 15,1%.</w:t>
      </w:r>
    </w:p>
    <w:bookmarkEnd w:id="72"/>
    <w:bookmarkStart w:name="z90" w:id="73"/>
    <w:p>
      <w:pPr>
        <w:spacing w:after="0"/>
        <w:ind w:left="0"/>
        <w:jc w:val="both"/>
      </w:pPr>
      <w:r>
        <w:rPr>
          <w:rFonts w:ascii="Times New Roman"/>
          <w:b w:val="false"/>
          <w:i w:val="false"/>
          <w:color w:val="000000"/>
          <w:sz w:val="28"/>
        </w:rPr>
        <w:t>
      Уровень урбанизации в Казахстане составил на начало 2019 года 58,2% или увеличился за 2018 год на 0,8 процентных пункта (в 2017 году - 57,4%, в 2016 году - 57,2%, в 2015 году - 56,8% и в 2014 году - 56,6%).</w:t>
      </w:r>
    </w:p>
    <w:bookmarkEnd w:id="73"/>
    <w:bookmarkStart w:name="z91" w:id="74"/>
    <w:p>
      <w:pPr>
        <w:spacing w:after="0"/>
        <w:ind w:left="0"/>
        <w:jc w:val="both"/>
      </w:pPr>
      <w:r>
        <w:rPr>
          <w:rFonts w:ascii="Times New Roman"/>
          <w:b w:val="false"/>
          <w:i w:val="false"/>
          <w:color w:val="000000"/>
          <w:sz w:val="28"/>
        </w:rPr>
        <w:t>
      Однако, несмотря на намеченные Стратегией территориального развития Республики Казахстан до 2015 года и Прогнозной схемой территориально-пространственного развития страны до 2020 года меры по развитию крупных и больших городов, темпы урбанизации в Казахстане имеют неоднозначную картину. Так с 1990 по 2001 годы доля городского населения уменьшилась с 54,8% до 50,3% и на 1 января 2019 года достигла уровня 58,2%. Эти данные свидетельствуют, что за 28 лет фактический рост городского населения составил (по тем или иным причинам) всего около 3%, тогда как уровня урбанизации с 56% до 70% достигли: Южная Корея за 7 лет (1980-1987 годы), Саудовская Аравия - 8 лет (1974-1982), Малайзия - 12 лет (1996-2008).</w:t>
      </w:r>
    </w:p>
    <w:bookmarkEnd w:id="74"/>
    <w:bookmarkStart w:name="z92" w:id="75"/>
    <w:p>
      <w:pPr>
        <w:spacing w:after="0"/>
        <w:ind w:left="0"/>
        <w:jc w:val="both"/>
      </w:pPr>
      <w:r>
        <w:rPr>
          <w:rFonts w:ascii="Times New Roman"/>
          <w:b w:val="false"/>
          <w:i w:val="false"/>
          <w:color w:val="000000"/>
          <w:sz w:val="28"/>
        </w:rPr>
        <w:t>
      Кроме недостаточных темпов урбанизации, в Казахстане имеется ряд других проблем городского развития. Это:</w:t>
      </w:r>
    </w:p>
    <w:bookmarkEnd w:id="75"/>
    <w:bookmarkStart w:name="z93" w:id="76"/>
    <w:p>
      <w:pPr>
        <w:spacing w:after="0"/>
        <w:ind w:left="0"/>
        <w:jc w:val="both"/>
      </w:pPr>
      <w:r>
        <w:rPr>
          <w:rFonts w:ascii="Times New Roman"/>
          <w:b w:val="false"/>
          <w:i w:val="false"/>
          <w:color w:val="000000"/>
          <w:sz w:val="28"/>
        </w:rPr>
        <w:t>
      1) "недоурбанизированность" страны, поскольку имеется много малых/средних городов (27 моно- и 41 малый город), а на долю 3-х крупных городов (Нур-Султан, Алматы, Шымкент) приходится только 21% всего населения. Это ниже, чем в большинстве стран ОЭСР - средняя: 38% (ОЭСР, семинар в г. Астане, 4-7 декабря 2018 года).</w:t>
      </w:r>
    </w:p>
    <w:bookmarkEnd w:id="76"/>
    <w:bookmarkStart w:name="z94" w:id="77"/>
    <w:p>
      <w:pPr>
        <w:spacing w:after="0"/>
        <w:ind w:left="0"/>
        <w:jc w:val="both"/>
      </w:pPr>
      <w:r>
        <w:rPr>
          <w:rFonts w:ascii="Times New Roman"/>
          <w:b w:val="false"/>
          <w:i w:val="false"/>
          <w:color w:val="000000"/>
          <w:sz w:val="28"/>
        </w:rPr>
        <w:t xml:space="preserve">
      2) высокая стоимость жизни в крупных городах страны по сравнению с малыми городами и сельской местностью, а также почти полное отсутствие арендного жилья за пределами столицы (например, во Франции 40% жилищного фонда - арендное жилье). В городах Алматы и Нур-Султане стоимость жизни на 190% и 240% дороже, чем в среднем по стране. Как отметил представитель ВБ на семинаре, организованном ОЭСР 4-7 декабря 2018 года в городе Астане, расходы на жилье в столице и Алматы "более недоступны, чем в знаменитых эксклюзивных городах, таких как Сан-Франциско и Ванкувер". В этой связи в нынешних условиях сельские семьи не могут свободно переместиться в крупные города, где перспективы занятости лучше, а средние доходы выше. Высокая стоимость жизни в городах, наряду с отсутствием рынка арендного жилья, делает самые динамичные населенные пункты недоступными для большинства семей с низкими доходами, то есть сельских жителей и жителей отдаленных моно- и малых городов. </w:t>
      </w:r>
    </w:p>
    <w:bookmarkEnd w:id="77"/>
    <w:bookmarkStart w:name="z95" w:id="78"/>
    <w:p>
      <w:pPr>
        <w:spacing w:after="0"/>
        <w:ind w:left="0"/>
        <w:jc w:val="both"/>
      </w:pPr>
      <w:r>
        <w:rPr>
          <w:rFonts w:ascii="Times New Roman"/>
          <w:b w:val="false"/>
          <w:i w:val="false"/>
          <w:color w:val="000000"/>
          <w:sz w:val="28"/>
        </w:rPr>
        <w:t xml:space="preserve">
      3) недостаточная внутренняя мобильность населения, которая значительно ниже, чем в США, Японии, Канаде, Китае и других экономически развитых государствах. Однако внутренняя миграция является решающим фактором будущего экономического роста страны, поскольку необходима концентрация специалистов в крупных городах, являющихся драйверами развития. </w:t>
      </w:r>
    </w:p>
    <w:bookmarkEnd w:id="78"/>
    <w:bookmarkStart w:name="z96" w:id="79"/>
    <w:p>
      <w:pPr>
        <w:spacing w:after="0"/>
        <w:ind w:left="0"/>
        <w:jc w:val="both"/>
      </w:pPr>
      <w:r>
        <w:rPr>
          <w:rFonts w:ascii="Times New Roman"/>
          <w:b w:val="false"/>
          <w:i w:val="false"/>
          <w:color w:val="000000"/>
          <w:sz w:val="28"/>
        </w:rPr>
        <w:t xml:space="preserve">
      4) слабая интеграция сельского населения в городскую среду, связанная с формированием элементов "ложной урбанизации", то есть рост городского населения и расширение территорий без вовлечения новых горожан в культурно-экономическую среду. Так, в городах возникают очаги сельского образа жизни с маргинализацией жителей и увеличением доли самозанятых. </w:t>
      </w:r>
    </w:p>
    <w:bookmarkEnd w:id="79"/>
    <w:bookmarkStart w:name="z97" w:id="80"/>
    <w:p>
      <w:pPr>
        <w:spacing w:after="0"/>
        <w:ind w:left="0"/>
        <w:jc w:val="both"/>
      </w:pPr>
      <w:r>
        <w:rPr>
          <w:rFonts w:ascii="Times New Roman"/>
          <w:b w:val="false"/>
          <w:i w:val="false"/>
          <w:color w:val="000000"/>
          <w:sz w:val="28"/>
        </w:rPr>
        <w:t xml:space="preserve">
      5) преобладание индивидуальной жилищной застройки, в основном, на периферии городов, формирует малонаселенные (некомпактные) жилые районы. Эти районы зачастую не в полной мере обеспечены коммунальной инфраструктурой, в первую очередь канализацией. </w:t>
      </w:r>
    </w:p>
    <w:bookmarkEnd w:id="80"/>
    <w:bookmarkStart w:name="z98" w:id="81"/>
    <w:p>
      <w:pPr>
        <w:spacing w:after="0"/>
        <w:ind w:left="0"/>
        <w:jc w:val="both"/>
      </w:pPr>
      <w:r>
        <w:rPr>
          <w:rFonts w:ascii="Times New Roman"/>
          <w:b w:val="false"/>
          <w:i w:val="false"/>
          <w:color w:val="000000"/>
          <w:sz w:val="28"/>
        </w:rPr>
        <w:t>
      6) согласно рекомендациям ОЭСР (Обзор политики городского развития, разработанный и опубликованный в соответствии с постановлением Правительства Республики Казахстан от 20 января 2015 года № 10 "О подписании Меморандума о взаимопонимании между Правительством Республики Казахстан и Организацией экономического сотрудничества и развития о реализации проекта Страновой программы по сотрудничеству между Казахстаном и Организацией экономического сотрудничества и развития") необходимо приведение в соответствие отдельных положений генеральных планов городов со стратегическими и программными документами и бюджетным планированием в связи с тем, что у части городов недостаточно изложены концепции развития, которые комплексно предусматривали бы экономические, социальные, экологические меры, а также решали бы вопросы рационального землепользования (особенно на периферии городов) и финансирования модернизации инженерной инфраструктуры. В регионах сохраняются устаревшие подходы к городскому развитию, слабо применяются современные стандарты качества и принципы развития городской среды. В городах остаются специализированные территории - центр-окраины, спальные и промышленные районы, торговые районы и зоны отдыха, недоступные населению без использования транспорта. Жилищная застройка на периферии городов осуществляется с увеличением городских территорий в ущерб землям сельскохозяйственного назначения и зон рекреации.</w:t>
      </w:r>
    </w:p>
    <w:bookmarkEnd w:id="81"/>
    <w:bookmarkStart w:name="z99" w:id="82"/>
    <w:p>
      <w:pPr>
        <w:spacing w:after="0"/>
        <w:ind w:left="0"/>
        <w:jc w:val="both"/>
      </w:pPr>
      <w:r>
        <w:rPr>
          <w:rFonts w:ascii="Times New Roman"/>
          <w:b w:val="false"/>
          <w:i w:val="false"/>
          <w:color w:val="000000"/>
          <w:sz w:val="28"/>
        </w:rPr>
        <w:t xml:space="preserve">
      В целом недостаточный уровень урбанизации и, как отмечено выше недостаточная доля населения крупных городов ("недоурбанизированность" страны) влекут существенные диспропорции в развитии регионов. Так, по предварительным итогам 2018 года, разрыв по валовому региональному продукту (далее - ВРП) на душу населения между регионами с наибольшим и наименьшим значениями данного показателя (Атырауская и Туркестанская области) составляет 15 раз. Это связано, с одной стороны, со значительным ростом ВРП на душу населения по Атырауской области (с 9,4 млн. тенге в 2017 году до 12,6 млн. тенге в 2018 году), обусловленным сложившейся конъюнктурой цен на сырьевых товарных рынках. Вместе с тем, имеется ряд областей (Алматинская, Жамбылская, Туркестанская), где ВРП на душу населения значительно ниже (в 3-4 раза) среднереспубликанского (3,3 млн.тенге). Эти три региона являются областями с наименьшим уровнем урбанизации (менее 40%), с большой долей сельского населения и, соответственно, проблемами занятости и низких доходов. </w:t>
      </w:r>
    </w:p>
    <w:bookmarkEnd w:id="82"/>
    <w:bookmarkStart w:name="z100" w:id="83"/>
    <w:p>
      <w:pPr>
        <w:spacing w:after="0"/>
        <w:ind w:left="0"/>
        <w:jc w:val="both"/>
      </w:pPr>
      <w:r>
        <w:rPr>
          <w:rFonts w:ascii="Times New Roman"/>
          <w:b w:val="false"/>
          <w:i w:val="false"/>
          <w:color w:val="000000"/>
          <w:sz w:val="28"/>
        </w:rPr>
        <w:t>
      Диспропорции в развитии регионов также выражены в неодинаковой обеспеченности инженерной и транспортной инфраструктурой. Так, удельный вес местных автомобильных дорог в неудовлетворительном состоянии отмечен в областях: Западно-Казахстанской - 72%, Актюбинской - 50,5%, Атырауской - 48,9%, Северо-Казахстанской - 42% и Кызылординской - 37%. Уровень обеспеченности регионов централизованным водоснабжением показывает, что в сельской местности наименее обеспечены Жамбылская (53,3%), Восточно-Казахстанская (51,1%), Западно-Казахстанская (44,8%), Костанайская (31,2%), Павлодарская (27,9%) области. Системами водоотведения СНП обеспечены в областях: Мангистауской - 3,8%, Северо-Казахстанской - 0,6%, Кызылординской - 0,4%. Согласно проведенному анализу обеспеченности водоотведением СНП в Жамбылской и Западно-Казахстанской областях эти системы отсутствуют. Кроме того, износ сетей электроснабжения в Западно-Казахстанской области доходит до 85%, износ оборудования теплоисточников в отдельных населенных пунктах (Аркалык и другие) также доходит до 85%.</w:t>
      </w:r>
    </w:p>
    <w:bookmarkEnd w:id="83"/>
    <w:bookmarkStart w:name="z101" w:id="84"/>
    <w:p>
      <w:pPr>
        <w:spacing w:after="0"/>
        <w:ind w:left="0"/>
        <w:jc w:val="both"/>
      </w:pPr>
      <w:r>
        <w:rPr>
          <w:rFonts w:ascii="Times New Roman"/>
          <w:b w:val="false"/>
          <w:i w:val="false"/>
          <w:color w:val="000000"/>
          <w:sz w:val="28"/>
        </w:rPr>
        <w:t xml:space="preserve">
      Недостаточный уровень урбанизации, сырьевой профиль экономики регионов, кроме городов Нур-Султана и Алматы, низкая производительность труда в сельском хозяйстве, недостаточный объем привлекаемых инвестиций, неразвитость отдельных секторов экономики (обрабатывающая промышленность, внутренний туризм и другие) также влекут устойчивую диспропорцию в доходах населения в разрезе областей. </w:t>
      </w:r>
    </w:p>
    <w:bookmarkEnd w:id="84"/>
    <w:bookmarkStart w:name="z102" w:id="85"/>
    <w:p>
      <w:pPr>
        <w:spacing w:after="0"/>
        <w:ind w:left="0"/>
        <w:jc w:val="both"/>
      </w:pPr>
      <w:r>
        <w:rPr>
          <w:rFonts w:ascii="Times New Roman"/>
          <w:b w:val="false"/>
          <w:i w:val="false"/>
          <w:color w:val="000000"/>
          <w:sz w:val="28"/>
        </w:rPr>
        <w:t xml:space="preserve">
      Данные диспропорции в уровне доходов населения по регионам решаются путем диверсификации экономики в рамках государственной программы индустриально-инновационного развития, развития предпринимательства в рамках государственных программ поддержки и развития предпринимательства, продуктивной занятости и массового предпринимательства "Еңбек". При этом ускоренная управляемая урбанизация страны напрямую будет влиять на снижение диспропорций между регионами по уровню доходов населения в связи с увеличением высокодоходных рабочих мест в городах. </w:t>
      </w:r>
    </w:p>
    <w:bookmarkEnd w:id="85"/>
    <w:bookmarkStart w:name="z103" w:id="86"/>
    <w:p>
      <w:pPr>
        <w:spacing w:after="0"/>
        <w:ind w:left="0"/>
        <w:jc w:val="both"/>
      </w:pPr>
      <w:r>
        <w:rPr>
          <w:rFonts w:ascii="Times New Roman"/>
          <w:b w:val="false"/>
          <w:i w:val="false"/>
          <w:color w:val="000000"/>
          <w:sz w:val="28"/>
        </w:rPr>
        <w:t xml:space="preserve">
      Касательно развития ФГР. В отличие от приведенных выше примеров по странам с большими территориями, где основное городское население сосредоточено в мегаполисах, в Казахстане следует развивать помимо городов-миллионников и областные центры. Правильность этой идеи находит свое подтверждение в Национальном докладе о человеческом развитии в Республике Казахстан за 2018 год, подготовленном ПРООН. Так, в документе отмечается, что "Разным странам мира следует стремиться к реализации разных моделей концентрации населения в крупных городах. Некоторые страны отдают предпочтение развитию супергородов с населением свыше 20 миллионов человек (например, Шанхай или Пекин) или мегарегионов с населением до 55 миллионов человек (например, Нью-Йоркская агломерация, объединяющая большую часть трех штатов в Соединенных Штатах). Однако "широко распространено ошибочное представление о том, что мегаполисы являлись движущей силой глобального роста в течение последних 15 лет ... Напротив, ожидается, что к 2025 году 577 средних городов (с населением от 150 000 до 10 миллионов человек) будут обеспечивать более половины глобального роста" (McKinsey, 2011).". </w:t>
      </w:r>
    </w:p>
    <w:bookmarkEnd w:id="86"/>
    <w:bookmarkStart w:name="z104" w:id="87"/>
    <w:p>
      <w:pPr>
        <w:spacing w:after="0"/>
        <w:ind w:left="0"/>
        <w:jc w:val="both"/>
      </w:pPr>
      <w:r>
        <w:rPr>
          <w:rFonts w:ascii="Times New Roman"/>
          <w:b w:val="false"/>
          <w:i w:val="false"/>
          <w:color w:val="000000"/>
          <w:sz w:val="28"/>
        </w:rPr>
        <w:t>
      В этом плане в рамках поручения Елбасы в 2019 году акиматами областей, городов республиканского значения и столицы разрабатываются стратегии развития крупных городов страны до 2050 года с учетом перспективной численности городского населения - городов Нур-Султана, Алматы, Шымкента, областных центров и города Семей.</w:t>
      </w:r>
    </w:p>
    <w:bookmarkEnd w:id="87"/>
    <w:bookmarkStart w:name="z105" w:id="88"/>
    <w:p>
      <w:pPr>
        <w:spacing w:after="0"/>
        <w:ind w:left="0"/>
        <w:jc w:val="both"/>
      </w:pPr>
      <w:r>
        <w:rPr>
          <w:rFonts w:ascii="Times New Roman"/>
          <w:b w:val="false"/>
          <w:i w:val="false"/>
          <w:color w:val="000000"/>
          <w:sz w:val="28"/>
        </w:rPr>
        <w:t>
      Для оказания организационно-методической помощи местным исполнительным органам принята методика по разработке стратегий развития городов республиканского и областного значений (приказ Министра национальной экономики Республики Казахстан от 11 января 2019 года № 3). В данной методике даны рекомендации по порядку разработки стратегий крупных городов, структуре документа, подходам изложения видения развития крупных городов на перспективу. В целом, несмотря на имеющиеся различия в текущем социально-экономическом состоянии крупных и больших городов Казахстана, имеются общие концептуальные тренды (тенденции) их развития, которые необходимо учитывать при разработке указанных стратегий.</w:t>
      </w:r>
    </w:p>
    <w:bookmarkEnd w:id="88"/>
    <w:bookmarkStart w:name="z106" w:id="89"/>
    <w:p>
      <w:pPr>
        <w:spacing w:after="0"/>
        <w:ind w:left="0"/>
        <w:jc w:val="both"/>
      </w:pPr>
      <w:r>
        <w:rPr>
          <w:rFonts w:ascii="Times New Roman"/>
          <w:b w:val="false"/>
          <w:i w:val="false"/>
          <w:color w:val="000000"/>
          <w:sz w:val="28"/>
        </w:rPr>
        <w:t>
      Эти тенденции необходимо раскрыть в соответствующих разделах стратегий развития городов республиканского значения, столицы, областных центров и города Семей:</w:t>
      </w:r>
    </w:p>
    <w:bookmarkEnd w:id="89"/>
    <w:bookmarkStart w:name="z107" w:id="90"/>
    <w:p>
      <w:pPr>
        <w:spacing w:after="0"/>
        <w:ind w:left="0"/>
        <w:jc w:val="both"/>
      </w:pPr>
      <w:r>
        <w:rPr>
          <w:rFonts w:ascii="Times New Roman"/>
          <w:b w:val="false"/>
          <w:i w:val="false"/>
          <w:color w:val="000000"/>
          <w:sz w:val="28"/>
        </w:rPr>
        <w:t>
      1) стратегическое видение развития города и его роль в мировом и региональном (евразийском) пространстве;</w:t>
      </w:r>
    </w:p>
    <w:bookmarkEnd w:id="90"/>
    <w:bookmarkStart w:name="z108" w:id="91"/>
    <w:p>
      <w:pPr>
        <w:spacing w:after="0"/>
        <w:ind w:left="0"/>
        <w:jc w:val="both"/>
      </w:pPr>
      <w:r>
        <w:rPr>
          <w:rFonts w:ascii="Times New Roman"/>
          <w:b w:val="false"/>
          <w:i w:val="false"/>
          <w:color w:val="000000"/>
          <w:sz w:val="28"/>
        </w:rPr>
        <w:t>
      2) стратегические направления развития города:</w:t>
      </w:r>
    </w:p>
    <w:bookmarkEnd w:id="91"/>
    <w:bookmarkStart w:name="z109" w:id="92"/>
    <w:p>
      <w:pPr>
        <w:spacing w:after="0"/>
        <w:ind w:left="0"/>
        <w:jc w:val="both"/>
      </w:pPr>
      <w:r>
        <w:rPr>
          <w:rFonts w:ascii="Times New Roman"/>
          <w:b w:val="false"/>
          <w:i w:val="false"/>
          <w:color w:val="000000"/>
          <w:sz w:val="28"/>
        </w:rPr>
        <w:t>
      системная диверсификация экономики (новые технологии в производстве; цифровизация экономики; зеленая экономика, тесная научно-производственная связь университетов и предприятий; развитие сферы услуг, в том числе туризма, финансовые услуги и другие; развитие креативных секторов экономики (рекламная деятельность, архитектура, дизайн, визуальное современное искусство и другие); формирование бренда города на долгосрочную перспективу; создание комфортных условий проживания для высококлассных иностранных специалистов и отечественных талантов;</w:t>
      </w:r>
    </w:p>
    <w:bookmarkEnd w:id="92"/>
    <w:bookmarkStart w:name="z110" w:id="93"/>
    <w:p>
      <w:pPr>
        <w:spacing w:after="0"/>
        <w:ind w:left="0"/>
        <w:jc w:val="both"/>
      </w:pPr>
      <w:r>
        <w:rPr>
          <w:rFonts w:ascii="Times New Roman"/>
          <w:b w:val="false"/>
          <w:i w:val="false"/>
          <w:color w:val="000000"/>
          <w:sz w:val="28"/>
        </w:rPr>
        <w:t>
      человеческое развитие (создание условий для получения высококлассного школьного, технического и профессионального, высшего и послевузовского образования, формирование университетов мирового/регионального (евразийского) уровня, привлечение филиалов известных в мире университетов, развитая сфера культуры, качественное здравоохранение и здоровая длительная жизнь, высокие доходы населения, доступное и комфортное жилье, высококлассная инженерная и транспортная инфраструктура, развитый общественный транспорт);</w:t>
      </w:r>
    </w:p>
    <w:bookmarkEnd w:id="93"/>
    <w:bookmarkStart w:name="z111" w:id="94"/>
    <w:p>
      <w:pPr>
        <w:spacing w:after="0"/>
        <w:ind w:left="0"/>
        <w:jc w:val="both"/>
      </w:pPr>
      <w:r>
        <w:rPr>
          <w:rFonts w:ascii="Times New Roman"/>
          <w:b w:val="false"/>
          <w:i w:val="false"/>
          <w:color w:val="000000"/>
          <w:sz w:val="28"/>
        </w:rPr>
        <w:t>
      окружающая среда: качественная экология и комфортная городская среда (компактная городская застройка, "шаговая" доступность объектов преимущественно пешим ходом или на велосипеде, зеленая городская среда и другие);</w:t>
      </w:r>
    </w:p>
    <w:bookmarkEnd w:id="94"/>
    <w:bookmarkStart w:name="z112" w:id="95"/>
    <w:p>
      <w:pPr>
        <w:spacing w:after="0"/>
        <w:ind w:left="0"/>
        <w:jc w:val="both"/>
      </w:pPr>
      <w:r>
        <w:rPr>
          <w:rFonts w:ascii="Times New Roman"/>
          <w:b w:val="false"/>
          <w:i w:val="false"/>
          <w:color w:val="000000"/>
          <w:sz w:val="28"/>
        </w:rPr>
        <w:t xml:space="preserve">
      smartcity/цифровизация - формирование и использование современных информационных систем для эффективного управления городской инфраструктурой (безопасность, жилищно-коммунальное хозяйство, транспорт, образование, здравоохранение, социальная сфера, экология, управление городом, бизнес и другие); </w:t>
      </w:r>
    </w:p>
    <w:bookmarkEnd w:id="95"/>
    <w:bookmarkStart w:name="z113" w:id="96"/>
    <w:p>
      <w:pPr>
        <w:spacing w:after="0"/>
        <w:ind w:left="0"/>
        <w:jc w:val="both"/>
      </w:pPr>
      <w:r>
        <w:rPr>
          <w:rFonts w:ascii="Times New Roman"/>
          <w:b w:val="false"/>
          <w:i w:val="false"/>
          <w:color w:val="000000"/>
          <w:sz w:val="28"/>
        </w:rPr>
        <w:t>
      городское планирование. Стратегии развития городов должны предусматривать транспарентность, поддержку бизнес-сообществом и населением планируемых мер по градостроительной и архитектурной деятельности, соответствие градостроительного планирования стратегии развития конкретного города. При определении целевых индикаторов городского планирования необходимо использовать подходы ООН-Хабитат, ОЭСР и ВБ, результаты опроса бизнес-сообщества и населения по предлагаемому пространственному развитию города.</w:t>
      </w:r>
    </w:p>
    <w:bookmarkEnd w:id="96"/>
    <w:bookmarkStart w:name="z114" w:id="97"/>
    <w:p>
      <w:pPr>
        <w:spacing w:after="0"/>
        <w:ind w:left="0"/>
        <w:jc w:val="both"/>
      </w:pPr>
      <w:r>
        <w:rPr>
          <w:rFonts w:ascii="Times New Roman"/>
          <w:b w:val="false"/>
          <w:i w:val="false"/>
          <w:color w:val="000000"/>
          <w:sz w:val="28"/>
        </w:rPr>
        <w:t xml:space="preserve">
      В целом по проекту стратегии развития города должны проводиться общественные слушания в соответствии с </w:t>
      </w:r>
      <w:r>
        <w:rPr>
          <w:rFonts w:ascii="Times New Roman"/>
          <w:b w:val="false"/>
          <w:i w:val="false"/>
          <w:color w:val="000000"/>
          <w:sz w:val="28"/>
        </w:rPr>
        <w:t>типовыми требованиями</w:t>
      </w:r>
      <w:r>
        <w:rPr>
          <w:rFonts w:ascii="Times New Roman"/>
          <w:b w:val="false"/>
          <w:i w:val="false"/>
          <w:color w:val="000000"/>
          <w:sz w:val="28"/>
        </w:rPr>
        <w:t xml:space="preserve"> к порядку организации и проведения общественных слушаний, утвержденными постановлением Правительства Республики Казахстан от 31 декабря 2015 года № 1191.</w:t>
      </w:r>
    </w:p>
    <w:bookmarkEnd w:id="97"/>
    <w:bookmarkStart w:name="z115" w:id="98"/>
    <w:p>
      <w:pPr>
        <w:spacing w:after="0"/>
        <w:ind w:left="0"/>
        <w:jc w:val="both"/>
      </w:pPr>
      <w:r>
        <w:rPr>
          <w:rFonts w:ascii="Times New Roman"/>
          <w:b w:val="false"/>
          <w:i w:val="false"/>
          <w:color w:val="000000"/>
          <w:sz w:val="28"/>
        </w:rPr>
        <w:t>
      В рамках Послания Президента Республики Казахстан народу Казахстана от 5 октября 2018 года поставлена задача по обеспечению роста благосостояния казахстанцев посредством повышения доходов и качества жизни.</w:t>
      </w:r>
    </w:p>
    <w:bookmarkEnd w:id="98"/>
    <w:bookmarkStart w:name="z116" w:id="99"/>
    <w:p>
      <w:pPr>
        <w:spacing w:after="0"/>
        <w:ind w:left="0"/>
        <w:jc w:val="both"/>
      </w:pPr>
      <w:r>
        <w:rPr>
          <w:rFonts w:ascii="Times New Roman"/>
          <w:b w:val="false"/>
          <w:i w:val="false"/>
          <w:color w:val="000000"/>
          <w:sz w:val="28"/>
        </w:rPr>
        <w:t xml:space="preserve">
      В Послании было отмечено, что каждый регион и крупный город должны развиваться, опираясь на собственную модель устойчивого экономического роста и занятости, с учетом имеющихся конкурентных преимуществ. </w:t>
      </w:r>
    </w:p>
    <w:bookmarkEnd w:id="99"/>
    <w:bookmarkStart w:name="z117" w:id="100"/>
    <w:p>
      <w:pPr>
        <w:spacing w:after="0"/>
        <w:ind w:left="0"/>
        <w:jc w:val="both"/>
      </w:pPr>
      <w:r>
        <w:rPr>
          <w:rFonts w:ascii="Times New Roman"/>
          <w:b w:val="false"/>
          <w:i w:val="false"/>
          <w:color w:val="000000"/>
          <w:sz w:val="28"/>
        </w:rPr>
        <w:t>
      В этой связи поручено разработать систему региональных стандартов для различных населенных пунктов - от опорных сел до городов республиканского значения (далее - система региональных стандартов), которая включала бы конкретные показатели перечня и доступности социальных благ и государственных услуг, обеспеченности транспортной, культурно-спортивной, деловой, производственной, цифровой и другой инфраструктурой.</w:t>
      </w:r>
    </w:p>
    <w:bookmarkEnd w:id="100"/>
    <w:bookmarkStart w:name="z118" w:id="101"/>
    <w:p>
      <w:pPr>
        <w:spacing w:after="0"/>
        <w:ind w:left="0"/>
        <w:jc w:val="both"/>
      </w:pPr>
      <w:r>
        <w:rPr>
          <w:rFonts w:ascii="Times New Roman"/>
          <w:b w:val="false"/>
          <w:i w:val="false"/>
          <w:color w:val="000000"/>
          <w:sz w:val="28"/>
        </w:rPr>
        <w:t>
      В реализацию данного поручения в апреле 2019 года был принят совместный приказ центральных государственных органов (министерства национальной экономики, культуры и спорта, индустрии и инфраструктурного развития, образования и науки, цифрового развития, оборонной и аэрокосмической промышленности, здравоохранения) по утверждению системы региональных стандартов.</w:t>
      </w:r>
    </w:p>
    <w:bookmarkEnd w:id="101"/>
    <w:bookmarkStart w:name="z119" w:id="102"/>
    <w:p>
      <w:pPr>
        <w:spacing w:after="0"/>
        <w:ind w:left="0"/>
        <w:jc w:val="both"/>
      </w:pPr>
      <w:r>
        <w:rPr>
          <w:rFonts w:ascii="Times New Roman"/>
          <w:b w:val="false"/>
          <w:i w:val="false"/>
          <w:color w:val="000000"/>
          <w:sz w:val="28"/>
        </w:rPr>
        <w:t>
      Система региональных стандартов предусматривает обеспечение минимально обязательного уровня доступности объектов и услуг (благ) населению в зависимости от типа (город, село) и размера (численности населения) населенных пунктов.</w:t>
      </w:r>
    </w:p>
    <w:bookmarkEnd w:id="102"/>
    <w:bookmarkStart w:name="z120" w:id="103"/>
    <w:p>
      <w:pPr>
        <w:spacing w:after="0"/>
        <w:ind w:left="0"/>
        <w:jc w:val="both"/>
      </w:pPr>
      <w:r>
        <w:rPr>
          <w:rFonts w:ascii="Times New Roman"/>
          <w:b w:val="false"/>
          <w:i w:val="false"/>
          <w:color w:val="000000"/>
          <w:sz w:val="28"/>
        </w:rPr>
        <w:t xml:space="preserve">
      Система региональных стандартов предназначена: </w:t>
      </w:r>
    </w:p>
    <w:bookmarkEnd w:id="103"/>
    <w:bookmarkStart w:name="z121" w:id="104"/>
    <w:p>
      <w:pPr>
        <w:spacing w:after="0"/>
        <w:ind w:left="0"/>
        <w:jc w:val="both"/>
      </w:pPr>
      <w:r>
        <w:rPr>
          <w:rFonts w:ascii="Times New Roman"/>
          <w:b w:val="false"/>
          <w:i w:val="false"/>
          <w:color w:val="000000"/>
          <w:sz w:val="28"/>
        </w:rPr>
        <w:t>
      1) для центральных государственных органов - при планировании социально-экономического, регионального развития страны;</w:t>
      </w:r>
    </w:p>
    <w:bookmarkEnd w:id="104"/>
    <w:bookmarkStart w:name="z122" w:id="105"/>
    <w:p>
      <w:pPr>
        <w:spacing w:after="0"/>
        <w:ind w:left="0"/>
        <w:jc w:val="both"/>
      </w:pPr>
      <w:r>
        <w:rPr>
          <w:rFonts w:ascii="Times New Roman"/>
          <w:b w:val="false"/>
          <w:i w:val="false"/>
          <w:color w:val="000000"/>
          <w:sz w:val="28"/>
        </w:rPr>
        <w:t>
      2) для местных исполнительных органов - в целях решения региональных проблем и повышения качества жизни в конкретных населенных пунктах.</w:t>
      </w:r>
    </w:p>
    <w:bookmarkEnd w:id="105"/>
    <w:bookmarkStart w:name="z123" w:id="106"/>
    <w:p>
      <w:pPr>
        <w:spacing w:after="0"/>
        <w:ind w:left="0"/>
        <w:jc w:val="both"/>
      </w:pPr>
      <w:r>
        <w:rPr>
          <w:rFonts w:ascii="Times New Roman"/>
          <w:b w:val="false"/>
          <w:i w:val="false"/>
          <w:color w:val="000000"/>
          <w:sz w:val="28"/>
        </w:rPr>
        <w:t>
      Определены следующие принципы системы региональных стандартов:</w:t>
      </w:r>
    </w:p>
    <w:bookmarkEnd w:id="106"/>
    <w:bookmarkStart w:name="z124" w:id="107"/>
    <w:p>
      <w:pPr>
        <w:spacing w:after="0"/>
        <w:ind w:left="0"/>
        <w:jc w:val="both"/>
      </w:pPr>
      <w:r>
        <w:rPr>
          <w:rFonts w:ascii="Times New Roman"/>
          <w:b w:val="false"/>
          <w:i w:val="false"/>
          <w:color w:val="000000"/>
          <w:sz w:val="28"/>
        </w:rPr>
        <w:t xml:space="preserve">
      1) для городской местности: обеспеченность всех городов объектами и услугами (благами) по принципу "20-минутной шаговой доступности" населения к ним. Для внедрения системы региональных стандартов в городских населенных пунктах принято решение условно поделить селитебную территорию города на планировочные сектора с населением порядка 10 тыс. человек в каждом и размещать на территории каждого планировочного сектора обязательный перечень инфраструктурных объектов и услуг. При этом города с численностью населения менее 10 тыс. человек предлагается считать одним планировочным сектором. </w:t>
      </w:r>
    </w:p>
    <w:bookmarkEnd w:id="107"/>
    <w:bookmarkStart w:name="z125" w:id="108"/>
    <w:p>
      <w:pPr>
        <w:spacing w:after="0"/>
        <w:ind w:left="0"/>
        <w:jc w:val="both"/>
      </w:pPr>
      <w:r>
        <w:rPr>
          <w:rFonts w:ascii="Times New Roman"/>
          <w:b w:val="false"/>
          <w:i w:val="false"/>
          <w:color w:val="000000"/>
          <w:sz w:val="28"/>
        </w:rPr>
        <w:t>
      2) для сельской местности: обеспеченность сел объектами и услугами (благами) на основании их перспективности развития (районные центры, центры сельских округов, остальные села с небольшой численностью населения).</w:t>
      </w:r>
    </w:p>
    <w:bookmarkEnd w:id="108"/>
    <w:bookmarkStart w:name="z126" w:id="109"/>
    <w:p>
      <w:pPr>
        <w:spacing w:after="0"/>
        <w:ind w:left="0"/>
        <w:jc w:val="both"/>
      </w:pPr>
      <w:r>
        <w:rPr>
          <w:rFonts w:ascii="Times New Roman"/>
          <w:b w:val="false"/>
          <w:i w:val="false"/>
          <w:color w:val="000000"/>
          <w:sz w:val="28"/>
        </w:rPr>
        <w:t xml:space="preserve">
      Для районных центров перечень объектов и услуг (благ) состоит из 32 наименований, центров сельских округов - 24, остальных сел - 12, для планировочного сектора в городе - 51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Государственной программе).</w:t>
      </w:r>
    </w:p>
    <w:bookmarkEnd w:id="109"/>
    <w:bookmarkStart w:name="z127" w:id="110"/>
    <w:p>
      <w:pPr>
        <w:spacing w:after="0"/>
        <w:ind w:left="0"/>
        <w:jc w:val="both"/>
      </w:pPr>
      <w:r>
        <w:rPr>
          <w:rFonts w:ascii="Times New Roman"/>
          <w:b w:val="false"/>
          <w:i w:val="false"/>
          <w:color w:val="000000"/>
          <w:sz w:val="28"/>
        </w:rPr>
        <w:t>
      В целом определение критериев и требований системы региональных стандартов отражено в Прогнозной схеме территориально-пространственного развития страны до 2030 года. В целях реализации вышестоящего документа Системы государственного планирования в Республике Казахстан положения системы региональных стандартов интегрированы в настоящую Государственную программу.</w:t>
      </w:r>
    </w:p>
    <w:bookmarkEnd w:id="110"/>
    <w:bookmarkStart w:name="z128" w:id="111"/>
    <w:p>
      <w:pPr>
        <w:spacing w:after="0"/>
        <w:ind w:left="0"/>
        <w:jc w:val="both"/>
      </w:pPr>
      <w:r>
        <w:rPr>
          <w:rFonts w:ascii="Times New Roman"/>
          <w:b w:val="false"/>
          <w:i w:val="false"/>
          <w:color w:val="000000"/>
          <w:sz w:val="28"/>
        </w:rPr>
        <w:t xml:space="preserve">
      Помимо людности поселений, состояния социальной и инженерной инфраструктуры, стоимости жизни и других параметров качества жизни немаловажным фактором привлекательности городов и иных населенных пунктов является обеспечение безопасности жизнедеятельности и нормальной экологии. </w:t>
      </w:r>
    </w:p>
    <w:bookmarkEnd w:id="111"/>
    <w:bookmarkStart w:name="z129" w:id="112"/>
    <w:p>
      <w:pPr>
        <w:spacing w:after="0"/>
        <w:ind w:left="0"/>
        <w:jc w:val="both"/>
      </w:pPr>
      <w:r>
        <w:rPr>
          <w:rFonts w:ascii="Times New Roman"/>
          <w:b w:val="false"/>
          <w:i w:val="false"/>
          <w:color w:val="000000"/>
          <w:sz w:val="28"/>
        </w:rPr>
        <w:t xml:space="preserve">
      Следует отметить, что вопросы обеспечения безопасности регионов отражены в одном из стратегических направлений долгосрочного развития Казахстана, предусмотренного </w:t>
      </w:r>
      <w:r>
        <w:rPr>
          <w:rFonts w:ascii="Times New Roman"/>
          <w:b w:val="false"/>
          <w:i w:val="false"/>
          <w:color w:val="000000"/>
          <w:sz w:val="28"/>
        </w:rPr>
        <w:t>Концепцией</w:t>
      </w:r>
      <w:r>
        <w:rPr>
          <w:rFonts w:ascii="Times New Roman"/>
          <w:b w:val="false"/>
          <w:i w:val="false"/>
          <w:color w:val="000000"/>
          <w:sz w:val="28"/>
        </w:rPr>
        <w:t xml:space="preserve"> по вхождению Казахстана в число 30-ти самых развитых государств мира, утвержденной Указом Президента Республики Казахстан от 17 января 2014 года № 732. Согласно стратегическому направлению до расчетного срока реализации Концепции необходимо обеспечить все крупные города и населенные пункты с населением 5 тыс. и более человек гарантированной защитой государственной противопожарной службы.</w:t>
      </w:r>
    </w:p>
    <w:bookmarkEnd w:id="112"/>
    <w:bookmarkStart w:name="z130" w:id="113"/>
    <w:p>
      <w:pPr>
        <w:spacing w:after="0"/>
        <w:ind w:left="0"/>
        <w:jc w:val="both"/>
      </w:pPr>
      <w:r>
        <w:rPr>
          <w:rFonts w:ascii="Times New Roman"/>
          <w:b w:val="false"/>
          <w:i w:val="false"/>
          <w:color w:val="000000"/>
          <w:sz w:val="28"/>
        </w:rPr>
        <w:t xml:space="preserve">
      Реализация данного направления потребует дополнительного создания 532 пожарных подразделений, из них 130 - за счет обеспечения пожарной безопасности на центральном уровне, 402 - местными исполнительными органами в рамках наделенных полномочий в соответствии со </w:t>
      </w:r>
      <w:r>
        <w:rPr>
          <w:rFonts w:ascii="Times New Roman"/>
          <w:b w:val="false"/>
          <w:i w:val="false"/>
          <w:color w:val="000000"/>
          <w:sz w:val="28"/>
        </w:rPr>
        <w:t>статьей 15</w:t>
      </w:r>
      <w:r>
        <w:rPr>
          <w:rFonts w:ascii="Times New Roman"/>
          <w:b w:val="false"/>
          <w:i w:val="false"/>
          <w:color w:val="000000"/>
          <w:sz w:val="28"/>
        </w:rPr>
        <w:t xml:space="preserve"> Закона Республики Казахстан "О гражданской защите".</w:t>
      </w:r>
    </w:p>
    <w:bookmarkEnd w:id="113"/>
    <w:bookmarkStart w:name="z131" w:id="114"/>
    <w:p>
      <w:pPr>
        <w:spacing w:after="0"/>
        <w:ind w:left="0"/>
        <w:jc w:val="both"/>
      </w:pPr>
      <w:r>
        <w:rPr>
          <w:rFonts w:ascii="Times New Roman"/>
          <w:b w:val="false"/>
          <w:i w:val="false"/>
          <w:color w:val="000000"/>
          <w:sz w:val="28"/>
        </w:rPr>
        <w:t>
      Данные меры позволят создать эффективную систему реагирования на чрезвычайные ситуации, сократить гибель и травмирование людей, уменьшить материальный ущерб и, как результат, повысить уровень обеспеченности противопожарной защитой страны с 56,6 % до 100 %.</w:t>
      </w:r>
    </w:p>
    <w:bookmarkEnd w:id="114"/>
    <w:bookmarkStart w:name="z132" w:id="115"/>
    <w:p>
      <w:pPr>
        <w:spacing w:after="0"/>
        <w:ind w:left="0"/>
        <w:jc w:val="both"/>
      </w:pPr>
      <w:r>
        <w:rPr>
          <w:rFonts w:ascii="Times New Roman"/>
          <w:b w:val="false"/>
          <w:i w:val="false"/>
          <w:color w:val="000000"/>
          <w:sz w:val="28"/>
        </w:rPr>
        <w:t xml:space="preserve">
      Следует отметить, что в настоящее время противопожарную защиту территории республики осуществляют 422 пожарных подразделения и за последние 11 лет в стране построены только 18 зданий пожарных депо (из них 4 - в городе Нур-Султане, 3 - в Щучинско-Боровской курортной зоне, 2 - в городе Алматы, по одному в городах Кокшетау, Таразе, Жанаозене, Караганде, Актобе, Шымкенте и Аральске, а также в поселках Ганюшкино Атырауской области и Достык Алматинской области). </w:t>
      </w:r>
    </w:p>
    <w:bookmarkEnd w:id="115"/>
    <w:bookmarkStart w:name="z133" w:id="116"/>
    <w:p>
      <w:pPr>
        <w:spacing w:after="0"/>
        <w:ind w:left="0"/>
        <w:jc w:val="both"/>
      </w:pPr>
      <w:r>
        <w:rPr>
          <w:rFonts w:ascii="Times New Roman"/>
          <w:b w:val="false"/>
          <w:i w:val="false"/>
          <w:color w:val="000000"/>
          <w:sz w:val="28"/>
        </w:rPr>
        <w:t>
      Ежегодно подразделениями государственной противопожарной службы совершаются более 50 тыс. выездов по тревоге, в том числе более 16 тыс. выездов на пожары и более 3,5 тыс. на проведение аварийно-спасательных работ. В среднем от пожаров ежегодно погибают 600 человек, материальные убытки превышают 6 млрд. тенге.</w:t>
      </w:r>
    </w:p>
    <w:bookmarkEnd w:id="116"/>
    <w:bookmarkStart w:name="z134" w:id="117"/>
    <w:p>
      <w:pPr>
        <w:spacing w:after="0"/>
        <w:ind w:left="0"/>
        <w:jc w:val="both"/>
      </w:pPr>
      <w:r>
        <w:rPr>
          <w:rFonts w:ascii="Times New Roman"/>
          <w:b w:val="false"/>
          <w:i w:val="false"/>
          <w:color w:val="000000"/>
          <w:sz w:val="28"/>
        </w:rPr>
        <w:t>
      Одним из факторов, негативно влияющих на последствия чрезвычайных ситуаций, является отдаленное расположение объектов противопожарных служб, что влечет позднее прибытие пожарных расчетов к местам вызовов.</w:t>
      </w:r>
    </w:p>
    <w:bookmarkEnd w:id="117"/>
    <w:bookmarkStart w:name="z135" w:id="118"/>
    <w:p>
      <w:pPr>
        <w:spacing w:after="0"/>
        <w:ind w:left="0"/>
        <w:jc w:val="both"/>
      </w:pPr>
      <w:r>
        <w:rPr>
          <w:rFonts w:ascii="Times New Roman"/>
          <w:b w:val="false"/>
          <w:i w:val="false"/>
          <w:color w:val="000000"/>
          <w:sz w:val="28"/>
        </w:rPr>
        <w:t xml:space="preserve">
      В соответствии с техническим регламентом "Общие требования к пожарной безопасности" дислокация подразделений противопожарной службы в населенных пунктах определяется исходя из условия прибытия первого пожарного подразделения к месту вызова в городах не позднее, чем через 10 минут, а для СНП - не позднее, чем через 20 минут от момента вызова. </w:t>
      </w:r>
    </w:p>
    <w:bookmarkEnd w:id="118"/>
    <w:bookmarkStart w:name="z136" w:id="119"/>
    <w:p>
      <w:pPr>
        <w:spacing w:after="0"/>
        <w:ind w:left="0"/>
        <w:jc w:val="both"/>
      </w:pPr>
      <w:r>
        <w:rPr>
          <w:rFonts w:ascii="Times New Roman"/>
          <w:b w:val="false"/>
          <w:i w:val="false"/>
          <w:color w:val="000000"/>
          <w:sz w:val="28"/>
        </w:rPr>
        <w:t>
      В настоящее время показатель своевременного прибытия (нормативного реагирования) пожарных расчетов к месту вызова превышает установленное значение и составляет:</w:t>
      </w:r>
    </w:p>
    <w:bookmarkEnd w:id="119"/>
    <w:bookmarkStart w:name="z137" w:id="120"/>
    <w:p>
      <w:pPr>
        <w:spacing w:after="0"/>
        <w:ind w:left="0"/>
        <w:jc w:val="both"/>
      </w:pPr>
      <w:r>
        <w:rPr>
          <w:rFonts w:ascii="Times New Roman"/>
          <w:b w:val="false"/>
          <w:i w:val="false"/>
          <w:color w:val="000000"/>
          <w:sz w:val="28"/>
        </w:rPr>
        <w:t>
      1) в городах Нур-Султане, Алматы и Шымкенте - 7,6%, 33,2% и 32% выездов, соответственно;</w:t>
      </w:r>
    </w:p>
    <w:bookmarkEnd w:id="120"/>
    <w:bookmarkStart w:name="z138" w:id="121"/>
    <w:p>
      <w:pPr>
        <w:spacing w:after="0"/>
        <w:ind w:left="0"/>
        <w:jc w:val="both"/>
      </w:pPr>
      <w:r>
        <w:rPr>
          <w:rFonts w:ascii="Times New Roman"/>
          <w:b w:val="false"/>
          <w:i w:val="false"/>
          <w:color w:val="000000"/>
          <w:sz w:val="28"/>
        </w:rPr>
        <w:t>
      2) в областных центрах - 24,5%;</w:t>
      </w:r>
    </w:p>
    <w:bookmarkEnd w:id="121"/>
    <w:bookmarkStart w:name="z139" w:id="122"/>
    <w:p>
      <w:pPr>
        <w:spacing w:after="0"/>
        <w:ind w:left="0"/>
        <w:jc w:val="both"/>
      </w:pPr>
      <w:r>
        <w:rPr>
          <w:rFonts w:ascii="Times New Roman"/>
          <w:b w:val="false"/>
          <w:i w:val="false"/>
          <w:color w:val="000000"/>
          <w:sz w:val="28"/>
        </w:rPr>
        <w:t>
      3) в других городах - 18,1%.</w:t>
      </w:r>
    </w:p>
    <w:bookmarkEnd w:id="122"/>
    <w:bookmarkStart w:name="z140" w:id="123"/>
    <w:p>
      <w:pPr>
        <w:spacing w:after="0"/>
        <w:ind w:left="0"/>
        <w:jc w:val="both"/>
      </w:pPr>
      <w:r>
        <w:rPr>
          <w:rFonts w:ascii="Times New Roman"/>
          <w:b w:val="false"/>
          <w:i w:val="false"/>
          <w:color w:val="000000"/>
          <w:sz w:val="28"/>
        </w:rPr>
        <w:t>
      Время реагирования пожарных подразделений в городах превышает в среднем на 5 минут от установленных нормативных 10 минут.</w:t>
      </w:r>
    </w:p>
    <w:bookmarkEnd w:id="123"/>
    <w:bookmarkStart w:name="z141" w:id="124"/>
    <w:p>
      <w:pPr>
        <w:spacing w:after="0"/>
        <w:ind w:left="0"/>
        <w:jc w:val="both"/>
      </w:pPr>
      <w:r>
        <w:rPr>
          <w:rFonts w:ascii="Times New Roman"/>
          <w:b w:val="false"/>
          <w:i w:val="false"/>
          <w:color w:val="000000"/>
          <w:sz w:val="28"/>
        </w:rPr>
        <w:t>
      Низкая плотность пожарных подразделений снижает возможность оперативно реагировать на пожары и чрезвычайные ситуации, особенно в сельской местности. В отдельных регионах показатель времени оперативного реагирования составляет 36 минут, а порой доходит до 1 часа. При этом, от общего количества пожаров, произошедших в жилом секторе, более 44% приходится на сельскую местность.</w:t>
      </w:r>
    </w:p>
    <w:bookmarkEnd w:id="124"/>
    <w:bookmarkStart w:name="z142" w:id="125"/>
    <w:p>
      <w:pPr>
        <w:spacing w:after="0"/>
        <w:ind w:left="0"/>
        <w:jc w:val="both"/>
      </w:pPr>
      <w:r>
        <w:rPr>
          <w:rFonts w:ascii="Times New Roman"/>
          <w:b w:val="false"/>
          <w:i w:val="false"/>
          <w:color w:val="000000"/>
          <w:sz w:val="28"/>
        </w:rPr>
        <w:t>
      В сельской местности показатель нормативного реагирования пожарных расчетов к месту вызова превышает установленное значение (более 20 минут) и составляет 38,1% выездов.</w:t>
      </w:r>
    </w:p>
    <w:bookmarkEnd w:id="125"/>
    <w:bookmarkStart w:name="z143" w:id="126"/>
    <w:p>
      <w:pPr>
        <w:spacing w:after="0"/>
        <w:ind w:left="0"/>
        <w:jc w:val="both"/>
      </w:pPr>
      <w:r>
        <w:rPr>
          <w:rFonts w:ascii="Times New Roman"/>
          <w:b w:val="false"/>
          <w:i w:val="false"/>
          <w:color w:val="000000"/>
          <w:sz w:val="28"/>
        </w:rPr>
        <w:t xml:space="preserve">
      Рост пожаров и значимость их последствий диктуют необходимость расширения инфраструктуры пожарных частей. В этой связи вопросы обеспечения пожарной безопасности требуют активного рассмотрения, как на уровне центральных государственных органов, так и местных исполнительных органов. </w:t>
      </w:r>
    </w:p>
    <w:bookmarkEnd w:id="126"/>
    <w:bookmarkStart w:name="z144" w:id="127"/>
    <w:p>
      <w:pPr>
        <w:spacing w:after="0"/>
        <w:ind w:left="0"/>
        <w:jc w:val="both"/>
      </w:pPr>
      <w:r>
        <w:rPr>
          <w:rFonts w:ascii="Times New Roman"/>
          <w:b w:val="false"/>
          <w:i w:val="false"/>
          <w:color w:val="000000"/>
          <w:sz w:val="28"/>
        </w:rPr>
        <w:t>
      Еще одной проблемой является постепенное нарушение несущей способности зданий пожарных депо, размещенных в приспособленных, построенных в 50-70 годах прошлого столетия и не отвечающих требованиям строительных и санитарных норм (231 или 55% таких зданий).</w:t>
      </w:r>
    </w:p>
    <w:bookmarkEnd w:id="127"/>
    <w:bookmarkStart w:name="z145" w:id="128"/>
    <w:p>
      <w:pPr>
        <w:spacing w:after="0"/>
        <w:ind w:left="0"/>
        <w:jc w:val="both"/>
      </w:pPr>
      <w:r>
        <w:rPr>
          <w:rFonts w:ascii="Times New Roman"/>
          <w:b w:val="false"/>
          <w:i w:val="false"/>
          <w:color w:val="000000"/>
          <w:sz w:val="28"/>
        </w:rPr>
        <w:t>
      Сейчас в результате длительной эксплуатации 18 (5,5%) зданий пожарных депо находятся в аварийном состоянии и согласно заключениям специалистов из-за угрозы обрушения несущих конструкций здания подлежат сносу (в Западно-Казахстанской - 6, Актюбинской - 3, Акмолинской - 2, г.Шымкенте, Атырауской, Павлодарской, Жамбылской, Костанайской, Карагандинской, Алматинской областях - по 1).</w:t>
      </w:r>
    </w:p>
    <w:bookmarkEnd w:id="128"/>
    <w:bookmarkStart w:name="z146" w:id="129"/>
    <w:p>
      <w:pPr>
        <w:spacing w:after="0"/>
        <w:ind w:left="0"/>
        <w:jc w:val="both"/>
      </w:pPr>
      <w:r>
        <w:rPr>
          <w:rFonts w:ascii="Times New Roman"/>
          <w:b w:val="false"/>
          <w:i w:val="false"/>
          <w:color w:val="000000"/>
          <w:sz w:val="28"/>
        </w:rPr>
        <w:t xml:space="preserve">
      С целью решения указанных проблемных вопросов и сохранения радиуса обслуживания указанных пожарных подразделений, а также обеспечения нормативного времени реагирования на чрезвычайные ситуации в соответствии с установленными нормами требуется строительство новых пожарных депо вместо аварийных зданий. </w:t>
      </w:r>
    </w:p>
    <w:bookmarkEnd w:id="129"/>
    <w:bookmarkStart w:name="z147" w:id="130"/>
    <w:p>
      <w:pPr>
        <w:spacing w:after="0"/>
        <w:ind w:left="0"/>
        <w:jc w:val="both"/>
      </w:pPr>
      <w:r>
        <w:rPr>
          <w:rFonts w:ascii="Times New Roman"/>
          <w:b w:val="false"/>
          <w:i w:val="false"/>
          <w:color w:val="000000"/>
          <w:sz w:val="28"/>
        </w:rPr>
        <w:t>
      Для оптимального решения данного вопроса, а также экономии бюджетных средств требуется монтаж модульных конструкций с использованием быстровозводимых стеновых сэндвич-панелей и блок-контейнеров, технология которых активно применяется как в промышленном, так и в жилищном строительстве в Казахстане и за рубежом.</w:t>
      </w:r>
    </w:p>
    <w:bookmarkEnd w:id="130"/>
    <w:bookmarkStart w:name="z148" w:id="131"/>
    <w:p>
      <w:pPr>
        <w:spacing w:after="0"/>
        <w:ind w:left="0"/>
        <w:jc w:val="both"/>
      </w:pPr>
      <w:r>
        <w:rPr>
          <w:rFonts w:ascii="Times New Roman"/>
          <w:b w:val="false"/>
          <w:i w:val="false"/>
          <w:color w:val="000000"/>
          <w:sz w:val="28"/>
        </w:rPr>
        <w:t>
      В рамках настоящей Государственной программы согласно ее расчетным срокам реализации предлагаются снос аварийных и монтаж 18 модульных пожарных депо.</w:t>
      </w:r>
    </w:p>
    <w:bookmarkEnd w:id="131"/>
    <w:bookmarkStart w:name="z149" w:id="132"/>
    <w:p>
      <w:pPr>
        <w:spacing w:after="0"/>
        <w:ind w:left="0"/>
        <w:jc w:val="both"/>
      </w:pPr>
      <w:r>
        <w:rPr>
          <w:rFonts w:ascii="Times New Roman"/>
          <w:b w:val="false"/>
          <w:i w:val="false"/>
          <w:color w:val="000000"/>
          <w:sz w:val="28"/>
        </w:rPr>
        <w:t>
      На территории республики 156 населенных пунктов в Алматинской, Восточно-Казахстанской, Жамбылской и Туркестанской областях, а также города Алматы, Шымкент находятся под угрозой селевых выбросов.</w:t>
      </w:r>
    </w:p>
    <w:bookmarkEnd w:id="132"/>
    <w:bookmarkStart w:name="z150" w:id="133"/>
    <w:p>
      <w:pPr>
        <w:spacing w:after="0"/>
        <w:ind w:left="0"/>
        <w:jc w:val="both"/>
      </w:pPr>
      <w:r>
        <w:rPr>
          <w:rFonts w:ascii="Times New Roman"/>
          <w:b w:val="false"/>
          <w:i w:val="false"/>
          <w:color w:val="000000"/>
          <w:sz w:val="28"/>
        </w:rPr>
        <w:t>
      По республике выявлено 617 селеопасных и 306 оползнеопасных участков. В зону возможного воздействия селевых потоков и оползней попадает свыше 10 тыс. объектов и более 60 тыс. жителей.</w:t>
      </w:r>
    </w:p>
    <w:bookmarkEnd w:id="133"/>
    <w:bookmarkStart w:name="z151" w:id="134"/>
    <w:p>
      <w:pPr>
        <w:spacing w:after="0"/>
        <w:ind w:left="0"/>
        <w:jc w:val="both"/>
      </w:pPr>
      <w:r>
        <w:rPr>
          <w:rFonts w:ascii="Times New Roman"/>
          <w:b w:val="false"/>
          <w:i w:val="false"/>
          <w:color w:val="000000"/>
          <w:sz w:val="28"/>
        </w:rPr>
        <w:t>
      Кроме того, на территории республики имеются 599 лавиноопасных участков, из них свыше 200 непосредственно угрожают более 200 различным объектам, участкам автомобильных и железных дорог (Восточно-Казахстанская, Алматинская области, г.Алматы), а также 4,9 тыс. жителям (г.Алматы, Восточно-Казахстанская, Алматинская, Туркестанская, Жамбылская области).</w:t>
      </w:r>
    </w:p>
    <w:bookmarkEnd w:id="134"/>
    <w:bookmarkStart w:name="z152" w:id="135"/>
    <w:p>
      <w:pPr>
        <w:spacing w:after="0"/>
        <w:ind w:left="0"/>
        <w:jc w:val="both"/>
      </w:pPr>
      <w:r>
        <w:rPr>
          <w:rFonts w:ascii="Times New Roman"/>
          <w:b w:val="false"/>
          <w:i w:val="false"/>
          <w:color w:val="000000"/>
          <w:sz w:val="28"/>
        </w:rPr>
        <w:t>
      В этой связи, для обеспечения защитой населения требуется за счет средств местных бюджетов строительство:</w:t>
      </w:r>
    </w:p>
    <w:bookmarkEnd w:id="135"/>
    <w:bookmarkStart w:name="z153" w:id="136"/>
    <w:p>
      <w:pPr>
        <w:spacing w:after="0"/>
        <w:ind w:left="0"/>
        <w:jc w:val="both"/>
      </w:pPr>
      <w:r>
        <w:rPr>
          <w:rFonts w:ascii="Times New Roman"/>
          <w:b w:val="false"/>
          <w:i w:val="false"/>
          <w:color w:val="000000"/>
          <w:sz w:val="28"/>
        </w:rPr>
        <w:t>
      1) селезадерживающих плотин на реках Тургень, Кора, Чажа в Алматинской области, на реке Мерке в Жамбылской области;</w:t>
      </w:r>
    </w:p>
    <w:bookmarkEnd w:id="136"/>
    <w:bookmarkStart w:name="z154" w:id="137"/>
    <w:p>
      <w:pPr>
        <w:spacing w:after="0"/>
        <w:ind w:left="0"/>
        <w:jc w:val="both"/>
      </w:pPr>
      <w:r>
        <w:rPr>
          <w:rFonts w:ascii="Times New Roman"/>
          <w:b w:val="false"/>
          <w:i w:val="false"/>
          <w:color w:val="000000"/>
          <w:sz w:val="28"/>
        </w:rPr>
        <w:t>
      2) селезащитных берегоукрепительных дамб в бассейнах рек Тентек в Алматинской области, Сарымсакты в Восточно-Казахстанской области;</w:t>
      </w:r>
    </w:p>
    <w:bookmarkEnd w:id="137"/>
    <w:bookmarkStart w:name="z155" w:id="138"/>
    <w:p>
      <w:pPr>
        <w:spacing w:after="0"/>
        <w:ind w:left="0"/>
        <w:jc w:val="both"/>
      </w:pPr>
      <w:r>
        <w:rPr>
          <w:rFonts w:ascii="Times New Roman"/>
          <w:b w:val="false"/>
          <w:i w:val="false"/>
          <w:color w:val="000000"/>
          <w:sz w:val="28"/>
        </w:rPr>
        <w:t>
      3) снегозадерживающих щитов в горах Мохнатка в городе Алматы, Зубовка в Восточно-Казахстанской области;</w:t>
      </w:r>
    </w:p>
    <w:bookmarkEnd w:id="138"/>
    <w:bookmarkStart w:name="z156" w:id="139"/>
    <w:p>
      <w:pPr>
        <w:spacing w:after="0"/>
        <w:ind w:left="0"/>
        <w:jc w:val="both"/>
      </w:pPr>
      <w:r>
        <w:rPr>
          <w:rFonts w:ascii="Times New Roman"/>
          <w:b w:val="false"/>
          <w:i w:val="false"/>
          <w:color w:val="000000"/>
          <w:sz w:val="28"/>
        </w:rPr>
        <w:t>
      4) снегозадерживающих щитов вдоль автомобильной дороги "Оскемен-Самарское" (132-137 км) в Восточно-Казахстанской области, в ущелье "Коксай" Жамбылской области;</w:t>
      </w:r>
    </w:p>
    <w:bookmarkEnd w:id="139"/>
    <w:bookmarkStart w:name="z157" w:id="140"/>
    <w:p>
      <w:pPr>
        <w:spacing w:after="0"/>
        <w:ind w:left="0"/>
        <w:jc w:val="both"/>
      </w:pPr>
      <w:r>
        <w:rPr>
          <w:rFonts w:ascii="Times New Roman"/>
          <w:b w:val="false"/>
          <w:i w:val="false"/>
          <w:color w:val="000000"/>
          <w:sz w:val="28"/>
        </w:rPr>
        <w:t>
      5) стабилизации русла реки Бадам в черте города Шымкента;</w:t>
      </w:r>
    </w:p>
    <w:bookmarkEnd w:id="140"/>
    <w:bookmarkStart w:name="z158" w:id="141"/>
    <w:p>
      <w:pPr>
        <w:spacing w:after="0"/>
        <w:ind w:left="0"/>
        <w:jc w:val="both"/>
      </w:pPr>
      <w:r>
        <w:rPr>
          <w:rFonts w:ascii="Times New Roman"/>
          <w:b w:val="false"/>
          <w:i w:val="false"/>
          <w:color w:val="000000"/>
          <w:sz w:val="28"/>
        </w:rPr>
        <w:t>
      6) противооползневого сооружения в бассейне реки Талгар в Алматинской области.</w:t>
      </w:r>
    </w:p>
    <w:bookmarkEnd w:id="141"/>
    <w:bookmarkStart w:name="z159" w:id="142"/>
    <w:p>
      <w:pPr>
        <w:spacing w:after="0"/>
        <w:ind w:left="0"/>
        <w:jc w:val="both"/>
      </w:pPr>
      <w:r>
        <w:rPr>
          <w:rFonts w:ascii="Times New Roman"/>
          <w:b w:val="false"/>
          <w:i w:val="false"/>
          <w:color w:val="000000"/>
          <w:sz w:val="28"/>
        </w:rPr>
        <w:t>
      Существующая в стране система оповещения гражданской защиты введена в эксплуатацию в конце 70-х годов прошлого столетия. Имеющаяся аппаратура на 100% аналоговая и не обеспечивает интеграцию с современными цифровыми системами передачи информации. Поддержание оборудования в работоспособном состоянии крайне затруднительно, так как оно снято с производства.</w:t>
      </w:r>
    </w:p>
    <w:bookmarkEnd w:id="142"/>
    <w:bookmarkStart w:name="z160" w:id="143"/>
    <w:p>
      <w:pPr>
        <w:spacing w:after="0"/>
        <w:ind w:left="0"/>
        <w:jc w:val="both"/>
      </w:pPr>
      <w:r>
        <w:rPr>
          <w:rFonts w:ascii="Times New Roman"/>
          <w:b w:val="false"/>
          <w:i w:val="false"/>
          <w:color w:val="000000"/>
          <w:sz w:val="28"/>
        </w:rPr>
        <w:t>
      На территориальном уровне для экстренного оповещения населения страны имеется 2236 электросирен, которыми возможно оповестить порядка 60% населения, проживающего в городах и районных центрах (дополнительно требуется установка 4800 электросирен).</w:t>
      </w:r>
    </w:p>
    <w:bookmarkEnd w:id="143"/>
    <w:bookmarkStart w:name="z161" w:id="144"/>
    <w:p>
      <w:pPr>
        <w:spacing w:after="0"/>
        <w:ind w:left="0"/>
        <w:jc w:val="both"/>
      </w:pPr>
      <w:r>
        <w:rPr>
          <w:rFonts w:ascii="Times New Roman"/>
          <w:b w:val="false"/>
          <w:i w:val="false"/>
          <w:color w:val="000000"/>
          <w:sz w:val="28"/>
        </w:rPr>
        <w:t>
      Министерство внутренних дел Республики Казахстан совместно с местными исполнительными органами проводит работу по созданию локальных систем оповещения в областных и районных центрах за счет средств местных бюджетов.</w:t>
      </w:r>
    </w:p>
    <w:bookmarkEnd w:id="144"/>
    <w:bookmarkStart w:name="z162" w:id="145"/>
    <w:p>
      <w:pPr>
        <w:spacing w:after="0"/>
        <w:ind w:left="0"/>
        <w:jc w:val="both"/>
      </w:pPr>
      <w:r>
        <w:rPr>
          <w:rFonts w:ascii="Times New Roman"/>
          <w:b w:val="false"/>
          <w:i w:val="false"/>
          <w:color w:val="000000"/>
          <w:sz w:val="28"/>
        </w:rPr>
        <w:t>
      В целях поддержания в постоянной готовности и выявления фактов выхода из строя оборудования оповещения организовано проведение ежемесячных тренировок с подачей единого сигнала оповещения "Внимание всем!" (посредством запуска электросирен).</w:t>
      </w:r>
    </w:p>
    <w:bookmarkEnd w:id="145"/>
    <w:bookmarkStart w:name="z163" w:id="146"/>
    <w:p>
      <w:pPr>
        <w:spacing w:after="0"/>
        <w:ind w:left="0"/>
        <w:jc w:val="both"/>
      </w:pPr>
      <w:r>
        <w:rPr>
          <w:rFonts w:ascii="Times New Roman"/>
          <w:b w:val="false"/>
          <w:i w:val="false"/>
          <w:color w:val="000000"/>
          <w:sz w:val="28"/>
        </w:rPr>
        <w:t>
      Наибольшая потребность в оснащении средствами оповещения наблюдается в Актюбинской, Атырауской, Жамбылской, Костанайской, Западно-Казахстанской, Кызылординской и Туркестанской областях, где процент оснащенности электросиренами не превышает 20% от общей потребности региона. Наряду с этим предстоит провести работу по созданию систем оповещения в Акмолинской, Алматинской, Мангистауской, Восточно-Казахстанской, Северо-Казахстанской, Павлодарской, Карагандинской областях, городах Нур-Султане, Алматы, Шымкенте.</w:t>
      </w:r>
    </w:p>
    <w:bookmarkEnd w:id="146"/>
    <w:bookmarkStart w:name="z164" w:id="147"/>
    <w:p>
      <w:pPr>
        <w:spacing w:after="0"/>
        <w:ind w:left="0"/>
        <w:jc w:val="both"/>
      </w:pPr>
      <w:r>
        <w:rPr>
          <w:rFonts w:ascii="Times New Roman"/>
          <w:b w:val="false"/>
          <w:i w:val="false"/>
          <w:color w:val="000000"/>
          <w:sz w:val="28"/>
        </w:rPr>
        <w:t xml:space="preserve">
      В сфере экологического регулирования ведется работа по внедрению стандартов и требований ОЭСР. </w:t>
      </w:r>
    </w:p>
    <w:bookmarkEnd w:id="147"/>
    <w:bookmarkStart w:name="z165" w:id="148"/>
    <w:p>
      <w:pPr>
        <w:spacing w:after="0"/>
        <w:ind w:left="0"/>
        <w:jc w:val="both"/>
      </w:pPr>
      <w:r>
        <w:rPr>
          <w:rFonts w:ascii="Times New Roman"/>
          <w:b w:val="false"/>
          <w:i w:val="false"/>
          <w:color w:val="000000"/>
          <w:sz w:val="28"/>
        </w:rPr>
        <w:t>
      Так в сфере управления отходами механизм расширенных обязательств производителей (РОП) позволил развивать инфраструктуру для раздельного сбора бытовых отходов: количество предприятий выросло со 115 до 170, создана сеть контейнеров для сбора ртутных ламп в 11 регионах, раздельный сбор электрооборудования в 9 регионах, сеть пунктов приема вторсырья работает в 6 регионах. Таким образом по республике раздельный сбор на разных этапах внедрен в 51 городе и районе, а сортировка - в 30 населенных пунктах. На сортировочных комплексах созданы свыше тысячи рабочих мест.</w:t>
      </w:r>
    </w:p>
    <w:bookmarkEnd w:id="148"/>
    <w:bookmarkStart w:name="z166" w:id="149"/>
    <w:p>
      <w:pPr>
        <w:spacing w:after="0"/>
        <w:ind w:left="0"/>
        <w:jc w:val="both"/>
      </w:pPr>
      <w:r>
        <w:rPr>
          <w:rFonts w:ascii="Times New Roman"/>
          <w:b w:val="false"/>
          <w:i w:val="false"/>
          <w:color w:val="000000"/>
          <w:sz w:val="28"/>
        </w:rPr>
        <w:t>
      С 2019 года запрещено захоронение пластмассы, макулатуры, картона и отходов бумаги, стекла. Однако запущенный механизм не действует, так как в регионах не имеется в наличии соответствующая инфраструктура.</w:t>
      </w:r>
    </w:p>
    <w:bookmarkEnd w:id="149"/>
    <w:bookmarkStart w:name="z167" w:id="150"/>
    <w:p>
      <w:pPr>
        <w:spacing w:after="0"/>
        <w:ind w:left="0"/>
        <w:jc w:val="both"/>
      </w:pPr>
      <w:r>
        <w:rPr>
          <w:rFonts w:ascii="Times New Roman"/>
          <w:b w:val="false"/>
          <w:i w:val="false"/>
          <w:color w:val="000000"/>
          <w:sz w:val="28"/>
        </w:rPr>
        <w:t>
      В целом, вопросы безопасного обращения с отходами требуют создания системного подхода, включающего меры государственной поддержки.</w:t>
      </w:r>
    </w:p>
    <w:bookmarkEnd w:id="150"/>
    <w:bookmarkStart w:name="z168" w:id="151"/>
    <w:p>
      <w:pPr>
        <w:spacing w:after="0"/>
        <w:ind w:left="0"/>
        <w:jc w:val="both"/>
      </w:pPr>
      <w:r>
        <w:rPr>
          <w:rFonts w:ascii="Times New Roman"/>
          <w:b w:val="false"/>
          <w:i w:val="false"/>
          <w:color w:val="000000"/>
          <w:sz w:val="28"/>
        </w:rPr>
        <w:t>
      Важным механизмом усиления экономической конкурентоспособности регионов является интенсификация межрегиональных связей, направленных на максимальное использование потенциала развития несырьевых отраслей и повышение глубины переработки сырьевых ресурсов.</w:t>
      </w:r>
    </w:p>
    <w:bookmarkEnd w:id="151"/>
    <w:bookmarkStart w:name="z169" w:id="152"/>
    <w:p>
      <w:pPr>
        <w:spacing w:after="0"/>
        <w:ind w:left="0"/>
        <w:jc w:val="both"/>
      </w:pPr>
      <w:r>
        <w:rPr>
          <w:rFonts w:ascii="Times New Roman"/>
          <w:b w:val="false"/>
          <w:i w:val="false"/>
          <w:color w:val="000000"/>
          <w:sz w:val="28"/>
        </w:rPr>
        <w:t xml:space="preserve">
      В настоящее время межрегиональная кооперация между регионами в основном ориентирована на поставки сырья, материалов, комплектующих и оборудования отечественными производителями предприятиям сырьевого, строительного, энергетического комплексов и жилищно-коммунального хозяйства (далее - ЖКХ) и носит несистемный нецеленаправленный характер. При реализации проектов не учитывается наличие уже действующих предприятий данного профиля в других областях, что создает неэффективную (ненужную) конкуренцию на товарных рынках. </w:t>
      </w:r>
    </w:p>
    <w:bookmarkEnd w:id="152"/>
    <w:bookmarkStart w:name="z170" w:id="153"/>
    <w:p>
      <w:pPr>
        <w:spacing w:after="0"/>
        <w:ind w:left="0"/>
        <w:jc w:val="both"/>
      </w:pPr>
      <w:r>
        <w:rPr>
          <w:rFonts w:ascii="Times New Roman"/>
          <w:b w:val="false"/>
          <w:i w:val="false"/>
          <w:color w:val="000000"/>
          <w:sz w:val="28"/>
        </w:rPr>
        <w:t>
      Между предприятиями областей кооперационные связи остаются слабо развитыми, что создает существенные препятствия для успешной реализации приоритетов, связанных с поддержкой промышленного производства и предоставлением услуг.</w:t>
      </w:r>
    </w:p>
    <w:bookmarkEnd w:id="153"/>
    <w:bookmarkStart w:name="z171" w:id="154"/>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 "первого уровня" (агломерации)</w:t>
      </w:r>
    </w:p>
    <w:bookmarkEnd w:id="154"/>
    <w:bookmarkStart w:name="z172" w:id="155"/>
    <w:p>
      <w:pPr>
        <w:spacing w:after="0"/>
        <w:ind w:left="0"/>
        <w:jc w:val="both"/>
      </w:pPr>
      <w:r>
        <w:rPr>
          <w:rFonts w:ascii="Times New Roman"/>
          <w:b w:val="false"/>
          <w:i w:val="false"/>
          <w:color w:val="000000"/>
          <w:sz w:val="28"/>
        </w:rPr>
        <w:t>
      Городские агломерации объективно становятся ключевыми формами современного расселения в большинстве стран мира. В США более 76% всего населения проживает в агломерациях, крупнейшими из которых являются Нью-Йоркская (11,3 тыс. кв. км, 23,3 млн. человек) и Лос-Анджелесская (5,8 тыс. кв. км, 18,6 млн. человек) агломерации.</w:t>
      </w:r>
    </w:p>
    <w:bookmarkEnd w:id="155"/>
    <w:bookmarkStart w:name="z173" w:id="156"/>
    <w:p>
      <w:pPr>
        <w:spacing w:after="0"/>
        <w:ind w:left="0"/>
        <w:jc w:val="both"/>
      </w:pPr>
      <w:r>
        <w:rPr>
          <w:rFonts w:ascii="Times New Roman"/>
          <w:b w:val="false"/>
          <w:i w:val="false"/>
          <w:color w:val="000000"/>
          <w:sz w:val="28"/>
        </w:rPr>
        <w:t>
      Агломерациями мирового уровня в Европе являются Лондонская (11 тыс. кв. км, 13,4 млн. человек) и Парижская (12 тыс. кв. км, более 12 млн. человек).</w:t>
      </w:r>
    </w:p>
    <w:bookmarkEnd w:id="156"/>
    <w:bookmarkStart w:name="z174" w:id="157"/>
    <w:p>
      <w:pPr>
        <w:spacing w:after="0"/>
        <w:ind w:left="0"/>
        <w:jc w:val="both"/>
      </w:pPr>
      <w:r>
        <w:rPr>
          <w:rFonts w:ascii="Times New Roman"/>
          <w:b w:val="false"/>
          <w:i w:val="false"/>
          <w:color w:val="000000"/>
          <w:sz w:val="28"/>
        </w:rPr>
        <w:t>
      Быстрыми темпами формируются урбанизированные территории в Китае - Шанхай (7,1 тыс. кв. км, 18,6 млн. человек), Бразилии - Рио-де-Жанейро (4,6 тыс. кв. км, 12,1 млн. человек), Аргентине - Буэнос-Айрес (2,7 тыс. кв. км, 14,6 млн. человек), Индии - Колката (1,8 тыс. кв. км, 15,6 млн. человек) и других развивающихся странах.</w:t>
      </w:r>
    </w:p>
    <w:bookmarkEnd w:id="157"/>
    <w:bookmarkStart w:name="z175" w:id="158"/>
    <w:p>
      <w:pPr>
        <w:spacing w:after="0"/>
        <w:ind w:left="0"/>
        <w:jc w:val="both"/>
      </w:pPr>
      <w:r>
        <w:rPr>
          <w:rFonts w:ascii="Times New Roman"/>
          <w:b w:val="false"/>
          <w:i w:val="false"/>
          <w:color w:val="000000"/>
          <w:sz w:val="28"/>
        </w:rPr>
        <w:t>
      Свою специфику имеет развитие агломераций в развивающихся странах. Для них характерна модель растущего сосредоточения населения и всех сфер экономики в немногих ведущих и крупнейших центрах. Переток населения из сельской местности в крупные и крупнейшие городские центры будет продолжаться высокими темпами.</w:t>
      </w:r>
    </w:p>
    <w:bookmarkEnd w:id="158"/>
    <w:bookmarkStart w:name="z176" w:id="159"/>
    <w:p>
      <w:pPr>
        <w:spacing w:after="0"/>
        <w:ind w:left="0"/>
        <w:jc w:val="both"/>
      </w:pPr>
      <w:r>
        <w:rPr>
          <w:rFonts w:ascii="Times New Roman"/>
          <w:b w:val="false"/>
          <w:i w:val="false"/>
          <w:color w:val="000000"/>
          <w:sz w:val="28"/>
        </w:rPr>
        <w:t>
      В докладе ВБ о мировом развитии за 2009 год "Новый взгляд на экономическую географию" делается вывод, что "половина объема мирового производства сосредоточена на полутора процентах территории планеты. Занимая всего 0,5 процента территории Египта, Большой Каир производит более половины ВВП страны".</w:t>
      </w:r>
    </w:p>
    <w:bookmarkEnd w:id="159"/>
    <w:bookmarkStart w:name="z177" w:id="160"/>
    <w:p>
      <w:pPr>
        <w:spacing w:after="0"/>
        <w:ind w:left="0"/>
        <w:jc w:val="both"/>
      </w:pPr>
      <w:r>
        <w:rPr>
          <w:rFonts w:ascii="Times New Roman"/>
          <w:b w:val="false"/>
          <w:i w:val="false"/>
          <w:color w:val="000000"/>
          <w:sz w:val="28"/>
        </w:rPr>
        <w:t>
      О том, что города играют важную роль в экономическом развитии стран, свидетельствуют и другие данные. Так в 2015 году 85% мирового ВВП было сформировано в городах (PwC, 2019). В том же году в 300 крупнейших городах мира проживали 19% населения земли и эти города сформировали 48% мирового ВВП (Ernst and Young, 2015).</w:t>
      </w:r>
    </w:p>
    <w:bookmarkEnd w:id="160"/>
    <w:bookmarkStart w:name="z178" w:id="161"/>
    <w:p>
      <w:pPr>
        <w:spacing w:after="0"/>
        <w:ind w:left="0"/>
        <w:jc w:val="both"/>
      </w:pPr>
      <w:r>
        <w:rPr>
          <w:rFonts w:ascii="Times New Roman"/>
          <w:b w:val="false"/>
          <w:i w:val="false"/>
          <w:color w:val="000000"/>
          <w:sz w:val="28"/>
        </w:rPr>
        <w:t>
      В докладе Всемирного экономического форума (ВЭФ) по глобальной конкурентоспособности на 2016-2017 годы делается акцент на важность конкурентоспособности городов, повышающих конкурентоспособность стран и их регионов.</w:t>
      </w:r>
    </w:p>
    <w:bookmarkEnd w:id="161"/>
    <w:bookmarkStart w:name="z179" w:id="162"/>
    <w:p>
      <w:pPr>
        <w:spacing w:after="0"/>
        <w:ind w:left="0"/>
        <w:jc w:val="both"/>
      </w:pPr>
      <w:r>
        <w:rPr>
          <w:rFonts w:ascii="Times New Roman"/>
          <w:b w:val="false"/>
          <w:i w:val="false"/>
          <w:color w:val="000000"/>
          <w:sz w:val="28"/>
        </w:rPr>
        <w:t>
      Эти тенденции можно проследить и по Казахстану. Так по предварительным итогам 2018 года удельный вес ВРП в ВВП страны по городам Нур-Султану и Алматы составил 9,8% и 20,6% соответственно (в 2017 году 10,6% и 21,8%, 2016 году - 10,4% и 22,6%, в 2015 году - 11,8% и 22,3% и в 2014 году - 10,1% и 20,,5%), или в сумме 30,4% (на душу населения в пределах 5,5-6,7 млн. тенге), что существенно отличается от других регионов.</w:t>
      </w:r>
    </w:p>
    <w:bookmarkEnd w:id="162"/>
    <w:bookmarkStart w:name="z180" w:id="163"/>
    <w:p>
      <w:pPr>
        <w:spacing w:after="0"/>
        <w:ind w:left="0"/>
        <w:jc w:val="both"/>
      </w:pPr>
      <w:r>
        <w:rPr>
          <w:rFonts w:ascii="Times New Roman"/>
          <w:b w:val="false"/>
          <w:i w:val="false"/>
          <w:color w:val="000000"/>
          <w:sz w:val="28"/>
        </w:rPr>
        <w:t>
      Однако, если развитие городских центров "пускается на самотек", неконтролируемые процессы миграции населения из сельской местности и малых городов с низким экономическим потенциалом могут вести к формированию чрезмерной нагрузки на мощности жилищно-коммунальной инфраструктуры, возникновению на периферии городских поселений зон социально-экономической маргинализации.</w:t>
      </w:r>
    </w:p>
    <w:bookmarkEnd w:id="163"/>
    <w:bookmarkStart w:name="z181" w:id="164"/>
    <w:p>
      <w:pPr>
        <w:spacing w:after="0"/>
        <w:ind w:left="0"/>
        <w:jc w:val="both"/>
      </w:pPr>
      <w:r>
        <w:rPr>
          <w:rFonts w:ascii="Times New Roman"/>
          <w:b w:val="false"/>
          <w:i w:val="false"/>
          <w:color w:val="000000"/>
          <w:sz w:val="28"/>
        </w:rPr>
        <w:t>
      Подобные тенденции характерны для отдельных городских агломераций в странах Латинской Америки, Азии и Африки, способствуя консервации не только экономической отсталости и неравенства, но и социальной нестабильности.</w:t>
      </w:r>
    </w:p>
    <w:bookmarkEnd w:id="164"/>
    <w:bookmarkStart w:name="z182" w:id="165"/>
    <w:p>
      <w:pPr>
        <w:spacing w:after="0"/>
        <w:ind w:left="0"/>
        <w:jc w:val="both"/>
      </w:pPr>
      <w:r>
        <w:rPr>
          <w:rFonts w:ascii="Times New Roman"/>
          <w:b w:val="false"/>
          <w:i w:val="false"/>
          <w:color w:val="000000"/>
          <w:sz w:val="28"/>
        </w:rPr>
        <w:t>
      В настоящее время в Казахстане городами "первого уровня" определены агломерации с центрами в городах Нур-Султане, Алматы, Шымкенте и Актобе. Формирующиеся городские агломерации концентрируют более трети всего населения страны.</w:t>
      </w:r>
    </w:p>
    <w:bookmarkEnd w:id="165"/>
    <w:bookmarkStart w:name="z183" w:id="166"/>
    <w:p>
      <w:pPr>
        <w:spacing w:after="0"/>
        <w:ind w:left="0"/>
        <w:jc w:val="both"/>
      </w:pPr>
      <w:r>
        <w:rPr>
          <w:rFonts w:ascii="Times New Roman"/>
          <w:b w:val="false"/>
          <w:i w:val="false"/>
          <w:color w:val="000000"/>
          <w:sz w:val="28"/>
        </w:rPr>
        <w:t>
      В 2018 году среднегодовая численность населения агломераций с центрами в городах "первого уровня" составила 7 005,4 тыс. человек, что составляет 38,1% от общей численности населения страны (в 2017 году - 6 525,6 тыс. человек, в 2016 году - 6 605,9 тыс. человек, в 2015 году - 6 088,3 тыс. человек и в 2014 году - 5 790,1 тыс. человек). При этом численность населения городов Нур-Султана, Алматы и Шымкента уже превышает уровень, за которым в условиях Казахстана реализуются агломерационные эффекты (500 тыс. человек).</w:t>
      </w:r>
    </w:p>
    <w:bookmarkEnd w:id="166"/>
    <w:bookmarkStart w:name="z184" w:id="167"/>
    <w:p>
      <w:pPr>
        <w:spacing w:after="0"/>
        <w:ind w:left="0"/>
        <w:jc w:val="both"/>
      </w:pPr>
      <w:r>
        <w:rPr>
          <w:rFonts w:ascii="Times New Roman"/>
          <w:b w:val="false"/>
          <w:i w:val="false"/>
          <w:color w:val="000000"/>
          <w:sz w:val="28"/>
        </w:rPr>
        <w:t xml:space="preserve">
      Для решения проблем агломераций с 2013 года реализовывались утвержденные постановлениями Правительства межрегиональные планы мероприятий по развитию Астанинской и Алматинской агломераций до 2020 года (от 18 июня 2013 года № 611 и от 6 июня 2013 года № 581), с 2014 года - </w:t>
      </w:r>
      <w:r>
        <w:rPr>
          <w:rFonts w:ascii="Times New Roman"/>
          <w:b w:val="false"/>
          <w:i w:val="false"/>
          <w:color w:val="000000"/>
          <w:sz w:val="28"/>
        </w:rPr>
        <w:t>Комплексный план</w:t>
      </w:r>
      <w:r>
        <w:rPr>
          <w:rFonts w:ascii="Times New Roman"/>
          <w:b w:val="false"/>
          <w:i w:val="false"/>
          <w:color w:val="000000"/>
          <w:sz w:val="28"/>
        </w:rPr>
        <w:t xml:space="preserve"> социально-экономического развития населенных пунктов, прилегающих к городу Астане, до 2020 года (постановление Правительства Республики Казахстан от 19 июня 2014 года № 681).</w:t>
      </w:r>
    </w:p>
    <w:bookmarkEnd w:id="167"/>
    <w:bookmarkStart w:name="z185" w:id="168"/>
    <w:p>
      <w:pPr>
        <w:spacing w:after="0"/>
        <w:ind w:left="0"/>
        <w:jc w:val="both"/>
      </w:pPr>
      <w:r>
        <w:rPr>
          <w:rFonts w:ascii="Times New Roman"/>
          <w:b w:val="false"/>
          <w:i w:val="false"/>
          <w:color w:val="000000"/>
          <w:sz w:val="28"/>
        </w:rPr>
        <w:t>
      В Алматинской области с 2008 года реализуется проект по развитию 4-х городов-спутников города Алматы "G4 City".</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мая 2016 года № 302 утверждена Межрегиональная схема территориального развития Алматинской агломерации. Разработано ТЭО по строительству первого города-спутника города Алматы (Gate City) до 2030 года. </w:t>
      </w:r>
    </w:p>
    <w:bookmarkStart w:name="z187" w:id="169"/>
    <w:p>
      <w:pPr>
        <w:spacing w:after="0"/>
        <w:ind w:left="0"/>
        <w:jc w:val="both"/>
      </w:pPr>
      <w:r>
        <w:rPr>
          <w:rFonts w:ascii="Times New Roman"/>
          <w:b w:val="false"/>
          <w:i w:val="false"/>
          <w:color w:val="000000"/>
          <w:sz w:val="28"/>
        </w:rPr>
        <w:t>
      Первый город-спутник Gate City (Ворота города) запланирован как деловой центр с жилой застройкой и индустриальной зоной для размещения предприятий агропромышленного кластера.</w:t>
      </w:r>
    </w:p>
    <w:bookmarkEnd w:id="169"/>
    <w:bookmarkStart w:name="z188" w:id="170"/>
    <w:p>
      <w:pPr>
        <w:spacing w:after="0"/>
        <w:ind w:left="0"/>
        <w:jc w:val="both"/>
      </w:pPr>
      <w:r>
        <w:rPr>
          <w:rFonts w:ascii="Times New Roman"/>
          <w:b w:val="false"/>
          <w:i w:val="false"/>
          <w:color w:val="000000"/>
          <w:sz w:val="28"/>
        </w:rPr>
        <w:t>
      Согласно генеральному плану Gate City (утвержден решением Алматинского областного маслихата от 26 апреля 2017 года № 14-80) территория города-спутника составляет 2370 га, прогнозная численность населения до 2030 года - 60 тыс. человек. Функциональное наполнение: жилая зона ограничена южной частью (304 га, 1,4 млн.кв.м. жилья), севернее будут обеспечены места приложения труда на транспортно-сервисном узле, индустриальной зоне (535 га) и предприятиях агропромышленного кластера.</w:t>
      </w:r>
    </w:p>
    <w:bookmarkEnd w:id="170"/>
    <w:bookmarkStart w:name="z189" w:id="171"/>
    <w:p>
      <w:pPr>
        <w:spacing w:after="0"/>
        <w:ind w:left="0"/>
        <w:jc w:val="both"/>
      </w:pPr>
      <w:r>
        <w:rPr>
          <w:rFonts w:ascii="Times New Roman"/>
          <w:b w:val="false"/>
          <w:i w:val="false"/>
          <w:color w:val="000000"/>
          <w:sz w:val="28"/>
        </w:rPr>
        <w:t xml:space="preserve">
      На основании ТЭО проекта "Строительство 4-х городов-спутников г.Алматы в Алматинской области - основные положения генеральных планов" (утверждено решением маслихата Алматинской области от 12 мая 2016 года №2-22) разработано ФЭО и начаты работы по проекту "Строительство объектов инженерно-коммуникационной инфраструктуры первого города-спутника "Gate City" в Алматинской области. 1-я очередь". </w:t>
      </w:r>
    </w:p>
    <w:bookmarkEnd w:id="171"/>
    <w:bookmarkStart w:name="z190" w:id="172"/>
    <w:p>
      <w:pPr>
        <w:spacing w:after="0"/>
        <w:ind w:left="0"/>
        <w:jc w:val="both"/>
      </w:pPr>
      <w:r>
        <w:rPr>
          <w:rFonts w:ascii="Times New Roman"/>
          <w:b w:val="false"/>
          <w:i w:val="false"/>
          <w:color w:val="000000"/>
          <w:sz w:val="28"/>
        </w:rPr>
        <w:t xml:space="preserve">
      Учитывая особую актуальность формирования агломераций с конкурентоспособной экономикой и высоким качеством жизни населения, в соответствии с Законом Республики Казахстан от 16 июля 2001 года "Об архитектурной, градостроительной и строительной деятельности в Республике Казахстан" и во исполнение основных положений Генеральной схемы организации территории Республики Казахстан приняты </w:t>
      </w:r>
      <w:r>
        <w:rPr>
          <w:rFonts w:ascii="Times New Roman"/>
          <w:b w:val="false"/>
          <w:i w:val="false"/>
          <w:color w:val="000000"/>
          <w:sz w:val="28"/>
        </w:rPr>
        <w:t>межрегиональные схемы</w:t>
      </w:r>
      <w:r>
        <w:rPr>
          <w:rFonts w:ascii="Times New Roman"/>
          <w:b w:val="false"/>
          <w:i w:val="false"/>
          <w:color w:val="000000"/>
          <w:sz w:val="28"/>
        </w:rPr>
        <w:t xml:space="preserve"> территориального развития Алматинской (постановление Правительства Республики Казахстан от 24 мая 2016 года № 302), Астанинской (</w:t>
      </w:r>
      <w:r>
        <w:rPr>
          <w:rFonts w:ascii="Times New Roman"/>
          <w:b w:val="false"/>
          <w:i w:val="false"/>
          <w:color w:val="000000"/>
          <w:sz w:val="28"/>
        </w:rPr>
        <w:t>постановление</w:t>
      </w:r>
      <w:r>
        <w:rPr>
          <w:rFonts w:ascii="Times New Roman"/>
          <w:b w:val="false"/>
          <w:i w:val="false"/>
          <w:color w:val="000000"/>
          <w:sz w:val="28"/>
        </w:rPr>
        <w:t> Правительства Республики Казахстан от 8 ноября 2017 года № 726), Шымкентской (</w:t>
      </w:r>
      <w:r>
        <w:rPr>
          <w:rFonts w:ascii="Times New Roman"/>
          <w:b w:val="false"/>
          <w:i w:val="false"/>
          <w:color w:val="000000"/>
          <w:sz w:val="28"/>
        </w:rPr>
        <w:t>постановление</w:t>
      </w:r>
      <w:r>
        <w:rPr>
          <w:rFonts w:ascii="Times New Roman"/>
          <w:b w:val="false"/>
          <w:i w:val="false"/>
          <w:color w:val="000000"/>
          <w:sz w:val="28"/>
        </w:rPr>
        <w:t> Правительства Республики Казахстан от 22 февраля 2018 года № 74) и Актюбинской (</w:t>
      </w:r>
      <w:r>
        <w:rPr>
          <w:rFonts w:ascii="Times New Roman"/>
          <w:b w:val="false"/>
          <w:i w:val="false"/>
          <w:color w:val="000000"/>
          <w:sz w:val="28"/>
        </w:rPr>
        <w:t>постановление</w:t>
      </w:r>
      <w:r>
        <w:rPr>
          <w:rFonts w:ascii="Times New Roman"/>
          <w:b w:val="false"/>
          <w:i w:val="false"/>
          <w:color w:val="000000"/>
          <w:sz w:val="28"/>
        </w:rPr>
        <w:t> Правительства Республики Казахстан от 3 марта 2018 года № 109) агломераций.</w:t>
      </w:r>
    </w:p>
    <w:bookmarkEnd w:id="172"/>
    <w:bookmarkStart w:name="z191" w:id="173"/>
    <w:p>
      <w:pPr>
        <w:spacing w:after="0"/>
        <w:ind w:left="0"/>
        <w:jc w:val="both"/>
      </w:pPr>
      <w:r>
        <w:rPr>
          <w:rFonts w:ascii="Times New Roman"/>
          <w:b w:val="false"/>
          <w:i w:val="false"/>
          <w:color w:val="000000"/>
          <w:sz w:val="28"/>
        </w:rPr>
        <w:t>
      Межрегиональные схемы являются градостроительной стратегией, определяющей перспективы развития территорий агломераций и их долгосрочную потребность в инфраструктуре. Очередность реализации, источники и объемы финансирования положений межрегиональных схем определяются на уровне государственных программ и программ развития территорий.</w:t>
      </w:r>
    </w:p>
    <w:bookmarkEnd w:id="173"/>
    <w:bookmarkStart w:name="z192" w:id="174"/>
    <w:p>
      <w:pPr>
        <w:spacing w:after="0"/>
        <w:ind w:left="0"/>
        <w:jc w:val="both"/>
      </w:pPr>
      <w:r>
        <w:rPr>
          <w:rFonts w:ascii="Times New Roman"/>
          <w:b w:val="false"/>
          <w:i w:val="false"/>
          <w:color w:val="000000"/>
          <w:sz w:val="28"/>
        </w:rPr>
        <w:t>
      В целом необходимо учитывать, что конкурентоспособность городов зависит от уровня человеческого капитала, среды устойчивого социально-экономического развития, открытости городов для глобальной экономики, управления развитием агломераций на принципах инклюзивности (открытости). Также для эффективного формирования агломераций следует принимать меры по опережающему развитию инженерной и социальной инфраструктуры, модернизации жилья на окраинах мегаполисов. Также большое значение в эффективном формировании агломераций имеет скоординированное развитие центра агломерации с моно- и малыми городами и другими населенными пунктами, расположенными в периферийной зоне агломерации. Так, в зоне влияния города Нур-Султана находятся малый город Акколь, города Алматы - Есик, Капшагай, Каскелен, Талгар, города Шымкента - Ленгер, города Актобе - моногорода Алга, Хромтау. Эта тесная взаимосвязь заключается, в первую очередь, в виде постоянной (ежедневной) маятниковой миграции в крупные города.</w:t>
      </w:r>
    </w:p>
    <w:bookmarkEnd w:id="174"/>
    <w:bookmarkStart w:name="z193" w:id="175"/>
    <w:p>
      <w:pPr>
        <w:spacing w:after="0"/>
        <w:ind w:left="0"/>
        <w:jc w:val="both"/>
      </w:pPr>
      <w:r>
        <w:rPr>
          <w:rFonts w:ascii="Times New Roman"/>
          <w:b w:val="false"/>
          <w:i w:val="false"/>
          <w:color w:val="000000"/>
          <w:sz w:val="28"/>
        </w:rPr>
        <w:t xml:space="preserve">
      Решение вопросов развития агломераций необходимо учитывать при разработке и реализации как государственных программ, так и программ развития соответствующих территорий. </w:t>
      </w:r>
    </w:p>
    <w:bookmarkEnd w:id="175"/>
    <w:bookmarkStart w:name="z194" w:id="176"/>
    <w:p>
      <w:pPr>
        <w:spacing w:after="0"/>
        <w:ind w:left="0"/>
        <w:jc w:val="both"/>
      </w:pPr>
      <w:r>
        <w:rPr>
          <w:rFonts w:ascii="Times New Roman"/>
          <w:b w:val="false"/>
          <w:i w:val="false"/>
          <w:color w:val="000000"/>
          <w:sz w:val="28"/>
        </w:rPr>
        <w:t>
      В крупных городах в рамках Государственной программы "Цифровой Казахстан" начата работа по реализации концепции "умный город", которая подразумевает интеграцию информационных и коммуникационных технологий (далее - ИКТ) и Интернета вещей (IoT) для управления городским имуществом в целях улучшения качества жизни и повышения эффективности обслуживания населения. ИКТ позволяют акиматам городов напрямую взаимодействовать с сообществами и городской инфраструктурой и следить за тем, что происходит в городе. В целом проект "умного" города состоит, в основном, из следующих компонентов: решения в области энергопоставки и энергосбережения; управление водными ресурсами: модернизация водных систем, мониторинг потребления, системы экологической безопасности; здания, в которых все инженерные и информационные системы интегрированы в единую систему управления; использование информационных технологий при предоставлении государственных услуг.</w:t>
      </w:r>
    </w:p>
    <w:bookmarkEnd w:id="176"/>
    <w:bookmarkStart w:name="z195" w:id="177"/>
    <w:p>
      <w:pPr>
        <w:spacing w:after="0"/>
        <w:ind w:left="0"/>
        <w:jc w:val="both"/>
      </w:pPr>
      <w:r>
        <w:rPr>
          <w:rFonts w:ascii="Times New Roman"/>
          <w:b w:val="false"/>
          <w:i w:val="false"/>
          <w:color w:val="000000"/>
          <w:sz w:val="28"/>
        </w:rPr>
        <w:t>
      Международная консалтинговая компания McKinsey прогнозирует появление 600 "умных" городов уже к 2020 году. Согласно прогнозу они будут генерировать по меньшей мере две трети мирового ВВП. В этой связи эту важную работу необходимо продолжить как в центрах агломераций, так и других крупных и больших городах.</w:t>
      </w:r>
    </w:p>
    <w:bookmarkEnd w:id="177"/>
    <w:bookmarkStart w:name="z196" w:id="1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Города "второго уровня" </w:t>
      </w:r>
    </w:p>
    <w:bookmarkEnd w:id="178"/>
    <w:bookmarkStart w:name="z197" w:id="179"/>
    <w:p>
      <w:pPr>
        <w:spacing w:after="0"/>
        <w:ind w:left="0"/>
        <w:jc w:val="both"/>
      </w:pPr>
      <w:r>
        <w:rPr>
          <w:rFonts w:ascii="Times New Roman"/>
          <w:b w:val="false"/>
          <w:i w:val="false"/>
          <w:color w:val="000000"/>
          <w:sz w:val="28"/>
        </w:rPr>
        <w:t>
      В настоящее время в Казахстане к городам "второго уровня" относятся 14 городов областного значения, которые являются административными центрами областей (города Кокшетау, Талдыкорган, Атырау, Уральск, Тараз, Караганда, Костанай, Кызылорда, Актау, Павлодар, Петропавловск, Усть-Каменогорск, Актобе и Туркестан). При этом центр Актюбинской области город Актобе в рамках Прогнозной схемы и настоящей Государственной программы идентифицирован как город-ядро агломерации. Город областного значения, не являющийся областным центром, Семей также отнесен к городу "второго уровня". Это связано с тем, что город Семей по структуре экономики и численности населения не может быть идентифицирован как моно- или малый город. При этом динамика ряда социально-экономических показателей за последние годы свидетельствует о необходимости принятия дополнительных мер по развитию города Семей. Тогда как города "второго уровня", являющиеся областными центрами, в настоящее время развиваются опережающими темпами по сравнению с остальной территорией (населенными пунктами) областей.</w:t>
      </w:r>
    </w:p>
    <w:bookmarkEnd w:id="179"/>
    <w:bookmarkStart w:name="z198" w:id="180"/>
    <w:p>
      <w:pPr>
        <w:spacing w:after="0"/>
        <w:ind w:left="0"/>
        <w:jc w:val="both"/>
      </w:pPr>
      <w:r>
        <w:rPr>
          <w:rFonts w:ascii="Times New Roman"/>
          <w:b w:val="false"/>
          <w:i w:val="false"/>
          <w:color w:val="000000"/>
          <w:sz w:val="28"/>
        </w:rPr>
        <w:t>
      Численность населения городов "второго уровня" (за исключением города Актобе) по состоянию на начало 2019 года составила 4 006,5 тыс. человек, что составляет 21,8% от общей численности населения в республике или 37,4% от городского населения страны (в 2017 году - 3 920,5 тыс. человек, в 2016 году - 3 880,6 тыс. человек, в 2015 году - 3 824,2 тыс. человек и в 2014 году -3 604,1 тыс. человек). За рассматриваемый период во всех городах "второго уровня" наблюдается рост численности населения, что связано как с положительными значениями естественного прироста населения, так и сложившимся положительным сальдо миграции.</w:t>
      </w:r>
    </w:p>
    <w:bookmarkEnd w:id="180"/>
    <w:bookmarkStart w:name="z199" w:id="181"/>
    <w:p>
      <w:pPr>
        <w:spacing w:after="0"/>
        <w:ind w:left="0"/>
        <w:jc w:val="both"/>
      </w:pPr>
      <w:r>
        <w:rPr>
          <w:rFonts w:ascii="Times New Roman"/>
          <w:b w:val="false"/>
          <w:i w:val="false"/>
          <w:color w:val="000000"/>
          <w:sz w:val="28"/>
        </w:rPr>
        <w:t>
      Сравнительный анализ основных показателей социально-экономического развития этих городов показал, что большинство городов является центрами притяжения и концентрации производственных, финансовых и трудовых ресурсов в своих регионах.</w:t>
      </w:r>
    </w:p>
    <w:bookmarkEnd w:id="181"/>
    <w:bookmarkStart w:name="z200" w:id="182"/>
    <w:p>
      <w:pPr>
        <w:spacing w:after="0"/>
        <w:ind w:left="0"/>
        <w:jc w:val="both"/>
      </w:pPr>
      <w:r>
        <w:rPr>
          <w:rFonts w:ascii="Times New Roman"/>
          <w:b w:val="false"/>
          <w:i w:val="false"/>
          <w:color w:val="000000"/>
          <w:sz w:val="28"/>
        </w:rPr>
        <w:t xml:space="preserve">
      Таблица 1. Основные социально-экономические показатели городов "второго уровня" (без города Актобе) за 2015-2018 годы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тыс.чел. (на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r>
    </w:tbl>
    <w:p>
      <w:pPr>
        <w:spacing w:after="0"/>
        <w:ind w:left="0"/>
        <w:jc w:val="left"/>
      </w:pPr>
      <w:r>
        <w:br/>
      </w:r>
      <w:r>
        <w:rPr>
          <w:rFonts w:ascii="Times New Roman"/>
          <w:b w:val="false"/>
          <w:i w:val="false"/>
          <w:color w:val="000000"/>
          <w:sz w:val="28"/>
        </w:rPr>
        <w:t>
</w:t>
      </w:r>
    </w:p>
    <w:bookmarkStart w:name="z201" w:id="183"/>
    <w:p>
      <w:pPr>
        <w:spacing w:after="0"/>
        <w:ind w:left="0"/>
        <w:jc w:val="both"/>
      </w:pPr>
      <w:r>
        <w:rPr>
          <w:rFonts w:ascii="Times New Roman"/>
          <w:b w:val="false"/>
          <w:i w:val="false"/>
          <w:color w:val="000000"/>
          <w:sz w:val="28"/>
        </w:rPr>
        <w:t xml:space="preserve">
      продолжение таблицы 1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основной капитал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633 796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827 626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415 594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132 974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51 830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68 926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91 871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95 299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59 287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139 761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134 680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219 960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136 196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56 291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68 631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36 257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bl>
    <w:p>
      <w:pPr>
        <w:spacing w:after="0"/>
        <w:ind w:left="0"/>
        <w:jc w:val="left"/>
      </w:pPr>
      <w:r>
        <w:br/>
      </w:r>
      <w:r>
        <w:rPr>
          <w:rFonts w:ascii="Times New Roman"/>
          <w:b w:val="false"/>
          <w:i w:val="false"/>
          <w:color w:val="000000"/>
          <w:sz w:val="28"/>
        </w:rPr>
        <w:t>
</w:t>
      </w:r>
    </w:p>
    <w:bookmarkStart w:name="z202" w:id="184"/>
    <w:p>
      <w:pPr>
        <w:spacing w:after="0"/>
        <w:ind w:left="0"/>
        <w:jc w:val="both"/>
      </w:pPr>
      <w:r>
        <w:rPr>
          <w:rFonts w:ascii="Times New Roman"/>
          <w:b w:val="false"/>
          <w:i w:val="false"/>
          <w:color w:val="000000"/>
          <w:sz w:val="28"/>
        </w:rPr>
        <w:t>
      продолжение таблицы 1</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городской администрации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промышленной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 областного уровня,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178235,6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634964,2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977430,6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207938,9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240144,4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274108,7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786893,2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bookmarkStart w:name="z203" w:id="185"/>
    <w:p>
      <w:pPr>
        <w:spacing w:after="0"/>
        <w:ind w:left="0"/>
        <w:jc w:val="both"/>
      </w:pPr>
      <w:r>
        <w:rPr>
          <w:rFonts w:ascii="Times New Roman"/>
          <w:b w:val="false"/>
          <w:i w:val="false"/>
          <w:color w:val="000000"/>
          <w:sz w:val="28"/>
        </w:rPr>
        <w:t>
      Объем промышленного производства в городах "второго уровня" в 2018 году составил 5,2 трлн. тенге (в 2017 году - 4,4 трлн. тенге, в 2016 году - 3,8 трлн. тенге, в 2015 году - 3,0 трлн. тенге и в 2014 году - 3,5 трлн. тенге), что составляет порядка 18,7% от общереспубликанского объема промышленного производства.</w:t>
      </w:r>
    </w:p>
    <w:bookmarkEnd w:id="185"/>
    <w:bookmarkStart w:name="z204" w:id="186"/>
    <w:p>
      <w:pPr>
        <w:spacing w:after="0"/>
        <w:ind w:left="0"/>
        <w:jc w:val="both"/>
      </w:pPr>
      <w:r>
        <w:rPr>
          <w:rFonts w:ascii="Times New Roman"/>
          <w:b w:val="false"/>
          <w:i w:val="false"/>
          <w:color w:val="000000"/>
          <w:sz w:val="28"/>
        </w:rPr>
        <w:t>
      За 2014-2018 годы общий объем промышленного производства городов "второго уровня" увеличился на 48,6%. В городах "второго уровня" - областных центрах развиты отрасли обрабатывающей промышленности. Так, анализ структуры промышленного производства этих городов показал, что доля обрабатывающей промышленности в общем объеме промышленного производства в среднем составляет 58,9%.</w:t>
      </w:r>
    </w:p>
    <w:bookmarkEnd w:id="186"/>
    <w:bookmarkStart w:name="z205" w:id="187"/>
    <w:p>
      <w:pPr>
        <w:spacing w:after="0"/>
        <w:ind w:left="0"/>
        <w:jc w:val="both"/>
      </w:pPr>
      <w:r>
        <w:rPr>
          <w:rFonts w:ascii="Times New Roman"/>
          <w:b w:val="false"/>
          <w:i w:val="false"/>
          <w:color w:val="000000"/>
          <w:sz w:val="28"/>
        </w:rPr>
        <w:t>
      В целом темпы социально-экономического развития областных центров выше по сравнению с другими городскими населенными пунктами страны, за исключением городов Нур-Султана и Алматы. Об этом свидетельствуют также такие данные как объемы инвестиций в основной капитал, в том числе в обрабатывающую промышленность, объемы выпуска продукции, работ и услуг субъектами малого и среднего предпринимательства, показатели уровня жизни населения. Так, на города "второго уровня" приходится в среднем 25% инвестиций в основной капитал по областям республики. Аналогичные доли составляют объемы инвестиций в основной капитал в обрабатывающую промышленность - 39,3%, объемы розничного и оптового товарооборота - 24,3%. При этом средняя заработная плата выше по областным центрам по сравнению с областями.</w:t>
      </w:r>
    </w:p>
    <w:bookmarkEnd w:id="187"/>
    <w:bookmarkStart w:name="z206" w:id="188"/>
    <w:p>
      <w:pPr>
        <w:spacing w:after="0"/>
        <w:ind w:left="0"/>
        <w:jc w:val="both"/>
      </w:pPr>
      <w:r>
        <w:rPr>
          <w:rFonts w:ascii="Times New Roman"/>
          <w:b w:val="false"/>
          <w:i w:val="false"/>
          <w:color w:val="000000"/>
          <w:sz w:val="28"/>
        </w:rPr>
        <w:t>
      Вместе с тем в городах имеются проблемы, которые следует решать. Это - неэффективный общественный транспорт, транспортные пробки и загрязнение воздушной среды, высокий износ инженерных сетей и низкое качество предоставляемых коммунальных услуг и, одновременно, отсутствие, помимо государственного бюджета, финансовых инструментов на модернизацию инженерной инфраструктуры, недостаточное жилищное строительство и фактическое отсутствие рынка легального арендного жилья. Так, фонд муниципального (коммунального) жилья в среднем по городам Казахстана составляет около 3%, тогда как 97% приходится на частное жилье. В республике по сравнению с развитыми странами Европы, особенно Скандинавии, не сформирован рынок арендного жилья (в настоящее время часть "теневой" экономики с завышенными ценами). При этом характерной особенностью жилищного строительства является преобладание индивидуальной застройки, в основном на периферии городов, формируя малонаселенные (некомпактные) жилые районы. Кроме того, эти районы зачастую не в полной мере обеспечены коммунальной инфраструктурой, в первую очередь, канализацией. В населенных пунктах не налажена система утилизации промышленных и бытовых отходов. Все это тормозит свободное движение рабочей силы, создание качественной городской среды для отдыха и другие процессы.</w:t>
      </w:r>
    </w:p>
    <w:bookmarkEnd w:id="188"/>
    <w:bookmarkStart w:name="z207" w:id="189"/>
    <w:p>
      <w:pPr>
        <w:spacing w:after="0"/>
        <w:ind w:left="0"/>
        <w:jc w:val="both"/>
      </w:pPr>
      <w:r>
        <w:rPr>
          <w:rFonts w:ascii="Times New Roman"/>
          <w:b w:val="false"/>
          <w:i w:val="false"/>
          <w:color w:val="000000"/>
          <w:sz w:val="28"/>
        </w:rPr>
        <w:t>
      При этом, по данным ВБ и Азиатского банка в настоящее время в среднем до 75% объектов коммунальной инфраструктуры городов республики нуждаются в замене или модернизации. Например, до 80% районных тепловых сетей устарели, что является причиной больших потерь тепловой энергии. Однако необходимо особо отметить, что указанный износ инженерной инфраструктуры в областных центрах заметно ниже, чем в моно- и малых городах республики.</w:t>
      </w:r>
    </w:p>
    <w:bookmarkEnd w:id="189"/>
    <w:bookmarkStart w:name="z208" w:id="190"/>
    <w:p>
      <w:pPr>
        <w:spacing w:after="0"/>
        <w:ind w:left="0"/>
        <w:jc w:val="both"/>
      </w:pPr>
      <w:r>
        <w:rPr>
          <w:rFonts w:ascii="Times New Roman"/>
          <w:b w:val="false"/>
          <w:i w:val="false"/>
          <w:color w:val="000000"/>
          <w:sz w:val="28"/>
        </w:rPr>
        <w:t>
      В целом практика стран ОЭСР свидетельствует, что развитие крупных и больших городов более эффективно, если они развиваются в виде функциональных городских районов.</w:t>
      </w:r>
    </w:p>
    <w:bookmarkEnd w:id="190"/>
    <w:bookmarkStart w:name="z209" w:id="191"/>
    <w:p>
      <w:pPr>
        <w:spacing w:after="0"/>
        <w:ind w:left="0"/>
        <w:jc w:val="both"/>
      </w:pPr>
      <w:r>
        <w:rPr>
          <w:rFonts w:ascii="Times New Roman"/>
          <w:b w:val="false"/>
          <w:i w:val="false"/>
          <w:color w:val="000000"/>
          <w:sz w:val="28"/>
        </w:rPr>
        <w:t>
      Однако зачастую наблюдается искусственная урбанизация путем присоединения близлежащих сельских округов, что приводит к расширению границ города и, соответственно, снижению плотности застройки. На неконтролируемое расширение границ городов влияет и недостаточно эффективное планирование землепользования на местном уровне.</w:t>
      </w:r>
    </w:p>
    <w:bookmarkEnd w:id="191"/>
    <w:bookmarkStart w:name="z210" w:id="192"/>
    <w:p>
      <w:pPr>
        <w:spacing w:after="0"/>
        <w:ind w:left="0"/>
        <w:jc w:val="both"/>
      </w:pPr>
      <w:r>
        <w:rPr>
          <w:rFonts w:ascii="Times New Roman"/>
          <w:b w:val="false"/>
          <w:i w:val="false"/>
          <w:color w:val="000000"/>
          <w:sz w:val="28"/>
        </w:rPr>
        <w:t xml:space="preserve">
      В рамках ведения региональной политики проведена группировка моно- и малых городов, СНП, входящих в состав ФГР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Государственной программе).</w:t>
      </w:r>
    </w:p>
    <w:bookmarkEnd w:id="192"/>
    <w:bookmarkStart w:name="z211" w:id="193"/>
    <w:p>
      <w:pPr>
        <w:spacing w:after="0"/>
        <w:ind w:left="0"/>
        <w:jc w:val="both"/>
      </w:pPr>
      <w:r>
        <w:rPr>
          <w:rFonts w:ascii="Times New Roman"/>
          <w:b w:val="false"/>
          <w:i w:val="false"/>
          <w:color w:val="000000"/>
          <w:sz w:val="28"/>
        </w:rPr>
        <w:t xml:space="preserve">
      Экологические проблемы городов. Основным источником загрязнения и запыленности городов являются теплоэлектростанции на угле и большое количество индивидуального автотранспорта с большим сроком эксплуатации. Последнее во многом зависит от того, что городской общественный транспорт в регионах зачастую в изношенном состоянии. Загрязнение воздуха является особенно актуальной проблемой в крупных и больших городах, в частности, в городах Алматы и Шымкенте. Концентрация РМ2,5 (пыль размерами 2,5 мк) периодически превышает годовые допустимые пределы Всемирной организации здравоохранения. Загрязнение воздуха измеряется не на должном уровне. </w:t>
      </w:r>
    </w:p>
    <w:bookmarkEnd w:id="193"/>
    <w:bookmarkStart w:name="z212" w:id="194"/>
    <w:p>
      <w:pPr>
        <w:spacing w:after="0"/>
        <w:ind w:left="0"/>
        <w:jc w:val="both"/>
      </w:pPr>
      <w:r>
        <w:rPr>
          <w:rFonts w:ascii="Times New Roman"/>
          <w:b w:val="false"/>
          <w:i w:val="false"/>
          <w:color w:val="000000"/>
          <w:sz w:val="28"/>
        </w:rPr>
        <w:t>
      В городах, в том числе крупных, не налажена система утилизации промышленных и бытовых отходов по современным технологиям (опыт Швеции). Токсичные (ядовитые) вещества из так называемых полигонов твердых бытовых отходов (далее - ТБО) поступают в подземные воды или распыляются на большие расстояния и далее включаются в кругооборот живой природы.</w:t>
      </w:r>
    </w:p>
    <w:bookmarkEnd w:id="194"/>
    <w:bookmarkStart w:name="z213" w:id="195"/>
    <w:p>
      <w:pPr>
        <w:spacing w:after="0"/>
        <w:ind w:left="0"/>
        <w:jc w:val="both"/>
      </w:pPr>
      <w:r>
        <w:rPr>
          <w:rFonts w:ascii="Times New Roman"/>
          <w:b w:val="false"/>
          <w:i w:val="false"/>
          <w:color w:val="000000"/>
          <w:sz w:val="28"/>
        </w:rPr>
        <w:t>
      В этой связи в разрабатываемом в настоящее время проекте Экологического кодекса учтен международный опыт экологического законодательства и практика стран ОЭСР, предусматривающий новые подходы по управлению отходами, в том числе лицензирование деятельности переработки опасных отходов, а также поощрение и стимулирование государством широкого применения наилучших доступных и зеленых технологий.</w:t>
      </w:r>
    </w:p>
    <w:bookmarkEnd w:id="195"/>
    <w:bookmarkStart w:name="z214" w:id="196"/>
    <w:p>
      <w:pPr>
        <w:spacing w:after="0"/>
        <w:ind w:left="0"/>
        <w:jc w:val="both"/>
      </w:pPr>
      <w:r>
        <w:rPr>
          <w:rFonts w:ascii="Times New Roman"/>
          <w:b w:val="false"/>
          <w:i w:val="false"/>
          <w:color w:val="000000"/>
          <w:sz w:val="28"/>
        </w:rPr>
        <w:t>
      Главным направлением совершенствования экологического законодательства является реализация экологического принципа "загрязнитель платит", что предполагает создание условий для принятия превентивных мер в целях недопущения негативного воздействия на окружающую среду.</w:t>
      </w:r>
    </w:p>
    <w:bookmarkEnd w:id="196"/>
    <w:bookmarkStart w:name="z215" w:id="197"/>
    <w:p>
      <w:pPr>
        <w:spacing w:after="0"/>
        <w:ind w:left="0"/>
        <w:jc w:val="both"/>
      </w:pPr>
      <w:r>
        <w:rPr>
          <w:rFonts w:ascii="Times New Roman"/>
          <w:b w:val="false"/>
          <w:i w:val="false"/>
          <w:color w:val="000000"/>
          <w:sz w:val="28"/>
        </w:rPr>
        <w:t>
      Следует обратить внимание на то, что многие города не обеспечивают свои финансовые потребности, опираясь, в основном, на бюджетные трансферты и субсидии (до 70%). При этом акиматы областей нередко представляют в центральные государственные органы бюджетные заявки на строительство объектов в заведомо неперспективных населенных пунктах.</w:t>
      </w:r>
    </w:p>
    <w:bookmarkEnd w:id="197"/>
    <w:bookmarkStart w:name="z216" w:id="198"/>
    <w:p>
      <w:pPr>
        <w:spacing w:after="0"/>
        <w:ind w:left="0"/>
        <w:jc w:val="both"/>
      </w:pPr>
      <w:r>
        <w:rPr>
          <w:rFonts w:ascii="Times New Roman"/>
          <w:b w:val="false"/>
          <w:i w:val="false"/>
          <w:color w:val="000000"/>
          <w:sz w:val="28"/>
        </w:rPr>
        <w:t xml:space="preserve">
      В крупных и больших городах республики не развиты "общественные пространства", что существенно ухудшает условия жизни горожан и привлекательность населенных пунктов. По данным ПРООН (2018) "Зеленые зоны, включая парки, общественные места и спортивные площадки, имеют фундаментальное значение для любой городской экосистемы, поскольку их наличие повышает качество жизни, делая компактное проживание более привлекательным и приемлемым. Проживание в более озелененных районах связано с улучшением психического здоровья и эмоционального благополучия и снижением смертности от всех причин. Наличие большего числа зеленых зон также дает ряд преимуществ с точки зрения состояния окружающей среды, поскольку это обеспечивает снижение выделения тепла и выбросов парниковых газов в городах. Важность наличия зеленых зон признана в задаче 7 Цели устойчивого развития 11, которая призывает к 2030 году "обеспечить всеобщий доступ к безопасным, доступным и открытым для всех зеленым зонам и общественным местам, особенно для женщин и детей, пожилых людей и инвалидов". Кроме того, указывается, что в Казахстане доля городского пространства, отведенного под зеленые зоны, невелика и в среднем составляет 5 процентов, в то время как в европейских городах этот показатель равен примерно 15 процентам.". </w:t>
      </w:r>
    </w:p>
    <w:bookmarkEnd w:id="198"/>
    <w:bookmarkStart w:name="z217" w:id="199"/>
    <w:p>
      <w:pPr>
        <w:spacing w:after="0"/>
        <w:ind w:left="0"/>
        <w:jc w:val="both"/>
      </w:pPr>
      <w:r>
        <w:rPr>
          <w:rFonts w:ascii="Times New Roman"/>
          <w:b w:val="false"/>
          <w:i w:val="false"/>
          <w:color w:val="000000"/>
          <w:sz w:val="28"/>
        </w:rPr>
        <w:t xml:space="preserve">
      В городах не принимался комплекс мер по "шаговой доступности" объектов (социальных, досуговых, предоставления государственных услуг и другие) для населения из-за несоблюдения принципа высокой плотности застройки. Для получения многих услуг горожанам приходится садиться за автомобиль, что также ухудшает экологию. Решение данной проблемы на плановой основе начато с 2019 года с принятием совместного приказа центральных государственных органов об утверждении системы региональных стандартов. </w:t>
      </w:r>
    </w:p>
    <w:bookmarkEnd w:id="199"/>
    <w:bookmarkStart w:name="z218" w:id="200"/>
    <w:p>
      <w:pPr>
        <w:spacing w:after="0"/>
        <w:ind w:left="0"/>
        <w:jc w:val="both"/>
      </w:pPr>
      <w:r>
        <w:rPr>
          <w:rFonts w:ascii="Times New Roman"/>
          <w:b w:val="false"/>
          <w:i w:val="false"/>
          <w:color w:val="000000"/>
          <w:sz w:val="28"/>
        </w:rPr>
        <w:t>
      СНП, моно- и малые города, расположенные вблизи крупных и больших городов, рассматриваются отдельно от центров ФГР и не участвуют в процессе планирования и регулирования городского развития.</w:t>
      </w:r>
    </w:p>
    <w:bookmarkEnd w:id="200"/>
    <w:bookmarkStart w:name="z219" w:id="201"/>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 "третьего уровня" (моно- и малые города)</w:t>
      </w:r>
    </w:p>
    <w:bookmarkEnd w:id="201"/>
    <w:bookmarkStart w:name="z220" w:id="202"/>
    <w:p>
      <w:pPr>
        <w:spacing w:after="0"/>
        <w:ind w:left="0"/>
        <w:jc w:val="both"/>
      </w:pPr>
      <w:r>
        <w:rPr>
          <w:rFonts w:ascii="Times New Roman"/>
          <w:b w:val="false"/>
          <w:i w:val="false"/>
          <w:color w:val="000000"/>
          <w:sz w:val="28"/>
        </w:rPr>
        <w:t xml:space="preserve">
      В Казахстане насчитывается 41 малый город, численность населения которых по итогам 2018 года составила 892,0 тыс. человек в среднегодовом исчислении (в 2017 году - 903,2 тыс., 2016 году - 912,4 тыс., в 2015 году - 913,5 тыс., в 2014 году - 910,4 тыс.). В целом в малых городах отмечается неуклонное снижение численности населения. Например, только в течение 2018 года число жителей уменьшилось на 9,1 тыс. человек. Это связано, в основном, с выездом их населения в крупные и большие города, а также за пределы страны. Так за последние десять лет отрицательное сальдо миграции по моно- и малым городам составило 187,0 тыс. человек, то есть выбыло больше, чем приехало в эти населенные пункты на постоянное место жительства. </w:t>
      </w:r>
    </w:p>
    <w:bookmarkEnd w:id="202"/>
    <w:bookmarkStart w:name="z221" w:id="203"/>
    <w:p>
      <w:pPr>
        <w:spacing w:after="0"/>
        <w:ind w:left="0"/>
        <w:jc w:val="both"/>
      </w:pPr>
      <w:r>
        <w:rPr>
          <w:rFonts w:ascii="Times New Roman"/>
          <w:b w:val="false"/>
          <w:i w:val="false"/>
          <w:color w:val="000000"/>
          <w:sz w:val="28"/>
        </w:rPr>
        <w:t xml:space="preserve">
      При этом из 41 малого города 32 являются административными центрами соответствующих сельских районов. </w:t>
      </w:r>
    </w:p>
    <w:bookmarkEnd w:id="203"/>
    <w:bookmarkStart w:name="z222" w:id="204"/>
    <w:p>
      <w:pPr>
        <w:spacing w:after="0"/>
        <w:ind w:left="0"/>
        <w:jc w:val="both"/>
      </w:pPr>
      <w:r>
        <w:rPr>
          <w:rFonts w:ascii="Times New Roman"/>
          <w:b w:val="false"/>
          <w:i w:val="false"/>
          <w:color w:val="000000"/>
          <w:sz w:val="28"/>
        </w:rPr>
        <w:t xml:space="preserve">
      По географическому месторасположению можно выделить следующие типы городов: </w:t>
      </w:r>
    </w:p>
    <w:bookmarkEnd w:id="204"/>
    <w:bookmarkStart w:name="z223" w:id="205"/>
    <w:p>
      <w:pPr>
        <w:spacing w:after="0"/>
        <w:ind w:left="0"/>
        <w:jc w:val="both"/>
      </w:pPr>
      <w:r>
        <w:rPr>
          <w:rFonts w:ascii="Times New Roman"/>
          <w:b w:val="false"/>
          <w:i w:val="false"/>
          <w:color w:val="000000"/>
          <w:sz w:val="28"/>
        </w:rPr>
        <w:t>
      1) в зоне влияния ФГР - Акколь, Алга, Есик, Капшагай, Каскелен, Талгар, Щучинск, Ленгер;</w:t>
      </w:r>
    </w:p>
    <w:bookmarkEnd w:id="205"/>
    <w:bookmarkStart w:name="z224" w:id="206"/>
    <w:p>
      <w:pPr>
        <w:spacing w:after="0"/>
        <w:ind w:left="0"/>
        <w:jc w:val="both"/>
      </w:pPr>
      <w:r>
        <w:rPr>
          <w:rFonts w:ascii="Times New Roman"/>
          <w:b w:val="false"/>
          <w:i w:val="false"/>
          <w:color w:val="000000"/>
          <w:sz w:val="28"/>
        </w:rPr>
        <w:t>
      2) малые города, отдаленные от ФГР - Атбасар, Державинск, Ерейментау, Есиль, Макинск, Степняк, Кандыагаш, Шалкар, Жем, Темир, Эмба, Жаркент, Сарканд, Ушарал, Уштобе, Аягоз, Зайсан, Шар, Шемонаиха, Шу, Приозерск, Каркаралинск, Аральск, Казалы, Булаево, Мамлютка, Тайынша, Сергеевка, Арыс, Сарыагаш, Шардара, Жетисай, Форт-Шевченко;</w:t>
      </w:r>
    </w:p>
    <w:bookmarkEnd w:id="206"/>
    <w:bookmarkStart w:name="z225" w:id="207"/>
    <w:p>
      <w:pPr>
        <w:spacing w:after="0"/>
        <w:ind w:left="0"/>
        <w:jc w:val="both"/>
      </w:pPr>
      <w:r>
        <w:rPr>
          <w:rFonts w:ascii="Times New Roman"/>
          <w:b w:val="false"/>
          <w:i w:val="false"/>
          <w:color w:val="000000"/>
          <w:sz w:val="28"/>
        </w:rPr>
        <w:t>
      3) вдоль автомобильных и железнодорожных магистралей республиканского и международного значения - Акколь, Атбасар, Ерейментау, Есиль, Макинск, Щучинск, Алга, Кандыагаш, Шалкар, Жаркент, Капшагай, Каскелен, Сарканд, Аягоз, Шу, Приозерск, Аральск, Эмба, Ушарал, Уштобе, Зайсан, Шар, Шемонаиха, Арыс, Сарыагаш, Булаево, Мамлютка, Тайынша;</w:t>
      </w:r>
    </w:p>
    <w:bookmarkEnd w:id="207"/>
    <w:bookmarkStart w:name="z226" w:id="208"/>
    <w:p>
      <w:pPr>
        <w:spacing w:after="0"/>
        <w:ind w:left="0"/>
        <w:jc w:val="both"/>
      </w:pPr>
      <w:r>
        <w:rPr>
          <w:rFonts w:ascii="Times New Roman"/>
          <w:b w:val="false"/>
          <w:i w:val="false"/>
          <w:color w:val="000000"/>
          <w:sz w:val="28"/>
        </w:rPr>
        <w:t xml:space="preserve">
      4) на приграничных территориях - Жаркент, Зайсан, Сарыагаш, Шардара, Шемонаиха, Мамлютка, Булаево, Жетысай. </w:t>
      </w:r>
    </w:p>
    <w:bookmarkEnd w:id="208"/>
    <w:bookmarkStart w:name="z227" w:id="209"/>
    <w:p>
      <w:pPr>
        <w:spacing w:after="0"/>
        <w:ind w:left="0"/>
        <w:jc w:val="both"/>
      </w:pPr>
      <w:r>
        <w:rPr>
          <w:rFonts w:ascii="Times New Roman"/>
          <w:b w:val="false"/>
          <w:i w:val="false"/>
          <w:color w:val="000000"/>
          <w:sz w:val="28"/>
        </w:rPr>
        <w:t xml:space="preserve">
      Перечень моногородов включает 27 единиц. Численность населения моногородов республики за 2018 год в среднегодовом исчислении составила 1415,6 тыс. человек (в 2017 году - 1415,6 тыс. 2016 году - 1 416,3 тыс., в 2015 году - 1 410,9 тыс., в 2014 году -1 412,3 тыс.), из них 8 моногородов являются административными центрами соответствующих районов. </w:t>
      </w:r>
    </w:p>
    <w:bookmarkEnd w:id="209"/>
    <w:bookmarkStart w:name="z228" w:id="210"/>
    <w:p>
      <w:pPr>
        <w:spacing w:after="0"/>
        <w:ind w:left="0"/>
        <w:jc w:val="both"/>
      </w:pPr>
      <w:r>
        <w:rPr>
          <w:rFonts w:ascii="Times New Roman"/>
          <w:b w:val="false"/>
          <w:i w:val="false"/>
          <w:color w:val="000000"/>
          <w:sz w:val="28"/>
        </w:rPr>
        <w:t>
      Моногорода также различаются по ряду признаков. Так имеются средние и большие города - моногорода с численностью населения 50 тыс. человек и выше - Балхаш, Темиртау, Жезказган, Сатпаев, Экибастуз, Риддер, Жанаозен, Степногорск и Байконыр (в долгосрочной аренде Российской Федерации).</w:t>
      </w:r>
    </w:p>
    <w:bookmarkEnd w:id="210"/>
    <w:bookmarkStart w:name="z229" w:id="211"/>
    <w:p>
      <w:pPr>
        <w:spacing w:after="0"/>
        <w:ind w:left="0"/>
        <w:jc w:val="both"/>
      </w:pPr>
      <w:r>
        <w:rPr>
          <w:rFonts w:ascii="Times New Roman"/>
          <w:b w:val="false"/>
          <w:i w:val="false"/>
          <w:color w:val="000000"/>
          <w:sz w:val="28"/>
        </w:rPr>
        <w:t>
      Ряд моногородов находится в тесной экономической связи с крупными и большими городами. При этом эта связь, в первую очередь, включает постоянную (ежедневную) маятниковую трудовую миграцию в центры ФГР - Хромтау, Текели, Сарань, Темиртау, Абай, Рудный, Аксу, Кентау.</w:t>
      </w:r>
    </w:p>
    <w:bookmarkEnd w:id="211"/>
    <w:bookmarkStart w:name="z230" w:id="212"/>
    <w:p>
      <w:pPr>
        <w:spacing w:after="0"/>
        <w:ind w:left="0"/>
        <w:jc w:val="both"/>
      </w:pPr>
      <w:r>
        <w:rPr>
          <w:rFonts w:ascii="Times New Roman"/>
          <w:b w:val="false"/>
          <w:i w:val="false"/>
          <w:color w:val="000000"/>
          <w:sz w:val="28"/>
        </w:rPr>
        <w:t>
      Вместе с тем, имеются моногорода, находящиеся в отдалении от ФГР - от центров крупных и больших городов. Это - моногорода Балхаш, Шахтинск, Риддер, Степногороск, Кульсары, Аксай, Сатпаев, Жезказган, Жанаозен, Экибастуз, Алтай, Курчатов, Серебрянск, Жанатас, Каратау, Каражал, Аркалык, Житикара, Лисаковск.</w:t>
      </w:r>
    </w:p>
    <w:bookmarkEnd w:id="212"/>
    <w:bookmarkStart w:name="z231" w:id="213"/>
    <w:p>
      <w:pPr>
        <w:spacing w:after="0"/>
        <w:ind w:left="0"/>
        <w:jc w:val="both"/>
      </w:pPr>
      <w:r>
        <w:rPr>
          <w:rFonts w:ascii="Times New Roman"/>
          <w:b w:val="false"/>
          <w:i w:val="false"/>
          <w:color w:val="000000"/>
          <w:sz w:val="28"/>
        </w:rPr>
        <w:t xml:space="preserve">
      Из 27 моногородов страны вдоль автомобильных дорог международного значения находятся 5 городов (Балхаш, Темиртау, Жанаозен, Кульсары, Хромтау), республиканского значения - 10 (Рудный, Аксу, Аркалык, Абай, Житикара, Риддер, Курчатов, Кентау, Жезказган, Каражал), а также на приграничных территориях - 1 (Житикара). </w:t>
      </w:r>
    </w:p>
    <w:bookmarkEnd w:id="213"/>
    <w:bookmarkStart w:name="z232" w:id="214"/>
    <w:p>
      <w:pPr>
        <w:spacing w:after="0"/>
        <w:ind w:left="0"/>
        <w:jc w:val="both"/>
      </w:pPr>
      <w:r>
        <w:rPr>
          <w:rFonts w:ascii="Times New Roman"/>
          <w:b w:val="false"/>
          <w:i w:val="false"/>
          <w:color w:val="000000"/>
          <w:sz w:val="28"/>
        </w:rPr>
        <w:t xml:space="preserve">
      В целом численность населения в большинстве моно- и малых городов не увеличивается. Так, за период с 1 января 2009 по 1 января 2019 годов численность населения моно- и малых городов увеличилась всего на 52,5 тыс. чел. или с 2216,0 тыс. до 2268,5 тыс., тогда как все городское население страны, в основном за счет крупных и больших городов, увеличилось на 2,0 млн. человек. Это связано с сокращением производственных мощностей зачастую на единственных градообразующих предприятиях, более низкими по сравнению с крупными и большими городами условиями и качеством жизни. Так среднемесячная заработная плата по итогам 2018 года по моно- и малым городам составила 126,6 тыс. тенге (в 2017 году - 112,5 тыс., в 2016 году - 106,2 тыс., в 2015 году - 94,0 тыс. и в 2014 году - 90,0 тыс.), в том числе по малым городам - 104,8 тыс. тенге (в 2017 году 98,5 тыс., в 2016 году - 92,7 тыс., в 2015 году - 81,3 тыс. и в 2014 году - 78,6 тыс.), моногородам - 159,7 тыс. тенге ( в 2017 году - 134,5 тыс., в 2016 году - 126,7 тыс., в 2015 году - 113,7 тыс. и в 2014 году - 107,8 тыс.), при среднереспубликанском показателе - 162,3 тыс. тенге. При этом необходимо особо отметить, что довольно высокая среднемесячная номинальная заработная плата одного работника по моногородам связана с большой оплатой труда в отдельных городах - Аксай (448,8 тыс. тенге), Жанаозен (435,4 тыс. тенге), Сатпаев (235,1 тыс. тенге), Жезказган (176,4 тыс. тенге). </w:t>
      </w:r>
    </w:p>
    <w:bookmarkEnd w:id="214"/>
    <w:bookmarkStart w:name="z233" w:id="215"/>
    <w:p>
      <w:pPr>
        <w:spacing w:after="0"/>
        <w:ind w:left="0"/>
        <w:jc w:val="both"/>
      </w:pPr>
      <w:r>
        <w:rPr>
          <w:rFonts w:ascii="Times New Roman"/>
          <w:b w:val="false"/>
          <w:i w:val="false"/>
          <w:color w:val="000000"/>
          <w:sz w:val="28"/>
        </w:rPr>
        <w:t xml:space="preserve">
      В большинстве малых и моногородов страны существует комплекс проблем, в основном связанных с состоянием бывших градообразующих предприятий или доминирующей отрасли. Вместе с тем, развитие градообразующих предприятий республики свидетельствует, что их государственная поддержка, в частности, периодическое прямое или косвенное субсидирование производств не дает ощутимого экономического эффекта. При этом, как отмечается в публикации ОЭСР "Обзор городской политики Казахстана" субсидии и любая иная форма государственной поддержки предприятий в моногородах должны носить исключительно временный характер и ориентироваться на развитие новых, самоокупаемых, прибыльных производств, которые будут способствовать диверсификации моногородов с хорошими экономическими перспективами. Это, в первую очередь, следует учитывать при реализации "якорных" инвестиционных проектов. </w:t>
      </w:r>
    </w:p>
    <w:bookmarkEnd w:id="215"/>
    <w:bookmarkStart w:name="z234" w:id="216"/>
    <w:p>
      <w:pPr>
        <w:spacing w:after="0"/>
        <w:ind w:left="0"/>
        <w:jc w:val="both"/>
      </w:pPr>
      <w:r>
        <w:rPr>
          <w:rFonts w:ascii="Times New Roman"/>
          <w:b w:val="false"/>
          <w:i w:val="false"/>
          <w:color w:val="000000"/>
          <w:sz w:val="28"/>
        </w:rPr>
        <w:t xml:space="preserve">
      С целью диверсификации экономики моногородов с 2013 года по июнь 2019 года по данным акиматов областей реализованы 48 "якорных" проектов и на стадии реализации находятся 13 проектов. Из общего числа реализованных проектов на город Степногорск приходится 6 проектов. Из числа реализованных проектов стабильно функционируют 32 предприятия (66,7%), простаивают 7 (14,6%), недозагружены 6 (12,5%) и работают периодически 3 предприятия (6,25%). На работающих предприятиях созданы 9,0 тыс. постоянных рабочих мест. </w:t>
      </w:r>
    </w:p>
    <w:bookmarkEnd w:id="216"/>
    <w:bookmarkStart w:name="z235" w:id="217"/>
    <w:p>
      <w:pPr>
        <w:spacing w:after="0"/>
        <w:ind w:left="0"/>
        <w:jc w:val="both"/>
      </w:pPr>
      <w:r>
        <w:rPr>
          <w:rFonts w:ascii="Times New Roman"/>
          <w:b w:val="false"/>
          <w:i w:val="false"/>
          <w:color w:val="000000"/>
          <w:sz w:val="28"/>
        </w:rPr>
        <w:t>
      Необходимо также отметить, что фактически все реализованные "якорные" проекты не носят инновационного характера и не направлены на диверсификацию экономики моногородов на долгосрочную перспективу. Проекты, в основном, связаны с добычей или первичной переработкой сырья - производство извести; производство песка, щебня, песчано-гравийной смеси, оптимальной смеси и асфальтобетона; производство брусчатки, строительных материалов и инертной пыли и других подобных несложных производств.</w:t>
      </w:r>
    </w:p>
    <w:bookmarkEnd w:id="217"/>
    <w:bookmarkStart w:name="z236" w:id="218"/>
    <w:p>
      <w:pPr>
        <w:spacing w:after="0"/>
        <w:ind w:left="0"/>
        <w:jc w:val="both"/>
      </w:pPr>
      <w:r>
        <w:rPr>
          <w:rFonts w:ascii="Times New Roman"/>
          <w:b w:val="false"/>
          <w:i w:val="false"/>
          <w:color w:val="000000"/>
          <w:sz w:val="28"/>
        </w:rPr>
        <w:t>
      Вместе с тем, прогресс наблюдается в тех городах, где основные усилия были направлены на стимулирование предпринимательства - курсы переподготовки, организация бизнес-инкубаторов, а также финансовые инструменты Государственной программы поддержки и развития бизнеса "Дорожная карта бизнеса - 2020".</w:t>
      </w:r>
    </w:p>
    <w:bookmarkEnd w:id="218"/>
    <w:bookmarkStart w:name="z237" w:id="219"/>
    <w:p>
      <w:pPr>
        <w:spacing w:after="0"/>
        <w:ind w:left="0"/>
        <w:jc w:val="both"/>
      </w:pPr>
      <w:r>
        <w:rPr>
          <w:rFonts w:ascii="Times New Roman"/>
          <w:b w:val="false"/>
          <w:i w:val="false"/>
          <w:color w:val="000000"/>
          <w:sz w:val="28"/>
        </w:rPr>
        <w:t>
      В целом при реструктуризации экономики моногородов необходимо использовать имеющиеся резервы и преимущества (туристский рекреационный потенциал и другие).</w:t>
      </w:r>
    </w:p>
    <w:bookmarkEnd w:id="219"/>
    <w:bookmarkStart w:name="z238" w:id="220"/>
    <w:p>
      <w:pPr>
        <w:spacing w:after="0"/>
        <w:ind w:left="0"/>
        <w:jc w:val="both"/>
      </w:pPr>
      <w:r>
        <w:rPr>
          <w:rFonts w:ascii="Times New Roman"/>
          <w:b w:val="false"/>
          <w:i w:val="false"/>
          <w:color w:val="000000"/>
          <w:sz w:val="28"/>
        </w:rPr>
        <w:t>
      Одной из проблем моно- и малых городов является неудовлетворительное состояние инженерной и социальной инфраструктуры. Высокий износ водопроводных, канализационных, тепловых и электрических сетей требует значительных финансовых вложений. Так, в отдельных моно- и малых городах износ водопроводных и канализационных сетей по итогам 2018 года достигает 74%-87%</w:t>
      </w:r>
      <w:r>
        <w:rPr>
          <w:rFonts w:ascii="Times New Roman"/>
          <w:b w:val="false"/>
          <w:i w:val="false"/>
          <w:color w:val="000000"/>
          <w:vertAlign w:val="superscript"/>
        </w:rPr>
        <w:t>1</w:t>
      </w:r>
      <w:r>
        <w:rPr>
          <w:rFonts w:ascii="Times New Roman"/>
          <w:b w:val="false"/>
          <w:i w:val="false"/>
          <w:color w:val="000000"/>
          <w:sz w:val="28"/>
        </w:rPr>
        <w:t xml:space="preserve"> (гг. Рудный, Талгар).</w:t>
      </w:r>
    </w:p>
    <w:bookmarkEnd w:id="220"/>
    <w:bookmarkStart w:name="z239" w:id="221"/>
    <w:p>
      <w:pPr>
        <w:spacing w:after="0"/>
        <w:ind w:left="0"/>
        <w:jc w:val="both"/>
      </w:pPr>
      <w:r>
        <w:rPr>
          <w:rFonts w:ascii="Times New Roman"/>
          <w:b w:val="false"/>
          <w:i w:val="false"/>
          <w:color w:val="000000"/>
          <w:sz w:val="28"/>
        </w:rPr>
        <w:t xml:space="preserve">
      В рамках разработки настоящей Государственной программы проведена группировка малых и моногородов на города с высоким, средним и низким экономическим потенциалом с указанием специализации, а также численности населения данных городов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Государственной программе).</w:t>
      </w:r>
    </w:p>
    <w:bookmarkEnd w:id="221"/>
    <w:bookmarkStart w:name="z240" w:id="222"/>
    <w:p>
      <w:pPr>
        <w:spacing w:after="0"/>
        <w:ind w:left="0"/>
        <w:jc w:val="both"/>
      </w:pPr>
      <w:r>
        <w:rPr>
          <w:rFonts w:ascii="Times New Roman"/>
          <w:b w:val="false"/>
          <w:i w:val="false"/>
          <w:color w:val="000000"/>
          <w:sz w:val="28"/>
        </w:rPr>
        <w:t>
      Приграничные территории</w:t>
      </w:r>
    </w:p>
    <w:bookmarkEnd w:id="222"/>
    <w:bookmarkStart w:name="z241" w:id="223"/>
    <w:p>
      <w:pPr>
        <w:spacing w:after="0"/>
        <w:ind w:left="0"/>
        <w:jc w:val="both"/>
      </w:pPr>
      <w:r>
        <w:rPr>
          <w:rFonts w:ascii="Times New Roman"/>
          <w:b w:val="false"/>
          <w:i w:val="false"/>
          <w:color w:val="000000"/>
          <w:sz w:val="28"/>
        </w:rPr>
        <w:t>
      На границе Казахстана и России "разности потенциалов" в развитии экономики нет, соседние сельские районы России не имеют явного преимущества в развитии, как и районы Казахстана. Высокий душевой ВРП в западных областях Казахстана и Тюменской области остается статистической величиной, большая часть нефтегазовых доходов уходит в центральный бюджет, что препятствует ускоренному развитию и созданию новых рабочих мест в самих регионах. Приграничное взаимодействие средне- или слаборазвитых регионов невелико или имеет узкую номенклатуру обмена, значительную долю теневой торговли.</w:t>
      </w:r>
    </w:p>
    <w:bookmarkEnd w:id="223"/>
    <w:bookmarkStart w:name="z242" w:id="224"/>
    <w:p>
      <w:pPr>
        <w:spacing w:after="0"/>
        <w:ind w:left="0"/>
        <w:jc w:val="both"/>
      </w:pPr>
      <w:r>
        <w:rPr>
          <w:rFonts w:ascii="Times New Roman"/>
          <w:b w:val="false"/>
          <w:i w:val="false"/>
          <w:color w:val="000000"/>
          <w:sz w:val="28"/>
        </w:rPr>
        <w:t xml:space="preserve">
      Однако необходимо особо отметить, что на приграничных территориях России есть ряд крупных городов (Омск, Курган, Екатеринбург, Саратов, Оренбург и другие), которые притягивают сельскую молодежь из Северо-Казахстанской области. </w:t>
      </w:r>
    </w:p>
    <w:bookmarkEnd w:id="224"/>
    <w:bookmarkStart w:name="z243" w:id="225"/>
    <w:p>
      <w:pPr>
        <w:spacing w:after="0"/>
        <w:ind w:left="0"/>
        <w:jc w:val="both"/>
      </w:pPr>
      <w:r>
        <w:rPr>
          <w:rFonts w:ascii="Times New Roman"/>
          <w:b w:val="false"/>
          <w:i w:val="false"/>
          <w:color w:val="000000"/>
          <w:sz w:val="28"/>
        </w:rPr>
        <w:t>
      _______________________________________________________</w:t>
      </w:r>
    </w:p>
    <w:bookmarkEnd w:id="225"/>
    <w:bookmarkStart w:name="z244" w:id="2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Источник: Данные по малым и моногородам представлены АО "Институт экономических исследований" и местными исполнительными органами.</w:t>
      </w:r>
    </w:p>
    <w:bookmarkEnd w:id="226"/>
    <w:bookmarkStart w:name="z245" w:id="227"/>
    <w:p>
      <w:pPr>
        <w:spacing w:after="0"/>
        <w:ind w:left="0"/>
        <w:jc w:val="both"/>
      </w:pPr>
      <w:r>
        <w:rPr>
          <w:rFonts w:ascii="Times New Roman"/>
          <w:b w:val="false"/>
          <w:i w:val="false"/>
          <w:color w:val="000000"/>
          <w:sz w:val="28"/>
        </w:rPr>
        <w:t>
      Динамично развивающийся товарооборот с Китаем, создание международных центров приграничной торговли, принятые меры по развитию транспортных сообщений вглубь территорий республики с выходом в другие страны, огромный туристический потенциал создают предпосылки для развития экономики приграничных районов Алматинской и Восточно-Казахстанской областей.</w:t>
      </w:r>
    </w:p>
    <w:bookmarkEnd w:id="227"/>
    <w:bookmarkStart w:name="z246" w:id="228"/>
    <w:p>
      <w:pPr>
        <w:spacing w:after="0"/>
        <w:ind w:left="0"/>
        <w:jc w:val="both"/>
      </w:pPr>
      <w:r>
        <w:rPr>
          <w:rFonts w:ascii="Times New Roman"/>
          <w:b w:val="false"/>
          <w:i w:val="false"/>
          <w:color w:val="000000"/>
          <w:sz w:val="28"/>
        </w:rPr>
        <w:t>
      В приграничном с Китаем Панфиловском районе Алматинской области начата реализация проекта по строительству нового города Нуркент. Проект направлен на обеспечение условий для организации упорядоченного процесса трудовой миграции из других регионов страны по мере развития крупнейшего транспортно-промышленного узла, возрождаемого Великого Шелкового пути. Формирование нового центра притяжения трудовых ресурсов обусловлено пересечением в этом районе крупнейших транснациональных проектов: транспортного коридора "Западная Европа - Западный Китай", специальной экономической зоны "Хоргос - Восточные ворота", Международного центра приграничного сотрудничества "Хоргос".</w:t>
      </w:r>
    </w:p>
    <w:bookmarkEnd w:id="228"/>
    <w:bookmarkStart w:name="z247" w:id="229"/>
    <w:p>
      <w:pPr>
        <w:spacing w:after="0"/>
        <w:ind w:left="0"/>
        <w:jc w:val="both"/>
      </w:pPr>
      <w:r>
        <w:rPr>
          <w:rFonts w:ascii="Times New Roman"/>
          <w:b w:val="false"/>
          <w:i w:val="false"/>
          <w:color w:val="000000"/>
          <w:sz w:val="28"/>
        </w:rPr>
        <w:t xml:space="preserve">
      Строительство инженерной инфраструктуры нового города Нуркент, дорожное строительство, озеленение, строительство объектов социальной инфраструктуры (школы, детские сады, поликлиники и т.п.), частично жилищное строительство будут проведены за счет бюджетных средств, жилищное и коммерческое строительство - за счет средств частных инвесторов с учетом государственной поддержки в рамках действующих программ. </w:t>
      </w:r>
    </w:p>
    <w:bookmarkEnd w:id="229"/>
    <w:bookmarkStart w:name="z248" w:id="230"/>
    <w:p>
      <w:pPr>
        <w:spacing w:after="0"/>
        <w:ind w:left="0"/>
        <w:jc w:val="both"/>
      </w:pPr>
      <w:r>
        <w:rPr>
          <w:rFonts w:ascii="Times New Roman"/>
          <w:b w:val="false"/>
          <w:i w:val="false"/>
          <w:color w:val="000000"/>
          <w:sz w:val="28"/>
        </w:rPr>
        <w:t>
      Сельские населенные пункты</w:t>
      </w:r>
    </w:p>
    <w:bookmarkEnd w:id="230"/>
    <w:bookmarkStart w:name="z249" w:id="231"/>
    <w:p>
      <w:pPr>
        <w:spacing w:after="0"/>
        <w:ind w:left="0"/>
        <w:jc w:val="both"/>
      </w:pPr>
      <w:r>
        <w:rPr>
          <w:rFonts w:ascii="Times New Roman"/>
          <w:b w:val="false"/>
          <w:i w:val="false"/>
          <w:color w:val="000000"/>
          <w:sz w:val="28"/>
        </w:rPr>
        <w:t>
      По состоянию на 1 января 2019 года по республике насчитывается 6454 СНП (в 2017 году - 6668, в 2016 году - 6693, в 2015 году - 6724, в 2014 году - 6828). При этом на указанную дату в сельской местности проживало 7697,0 тыс. человек.</w:t>
      </w:r>
    </w:p>
    <w:bookmarkEnd w:id="231"/>
    <w:bookmarkStart w:name="z250" w:id="232"/>
    <w:p>
      <w:pPr>
        <w:spacing w:after="0"/>
        <w:ind w:left="0"/>
        <w:jc w:val="both"/>
      </w:pPr>
      <w:r>
        <w:rPr>
          <w:rFonts w:ascii="Times New Roman"/>
          <w:b w:val="false"/>
          <w:i w:val="false"/>
          <w:color w:val="000000"/>
          <w:sz w:val="28"/>
        </w:rPr>
        <w:t>
      По итогам мониторинга за 2017 год из общего количества СНП 1309 соответствует высокому, 4775 - среднему, а 477 - низкому потенциалу развития. 3509 СНП являются малочисленными (500 человек и менее) и в них проживает всего 8,9% сельских жителей. При этом имеется 278 сел с населением 5 тыс. чел. и более в каждом. В соответствии с действующими государственными нормативами СНП в целом обеспечены объектами образования и здравоохранения. Так, по итогам 2016 года в 73% сел имеются объекты образования (в 2015 году - 74%, в 2014 году - 74%) и 80% сел обеспечены объектами здравоохранения (в 2015 году - 81%, в 2014 году - 81%). По данным на 2016 год обеспеченность электричеством и телефонной связью СНП составляла 98%. Количество СНП, обеспеченных централизованным газоснабжением, составляло 17% от общего количества сел (в 2015 году - 16%, в 2014 году - 15%). Кроме того, 25% автомобильных дорог местного значения требовали капитального ремонта (в 2015 году - 27%, в 2014 году - 25%). С тех пор ситуация кардинально не изменилась, поскольку существенных финансовых вливаний на развитие инфраструктуры СНП за последние 2-3 года не проводилось.</w:t>
      </w:r>
    </w:p>
    <w:bookmarkEnd w:id="232"/>
    <w:bookmarkStart w:name="z251" w:id="233"/>
    <w:p>
      <w:pPr>
        <w:spacing w:after="0"/>
        <w:ind w:left="0"/>
        <w:jc w:val="both"/>
      </w:pPr>
      <w:r>
        <w:rPr>
          <w:rFonts w:ascii="Times New Roman"/>
          <w:b w:val="false"/>
          <w:i w:val="false"/>
          <w:color w:val="000000"/>
          <w:sz w:val="28"/>
        </w:rPr>
        <w:t>
      Районными центрами являются 122 СНП. Опорными СНП были определены 311 СНП, однако с момента реализации проекта "Ауыл - Ел бесiгi" их количество уточняется.</w:t>
      </w:r>
    </w:p>
    <w:bookmarkEnd w:id="233"/>
    <w:bookmarkStart w:name="z252" w:id="234"/>
    <w:p>
      <w:pPr>
        <w:spacing w:after="0"/>
        <w:ind w:left="0"/>
        <w:jc w:val="both"/>
      </w:pPr>
      <w:r>
        <w:rPr>
          <w:rFonts w:ascii="Times New Roman"/>
          <w:b w:val="false"/>
          <w:i w:val="false"/>
          <w:color w:val="000000"/>
          <w:sz w:val="28"/>
        </w:rPr>
        <w:t xml:space="preserve">
      За последние десятилетия по стране наблюдается неуклонное сокращение числа СНП. Например, с 2005 по 2016 годы число СНП сократилось на 965 единиц, в течение 2018 года - на 94 единицы. </w:t>
      </w:r>
    </w:p>
    <w:bookmarkEnd w:id="234"/>
    <w:bookmarkStart w:name="z253" w:id="235"/>
    <w:p>
      <w:pPr>
        <w:spacing w:after="0"/>
        <w:ind w:left="0"/>
        <w:jc w:val="both"/>
      </w:pPr>
      <w:r>
        <w:rPr>
          <w:rFonts w:ascii="Times New Roman"/>
          <w:b w:val="false"/>
          <w:i w:val="false"/>
          <w:color w:val="000000"/>
          <w:sz w:val="28"/>
        </w:rPr>
        <w:t xml:space="preserve">
      Сокращение СНП и, соответственно, сельского населения связано как с повышением производительности труда в сельском хозяйстве, так и неодинаковыми условиями жизни в городской и сельской местности. </w:t>
      </w:r>
    </w:p>
    <w:bookmarkEnd w:id="235"/>
    <w:bookmarkStart w:name="z254" w:id="236"/>
    <w:p>
      <w:pPr>
        <w:spacing w:after="0"/>
        <w:ind w:left="0"/>
        <w:jc w:val="both"/>
      </w:pPr>
      <w:r>
        <w:rPr>
          <w:rFonts w:ascii="Times New Roman"/>
          <w:b w:val="false"/>
          <w:i w:val="false"/>
          <w:color w:val="000000"/>
          <w:sz w:val="28"/>
        </w:rPr>
        <w:t>
      Так по итогам 2018 года: размер заработной платы работников в сельской местности составлял 72,5% от городских (117,7 тыс. и 162,3 тыс. тенге, соответственно); уровень бедности (доля лиц, имеющих доходы ниже прожиточного минимума) на селе - 6,7%, в городе - 2,5%; численность врачей (на 10 тыс. насления) на селе - 14,3, городе - 43,7; обеспеченность населения централизованным водоснабжением на селе - 84,4%, городе - 94,5%; проведение очистки сточных вод на селе - 8,6%, городе - 68,7%. Также необходимо отметить, что согласно международному рейтингу PISA в 2015 году среди 15-летних школьников качество образования у сельских школьников отстает от городских сверстников от 0,5 до 4-х лет (в зависимости от региона, языка обучения и предмета).</w:t>
      </w:r>
    </w:p>
    <w:bookmarkEnd w:id="236"/>
    <w:bookmarkStart w:name="z255" w:id="237"/>
    <w:p>
      <w:pPr>
        <w:spacing w:after="0"/>
        <w:ind w:left="0"/>
        <w:jc w:val="both"/>
      </w:pPr>
      <w:r>
        <w:rPr>
          <w:rFonts w:ascii="Times New Roman"/>
          <w:b w:val="false"/>
          <w:i w:val="false"/>
          <w:color w:val="000000"/>
          <w:sz w:val="28"/>
        </w:rPr>
        <w:t>
      В целом предоставление социальных и коммунальных услуг в сельской местности обходится государству значительно дороже, чем в крупных и больших городах - строительство разбросанных инженерных сетей, малокомплектные школы (далее - МКШ) и другие.</w:t>
      </w:r>
    </w:p>
    <w:bookmarkEnd w:id="237"/>
    <w:bookmarkStart w:name="z256" w:id="238"/>
    <w:p>
      <w:pPr>
        <w:spacing w:after="0"/>
        <w:ind w:left="0"/>
        <w:jc w:val="both"/>
      </w:pPr>
      <w:r>
        <w:rPr>
          <w:rFonts w:ascii="Times New Roman"/>
          <w:b w:val="false"/>
          <w:i w:val="false"/>
          <w:color w:val="000000"/>
          <w:sz w:val="28"/>
        </w:rPr>
        <w:t xml:space="preserve">
      Решение данных диспропорций начато в рамках приведения в соответствие с системой региональных стандартов по доступности социальных благ и государственных услуг, а также обеспеченности необходимой инфраструктурой для жизнедеятельности людей на селе. </w:t>
      </w:r>
    </w:p>
    <w:bookmarkEnd w:id="238"/>
    <w:bookmarkStart w:name="z257" w:id="239"/>
    <w:p>
      <w:pPr>
        <w:spacing w:after="0"/>
        <w:ind w:left="0"/>
        <w:jc w:val="both"/>
      </w:pPr>
      <w:r>
        <w:rPr>
          <w:rFonts w:ascii="Times New Roman"/>
          <w:b w:val="false"/>
          <w:i w:val="false"/>
          <w:color w:val="000000"/>
          <w:sz w:val="28"/>
        </w:rPr>
        <w:t>
      Отставание сельского образования от городского связано с рядом причин. Так по состоянию на 2018-2019 учебный год в республике насчитывались 2886 МКШ, в том числе: начальных школ - 584, основного среднего образования - 811, общего среднего образования - 1491 школы. В данных МКШ учатся 198,6 тыс. детей, в том числе по уровням образования: в начальных школах - 7,6 тыс., в общих средних школах - 33,3 тыс., в средних школах - 157,8 тыс. детей. Наибольшее количество МКШ находятся в Северо-Казахстанской (380), Акмолинской (379), Восточно-Казахстанской (351), Костанайской (340) областях, а наименьшее количество в Мангистауской (12), Кызылординской (20) и Атырауской (25) областях.</w:t>
      </w:r>
    </w:p>
    <w:bookmarkEnd w:id="239"/>
    <w:bookmarkStart w:name="z258" w:id="240"/>
    <w:p>
      <w:pPr>
        <w:spacing w:after="0"/>
        <w:ind w:left="0"/>
        <w:jc w:val="both"/>
      </w:pPr>
      <w:r>
        <w:rPr>
          <w:rFonts w:ascii="Times New Roman"/>
          <w:b w:val="false"/>
          <w:i w:val="false"/>
          <w:color w:val="000000"/>
          <w:sz w:val="28"/>
        </w:rPr>
        <w:t>
      В случае реорганизации МКШ по стране закроется 430 малокомплектных начальных школ с общим контингентом 3,6 тыс. учеников и 1,3 тыс. учителей. При этом данные меры могут привести к возникновению негативной реакции среди сельского населения по следующим причинам:</w:t>
      </w:r>
    </w:p>
    <w:bookmarkEnd w:id="240"/>
    <w:bookmarkStart w:name="z259" w:id="241"/>
    <w:p>
      <w:pPr>
        <w:spacing w:after="0"/>
        <w:ind w:left="0"/>
        <w:jc w:val="both"/>
      </w:pPr>
      <w:r>
        <w:rPr>
          <w:rFonts w:ascii="Times New Roman"/>
          <w:b w:val="false"/>
          <w:i w:val="false"/>
          <w:color w:val="000000"/>
          <w:sz w:val="28"/>
        </w:rPr>
        <w:t>
      1) естественный отказ родителей передавать детей (от 6 до 10 лет) на временное проживание в "принимающую" семью или интернат;</w:t>
      </w:r>
    </w:p>
    <w:bookmarkEnd w:id="241"/>
    <w:bookmarkStart w:name="z260" w:id="242"/>
    <w:p>
      <w:pPr>
        <w:spacing w:after="0"/>
        <w:ind w:left="0"/>
        <w:jc w:val="both"/>
      </w:pPr>
      <w:r>
        <w:rPr>
          <w:rFonts w:ascii="Times New Roman"/>
          <w:b w:val="false"/>
          <w:i w:val="false"/>
          <w:color w:val="000000"/>
          <w:sz w:val="28"/>
        </w:rPr>
        <w:t xml:space="preserve">
      2) отсутствие у педагогов школ, подлежащих закрытию, возможности в дальнейшем трудоустройстве; </w:t>
      </w:r>
    </w:p>
    <w:bookmarkEnd w:id="242"/>
    <w:bookmarkStart w:name="z261" w:id="243"/>
    <w:p>
      <w:pPr>
        <w:spacing w:after="0"/>
        <w:ind w:left="0"/>
        <w:jc w:val="both"/>
      </w:pPr>
      <w:r>
        <w:rPr>
          <w:rFonts w:ascii="Times New Roman"/>
          <w:b w:val="false"/>
          <w:i w:val="false"/>
          <w:color w:val="000000"/>
          <w:sz w:val="28"/>
        </w:rPr>
        <w:t xml:space="preserve">
      3) отсутствие желания и финансовой возможности у населения для переезда в другие населенные пункты. Однако, учитывая недостаточную школьную подготовку в МКШ и расходы на их содержание, существенно превышающие таковые в полнокомплектных школах, работа по сокращению МКШ будет продолжена. Соответствующие меры по сокращению МКШ необходимо сосредоточить на уровне основного и общего среднего образования, поскольку ученики начальной школы однозначно должны жить с родителями. </w:t>
      </w:r>
    </w:p>
    <w:bookmarkEnd w:id="243"/>
    <w:bookmarkStart w:name="z262" w:id="244"/>
    <w:p>
      <w:pPr>
        <w:spacing w:after="0"/>
        <w:ind w:left="0"/>
        <w:jc w:val="both"/>
      </w:pPr>
      <w:r>
        <w:rPr>
          <w:rFonts w:ascii="Times New Roman"/>
          <w:b w:val="false"/>
          <w:i w:val="false"/>
          <w:color w:val="000000"/>
          <w:sz w:val="28"/>
        </w:rPr>
        <w:t xml:space="preserve">
      Вместе с тем, вопрос организации безопасного подвоза детей, проживающих в населенных пунктах, где отсутствуют школы, также требует внимания. В целом по республике подвоз обучающихся, проживающих в населенных пунктах, где нет школ, осуществляется 974 автомобилями, из них 71 (2016 г. - 69) приобретены в 2018 году. В настоящее время потребность составляет 173 (2017 г. - 159) единицы автотранспорта (Туркестанской - 50, Акмолинской - 33, Костанайской - 30, Северо-Казахстанской - 30, Алматинской - 12, Карагандинской - 8, Западно-Казахстанской - 5, Восточно-Казахстанской - 3, Кызылординской областях - 2). Данная потребность составляет не только в недостающем автотранспорте, но и замене изношенного автотранспорта, на котором в настоящее время осуществляется перевозка детей. </w:t>
      </w:r>
    </w:p>
    <w:bookmarkEnd w:id="244"/>
    <w:bookmarkStart w:name="z263" w:id="245"/>
    <w:p>
      <w:pPr>
        <w:spacing w:after="0"/>
        <w:ind w:left="0"/>
        <w:jc w:val="both"/>
      </w:pPr>
      <w:r>
        <w:rPr>
          <w:rFonts w:ascii="Times New Roman"/>
          <w:b w:val="false"/>
          <w:i w:val="false"/>
          <w:color w:val="000000"/>
          <w:sz w:val="28"/>
        </w:rPr>
        <w:t>
      Для повышения кадрового потенциала в сельской местности с 2009 года реализуется проект "С дипломом в село!". С начала внедрения проекта свыше 60 тыс. специалистов получили подъемное пособие на сумму 7,4 млрд. тенге, а свыше 27,5 тыс. специалистов получили бюджетные кредиты для приобретения или строительства жилья на сумму 70,6 млрд. тенге. Например, в 2018 году 5,8 тыс. специалистов получили подъемное пособие на сумму 986,8 млн. тенге, а свыше 4 тыс. специалистов получили бюджетные кредиты для приобретения или строительства жилья на сумму 13,7 млрд. тенге.</w:t>
      </w:r>
    </w:p>
    <w:bookmarkEnd w:id="245"/>
    <w:bookmarkStart w:name="z264" w:id="246"/>
    <w:p>
      <w:pPr>
        <w:spacing w:after="0"/>
        <w:ind w:left="0"/>
        <w:jc w:val="both"/>
      </w:pPr>
      <w:r>
        <w:rPr>
          <w:rFonts w:ascii="Times New Roman"/>
          <w:b w:val="false"/>
          <w:i w:val="false"/>
          <w:color w:val="000000"/>
          <w:sz w:val="28"/>
        </w:rPr>
        <w:t xml:space="preserve">
      В 2019 году выплата единовременного подъемного пособия на одного специалиста увеличилась с 70-кратного размера месячного расчетного показателя до 100 месячных расчетных показателей. </w:t>
      </w:r>
    </w:p>
    <w:bookmarkEnd w:id="246"/>
    <w:bookmarkStart w:name="z265" w:id="247"/>
    <w:p>
      <w:pPr>
        <w:spacing w:after="0"/>
        <w:ind w:left="0"/>
        <w:jc w:val="both"/>
      </w:pPr>
      <w:r>
        <w:rPr>
          <w:rFonts w:ascii="Times New Roman"/>
          <w:b w:val="false"/>
          <w:i w:val="false"/>
          <w:color w:val="000000"/>
          <w:sz w:val="28"/>
        </w:rPr>
        <w:t xml:space="preserve">
      В соответствии с поручениями Елбасы, данными на XVIII съезде партии "Hұp Отан" 27 февраля 2019 года, начата реализация проекта "Ауыл - Ел бесігі". </w:t>
      </w:r>
    </w:p>
    <w:bookmarkEnd w:id="247"/>
    <w:bookmarkStart w:name="z266" w:id="248"/>
    <w:p>
      <w:pPr>
        <w:spacing w:after="0"/>
        <w:ind w:left="0"/>
        <w:jc w:val="both"/>
      </w:pPr>
      <w:r>
        <w:rPr>
          <w:rFonts w:ascii="Times New Roman"/>
          <w:b w:val="false"/>
          <w:i w:val="false"/>
          <w:color w:val="000000"/>
          <w:sz w:val="28"/>
        </w:rPr>
        <w:t>
      Основными целями проекта являются улучшение качества жизни на селе, модернизация социальной среды сельских территорий, доведение их до параметров системы региональных стандартов.</w:t>
      </w:r>
    </w:p>
    <w:bookmarkEnd w:id="248"/>
    <w:bookmarkStart w:name="z267" w:id="249"/>
    <w:p>
      <w:pPr>
        <w:spacing w:after="0"/>
        <w:ind w:left="0"/>
        <w:jc w:val="both"/>
      </w:pPr>
      <w:r>
        <w:rPr>
          <w:rFonts w:ascii="Times New Roman"/>
          <w:b w:val="false"/>
          <w:i w:val="false"/>
          <w:color w:val="000000"/>
          <w:sz w:val="28"/>
        </w:rPr>
        <w:t>
      В рамках проекта поставлены задачи по развитию социальной и инженерной инфраструктуры сельских территорий, обеспечению доступности сельских жителей к социальным благам и государственным услугам, и в целом созданию более комфортной среды проживания.</w:t>
      </w:r>
    </w:p>
    <w:bookmarkEnd w:id="249"/>
    <w:bookmarkStart w:name="z268" w:id="250"/>
    <w:p>
      <w:pPr>
        <w:spacing w:after="0"/>
        <w:ind w:left="0"/>
        <w:jc w:val="both"/>
      </w:pPr>
      <w:r>
        <w:rPr>
          <w:rFonts w:ascii="Times New Roman"/>
          <w:b w:val="false"/>
          <w:i w:val="false"/>
          <w:color w:val="000000"/>
          <w:sz w:val="28"/>
        </w:rPr>
        <w:t>
      В 2019 году для эффективной реализации проекта разработан и осуществлен следующий алгоритм действий.</w:t>
      </w:r>
    </w:p>
    <w:bookmarkEnd w:id="250"/>
    <w:bookmarkStart w:name="z269" w:id="251"/>
    <w:p>
      <w:pPr>
        <w:spacing w:after="0"/>
        <w:ind w:left="0"/>
        <w:jc w:val="both"/>
      </w:pPr>
      <w:r>
        <w:rPr>
          <w:rFonts w:ascii="Times New Roman"/>
          <w:b w:val="false"/>
          <w:i w:val="false"/>
          <w:color w:val="000000"/>
          <w:sz w:val="28"/>
        </w:rPr>
        <w:t xml:space="preserve">
      Первое. На основе анализа потенциалов развития и текущей экономической ситуации проведен отбор опорных СНП, в которых намечена реализация проектов. При этом по каждому проекту и населенному пункту была разработана дорожная карта по достижению целей. </w:t>
      </w:r>
    </w:p>
    <w:bookmarkEnd w:id="251"/>
    <w:bookmarkStart w:name="z270" w:id="252"/>
    <w:p>
      <w:pPr>
        <w:spacing w:after="0"/>
        <w:ind w:left="0"/>
        <w:jc w:val="both"/>
      </w:pPr>
      <w:r>
        <w:rPr>
          <w:rFonts w:ascii="Times New Roman"/>
          <w:b w:val="false"/>
          <w:i w:val="false"/>
          <w:color w:val="000000"/>
          <w:sz w:val="28"/>
        </w:rPr>
        <w:t xml:space="preserve">
      Второе. В 2019 году совместно с международными экспертами усовершенствованы методология и модели расчета показателей для приоритезации СНП в качестве опорных. </w:t>
      </w:r>
    </w:p>
    <w:bookmarkEnd w:id="252"/>
    <w:bookmarkStart w:name="z271" w:id="253"/>
    <w:p>
      <w:pPr>
        <w:spacing w:after="0"/>
        <w:ind w:left="0"/>
        <w:jc w:val="both"/>
      </w:pPr>
      <w:r>
        <w:rPr>
          <w:rFonts w:ascii="Times New Roman"/>
          <w:b w:val="false"/>
          <w:i w:val="false"/>
          <w:color w:val="000000"/>
          <w:sz w:val="28"/>
        </w:rPr>
        <w:t xml:space="preserve">
      Ключевые изменения в новой методике по определению перспективности СНП рассматриваются в рамках сельских кластеров, а не по отдельности по перспективному (опорному) селу. Это позволяет сформировать более целостную картину по охвату населения, особенно инфраструктурой общего пользования. </w:t>
      </w:r>
    </w:p>
    <w:bookmarkEnd w:id="253"/>
    <w:bookmarkStart w:name="z272" w:id="254"/>
    <w:p>
      <w:pPr>
        <w:spacing w:after="0"/>
        <w:ind w:left="0"/>
        <w:jc w:val="both"/>
      </w:pPr>
      <w:r>
        <w:rPr>
          <w:rFonts w:ascii="Times New Roman"/>
          <w:b w:val="false"/>
          <w:i w:val="false"/>
          <w:color w:val="000000"/>
          <w:sz w:val="28"/>
        </w:rPr>
        <w:t>
      По результатам статического анализа "население" рассматривается как наиболее значимый параметр оценки приоритетности СНП, вместо ранее использованных показателей сельского хозяйства.</w:t>
      </w:r>
    </w:p>
    <w:bookmarkEnd w:id="254"/>
    <w:bookmarkStart w:name="z273" w:id="255"/>
    <w:p>
      <w:pPr>
        <w:spacing w:after="0"/>
        <w:ind w:left="0"/>
        <w:jc w:val="both"/>
      </w:pPr>
      <w:r>
        <w:rPr>
          <w:rFonts w:ascii="Times New Roman"/>
          <w:b w:val="false"/>
          <w:i w:val="false"/>
          <w:color w:val="000000"/>
          <w:sz w:val="28"/>
        </w:rPr>
        <w:t xml:space="preserve">
      Оценка численности населения производится в рамках динамики за последние 10 лет, а не исключительно в статическом состоянии на отчетную дату. </w:t>
      </w:r>
    </w:p>
    <w:bookmarkEnd w:id="255"/>
    <w:bookmarkStart w:name="z274" w:id="256"/>
    <w:p>
      <w:pPr>
        <w:spacing w:after="0"/>
        <w:ind w:left="0"/>
        <w:jc w:val="both"/>
      </w:pPr>
      <w:r>
        <w:rPr>
          <w:rFonts w:ascii="Times New Roman"/>
          <w:b w:val="false"/>
          <w:i w:val="false"/>
          <w:color w:val="000000"/>
          <w:sz w:val="28"/>
        </w:rPr>
        <w:t>
      Учет географического положения СНП осуществляется с применением геопространственного анализа при определении приоритезации, включая приближенность к туристическим объектам, государственной границе.</w:t>
      </w:r>
    </w:p>
    <w:bookmarkEnd w:id="256"/>
    <w:bookmarkStart w:name="z275" w:id="257"/>
    <w:p>
      <w:pPr>
        <w:spacing w:after="0"/>
        <w:ind w:left="0"/>
        <w:jc w:val="both"/>
      </w:pPr>
      <w:r>
        <w:rPr>
          <w:rFonts w:ascii="Times New Roman"/>
          <w:b w:val="false"/>
          <w:i w:val="false"/>
          <w:color w:val="000000"/>
          <w:sz w:val="28"/>
        </w:rPr>
        <w:t xml:space="preserve">
      При реализации проекта применен комплексный подход к развитию опорных сел с обеспечением "бюджетного фильтра" (приоритетного финансирования включенных в проект опорных сел). </w:t>
      </w:r>
    </w:p>
    <w:bookmarkEnd w:id="257"/>
    <w:bookmarkStart w:name="z276" w:id="258"/>
    <w:p>
      <w:pPr>
        <w:spacing w:after="0"/>
        <w:ind w:left="0"/>
        <w:jc w:val="both"/>
      </w:pPr>
      <w:r>
        <w:rPr>
          <w:rFonts w:ascii="Times New Roman"/>
          <w:b w:val="false"/>
          <w:i w:val="false"/>
          <w:color w:val="000000"/>
          <w:sz w:val="28"/>
        </w:rPr>
        <w:t>
      На реализацию проекта из республиканского бюджета на 2019-2021 годы предусмотрено 90,0 млрд.тенге, в том числе 30,0 млрд.тенге в 2019 году.</w:t>
      </w:r>
    </w:p>
    <w:bookmarkEnd w:id="258"/>
    <w:bookmarkStart w:name="z277" w:id="259"/>
    <w:p>
      <w:pPr>
        <w:spacing w:after="0"/>
        <w:ind w:left="0"/>
        <w:jc w:val="both"/>
      </w:pPr>
      <w:r>
        <w:rPr>
          <w:rFonts w:ascii="Times New Roman"/>
          <w:b w:val="false"/>
          <w:i w:val="false"/>
          <w:color w:val="000000"/>
          <w:sz w:val="28"/>
        </w:rPr>
        <w:t>
      Распределение средств из республиканского бюджета по регионам было осуществлено, исходя из численности сельского населения, проживающего в СНП, имеющих высокий потенциал развития.</w:t>
      </w:r>
    </w:p>
    <w:bookmarkEnd w:id="259"/>
    <w:bookmarkStart w:name="z278" w:id="260"/>
    <w:p>
      <w:pPr>
        <w:spacing w:after="0"/>
        <w:ind w:left="0"/>
        <w:jc w:val="both"/>
      </w:pPr>
      <w:r>
        <w:rPr>
          <w:rFonts w:ascii="Times New Roman"/>
          <w:b w:val="false"/>
          <w:i w:val="false"/>
          <w:color w:val="000000"/>
          <w:sz w:val="28"/>
        </w:rPr>
        <w:t>
      Совместно с акиматами регионов в 2019 году были отобраны 53 СНП. В данных опорных СНП запланировано реализовать 452 мероприятия, из которых 233 направлены на развитие транспортной инфраструктуры, 153 - социальной инфраструктуры и 66 - ЖКХ.</w:t>
      </w:r>
    </w:p>
    <w:bookmarkEnd w:id="260"/>
    <w:bookmarkStart w:name="z279" w:id="261"/>
    <w:p>
      <w:pPr>
        <w:spacing w:after="0"/>
        <w:ind w:left="0"/>
        <w:jc w:val="both"/>
      </w:pPr>
      <w:r>
        <w:rPr>
          <w:rFonts w:ascii="Times New Roman"/>
          <w:b w:val="false"/>
          <w:i w:val="false"/>
          <w:color w:val="000000"/>
          <w:sz w:val="28"/>
        </w:rPr>
        <w:t>
      Упор сделан на крупные населенные пункты - районные центры с наибольшим количеством населения, в которых требуется скорейшее решение накопившихся острых инфраструктурных проблем. Реализация проекта в 2019 году позволит улучшить качество жизни почти 700 тыс. человек или 9% сельского населения.</w:t>
      </w:r>
    </w:p>
    <w:bookmarkEnd w:id="261"/>
    <w:bookmarkStart w:name="z280" w:id="262"/>
    <w:p>
      <w:pPr>
        <w:spacing w:after="0"/>
        <w:ind w:left="0"/>
        <w:jc w:val="both"/>
      </w:pPr>
      <w:r>
        <w:rPr>
          <w:rFonts w:ascii="Times New Roman"/>
          <w:b w:val="false"/>
          <w:i w:val="false"/>
          <w:color w:val="000000"/>
          <w:sz w:val="28"/>
        </w:rPr>
        <w:t>
      Объем финансирования на 1 районный центр в среднем составляет около 670 млн. тенге.</w:t>
      </w:r>
    </w:p>
    <w:bookmarkEnd w:id="262"/>
    <w:bookmarkStart w:name="z281" w:id="263"/>
    <w:p>
      <w:pPr>
        <w:spacing w:after="0"/>
        <w:ind w:left="0"/>
        <w:jc w:val="both"/>
      </w:pPr>
      <w:r>
        <w:rPr>
          <w:rFonts w:ascii="Times New Roman"/>
          <w:b w:val="false"/>
          <w:i w:val="false"/>
          <w:color w:val="000000"/>
          <w:sz w:val="28"/>
        </w:rPr>
        <w:t>
      Акиматам регионов рекомендовано направить на софинансирование не менее 10% от общей суммы финансирования проектов.</w:t>
      </w:r>
    </w:p>
    <w:bookmarkEnd w:id="263"/>
    <w:bookmarkStart w:name="z282" w:id="264"/>
    <w:p>
      <w:pPr>
        <w:spacing w:after="0"/>
        <w:ind w:left="0"/>
        <w:jc w:val="both"/>
      </w:pPr>
      <w:r>
        <w:rPr>
          <w:rFonts w:ascii="Times New Roman"/>
          <w:b w:val="false"/>
          <w:i w:val="false"/>
          <w:color w:val="000000"/>
          <w:sz w:val="28"/>
        </w:rPr>
        <w:t>
      Акиматами областей по каждому проекту разработаны и приняты соответствующие "дорожные карты" со сроками реализации с закреплением ответственных должностных лиц.</w:t>
      </w:r>
    </w:p>
    <w:bookmarkEnd w:id="264"/>
    <w:bookmarkStart w:name="z283" w:id="265"/>
    <w:p>
      <w:pPr>
        <w:spacing w:after="0"/>
        <w:ind w:left="0"/>
        <w:jc w:val="both"/>
      </w:pPr>
      <w:r>
        <w:rPr>
          <w:rFonts w:ascii="Times New Roman"/>
          <w:b w:val="false"/>
          <w:i w:val="false"/>
          <w:color w:val="000000"/>
          <w:sz w:val="28"/>
        </w:rPr>
        <w:t>
      По прогнозным данным общая численность населения страны к 2025 году достигнет 20 млн. человек. При этом численность сельского населения останется практически на том же уровне, что и в настоящее время - 7,7 млн., но доля снизится до 38,5%.</w:t>
      </w:r>
    </w:p>
    <w:bookmarkEnd w:id="265"/>
    <w:bookmarkStart w:name="z284" w:id="266"/>
    <w:p>
      <w:pPr>
        <w:spacing w:after="0"/>
        <w:ind w:left="0"/>
        <w:jc w:val="both"/>
      </w:pPr>
      <w:r>
        <w:rPr>
          <w:rFonts w:ascii="Times New Roman"/>
          <w:b w:val="false"/>
          <w:i w:val="false"/>
          <w:color w:val="000000"/>
          <w:sz w:val="28"/>
        </w:rPr>
        <w:t>
      В целом необходимо особо отметить, что искусственное сдерживание населения на селе не продуктивно, поскольку в настоящее время доля сельского населения в общей численности населения составляет 42%, что сопоставимо с данными по ряду африканских стран и значительно больше, чем в странах ОЭСР.</w:t>
      </w:r>
    </w:p>
    <w:bookmarkEnd w:id="266"/>
    <w:bookmarkStart w:name="z285" w:id="267"/>
    <w:p>
      <w:pPr>
        <w:spacing w:after="0"/>
        <w:ind w:left="0"/>
        <w:jc w:val="both"/>
      </w:pPr>
      <w:r>
        <w:rPr>
          <w:rFonts w:ascii="Times New Roman"/>
          <w:b w:val="false"/>
          <w:i w:val="false"/>
          <w:color w:val="000000"/>
          <w:sz w:val="28"/>
        </w:rPr>
        <w:t>
      SWOT-анализ развития регионов в рамках Государственной программы</w:t>
      </w:r>
    </w:p>
    <w:bookmarkEnd w:id="2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8"/>
          <w:p>
            <w:pPr>
              <w:spacing w:after="20"/>
              <w:ind w:left="20"/>
              <w:jc w:val="both"/>
            </w:pPr>
            <w:r>
              <w:rPr>
                <w:rFonts w:ascii="Times New Roman"/>
                <w:b w:val="false"/>
                <w:i w:val="false"/>
                <w:color w:val="000000"/>
                <w:sz w:val="20"/>
              </w:rPr>
              <w:t>
Тенденции роста численности городского населения;</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высокая доля крупных городов Алматы и Нур-Султана в ВВП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динамичное развитие сферы услуг в крупных городах - Нур-Султане и Алматы (образование, здравоохранение, культура и досуг);</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благоприятной среды для развития современной (инновационной) экономики в ФГР;</w:t>
            </w:r>
          </w:p>
          <w:p>
            <w:pPr>
              <w:spacing w:after="20"/>
              <w:ind w:left="20"/>
              <w:jc w:val="both"/>
            </w:pPr>
            <w:r>
              <w:rPr>
                <w:rFonts w:ascii="Times New Roman"/>
                <w:b w:val="false"/>
                <w:i w:val="false"/>
                <w:color w:val="000000"/>
                <w:sz w:val="20"/>
              </w:rPr>
              <w:t>
</w:t>
            </w:r>
            <w:r>
              <w:rPr>
                <w:rFonts w:ascii="Times New Roman"/>
                <w:b w:val="false"/>
                <w:i w:val="false"/>
                <w:color w:val="000000"/>
                <w:sz w:val="20"/>
              </w:rPr>
              <w:t>внедрение системы "Smart City" в рамках Государственной программы "Цифровой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числа высококлассных специалистов в крупных и больших городах;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связанность столицы с регионами страны.</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Отставание по уровню урбанизации от развитых стран;</w:t>
            </w:r>
          </w:p>
          <w:bookmarkEnd w:id="269"/>
          <w:p>
            <w:pPr>
              <w:spacing w:after="20"/>
              <w:ind w:left="20"/>
              <w:jc w:val="both"/>
            </w:pPr>
            <w:r>
              <w:rPr>
                <w:rFonts w:ascii="Times New Roman"/>
                <w:b w:val="false"/>
                <w:i w:val="false"/>
                <w:color w:val="000000"/>
                <w:sz w:val="20"/>
              </w:rPr>
              <w:t>
</w:t>
            </w:r>
            <w:r>
              <w:rPr>
                <w:rFonts w:ascii="Times New Roman"/>
                <w:b w:val="false"/>
                <w:i w:val="false"/>
                <w:color w:val="000000"/>
                <w:sz w:val="20"/>
              </w:rPr>
              <w:t>низкая конкурентоспособность крупных городов страны на глобальном и региональном (евразийском) рынках;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региональные диспропорции по показателям качества жизни населения;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низкий уровень диверсификации экономики моно- и малых городов, СНП;</w:t>
            </w:r>
          </w:p>
          <w:p>
            <w:pPr>
              <w:spacing w:after="20"/>
              <w:ind w:left="20"/>
              <w:jc w:val="both"/>
            </w:pPr>
            <w:r>
              <w:rPr>
                <w:rFonts w:ascii="Times New Roman"/>
                <w:b w:val="false"/>
                <w:i w:val="false"/>
                <w:color w:val="000000"/>
                <w:sz w:val="20"/>
              </w:rPr>
              <w:t>
</w:t>
            </w:r>
            <w:r>
              <w:rPr>
                <w:rFonts w:ascii="Times New Roman"/>
                <w:b w:val="false"/>
                <w:i w:val="false"/>
                <w:color w:val="000000"/>
                <w:sz w:val="20"/>
              </w:rPr>
              <w:t>неразвитость инфраструктуры приграничного сотрудничества;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недостаточная транспортная связанность между городами-ядрами и прилегающими к ним населенными пунктами в ФГР;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несоответствие инженерной и социальной инфраструктуры, высокий износ водопроводных, канализационных, тепловых и электрических сетей, внутригородских дорог в населенных пунктах;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отсутствие альтернативных источников финансирования модернизации инженерной инфраструктуры в городах (помимо государственного бюджета); </w:t>
            </w:r>
          </w:p>
          <w:p>
            <w:pPr>
              <w:spacing w:after="20"/>
              <w:ind w:left="20"/>
              <w:jc w:val="both"/>
            </w:pPr>
            <w:r>
              <w:rPr>
                <w:rFonts w:ascii="Times New Roman"/>
                <w:b w:val="false"/>
                <w:i w:val="false"/>
                <w:color w:val="000000"/>
                <w:sz w:val="20"/>
              </w:rPr>
              <w:t>
системные проблемы в сфере охраны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0"/>
          <w:p>
            <w:pPr>
              <w:spacing w:after="20"/>
              <w:ind w:left="20"/>
              <w:jc w:val="both"/>
            </w:pPr>
            <w:r>
              <w:rPr>
                <w:rFonts w:ascii="Times New Roman"/>
                <w:b w:val="false"/>
                <w:i w:val="false"/>
                <w:color w:val="000000"/>
                <w:sz w:val="20"/>
              </w:rPr>
              <w:t xml:space="preserve">
Реструктуризация экономики агломераций, моно- и малых городов, входящих в состав </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ФГР;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мобильного рынка труда в крупных городах;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формирование крупных рынков сбыта в агломерациях, крупных городах; </w:t>
            </w:r>
          </w:p>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реализация стратегий развития крупных городов страны до 2050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расширение экономического потенциала приграничных территорий страны в связи с реализацией крупных инфраструктурных проектов;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повышение качества жизни населения за счет технологичного (инновационного) развития крупных городов, моно-, малых городов, СНП при реализации системы региональных стандартов;</w:t>
            </w:r>
          </w:p>
          <w:p>
            <w:pPr>
              <w:spacing w:after="20"/>
              <w:ind w:left="20"/>
              <w:jc w:val="both"/>
            </w:pPr>
            <w:r>
              <w:rPr>
                <w:rFonts w:ascii="Times New Roman"/>
                <w:b w:val="false"/>
                <w:i w:val="false"/>
                <w:color w:val="000000"/>
                <w:sz w:val="20"/>
              </w:rPr>
              <w:t>
активное внедрение механизмов ГЧП для повышения инвестиционной привлекательности ФГР.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71"/>
          <w:p>
            <w:pPr>
              <w:spacing w:after="20"/>
              <w:ind w:left="20"/>
              <w:jc w:val="both"/>
            </w:pPr>
            <w:r>
              <w:rPr>
                <w:rFonts w:ascii="Times New Roman"/>
                <w:b w:val="false"/>
                <w:i w:val="false"/>
                <w:color w:val="000000"/>
                <w:sz w:val="20"/>
              </w:rPr>
              <w:t>
Возникновение диспропорций в урбанизационных процессах - развитие "ложной" урбанизации;</w:t>
            </w:r>
          </w:p>
          <w:bookmarkEnd w:id="271"/>
          <w:p>
            <w:pPr>
              <w:spacing w:after="20"/>
              <w:ind w:left="20"/>
              <w:jc w:val="both"/>
            </w:pPr>
            <w:r>
              <w:rPr>
                <w:rFonts w:ascii="Times New Roman"/>
                <w:b w:val="false"/>
                <w:i w:val="false"/>
                <w:color w:val="000000"/>
                <w:sz w:val="20"/>
              </w:rPr>
              <w:t>
</w:t>
            </w:r>
            <w:r>
              <w:rPr>
                <w:rFonts w:ascii="Times New Roman"/>
                <w:b w:val="false"/>
                <w:i w:val="false"/>
                <w:color w:val="000000"/>
                <w:sz w:val="20"/>
              </w:rPr>
              <w:t>инвестиционная непривлекательность отдаленных от крупных и больших городов моно- и малых городов;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массовая безработица в связи с остановкой градообразующих предприятий в моно- и малых городах, а также сельской местности;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риски массового оттока молодежи из сельской местности северных регионов в соседние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чрезмерная нагрузка на городскую социальную и инженерную инфраструктуру;</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нарушение экологического равновесия в результате "псевдоурбанизации".</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4" w:id="272"/>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Цели, задачи, целевые индикаторы и показатели результатов</w:t>
      </w:r>
      <w:r>
        <w:rPr>
          <w:rFonts w:ascii="Times New Roman"/>
          <w:b w:val="false"/>
          <w:i w:val="false"/>
          <w:color w:val="000000"/>
          <w:sz w:val="28"/>
        </w:rPr>
        <w:t xml:space="preserve"> </w:t>
      </w:r>
      <w:r>
        <w:rPr>
          <w:rFonts w:ascii="Times New Roman"/>
          <w:b/>
          <w:i w:val="false"/>
          <w:color w:val="000000"/>
          <w:sz w:val="28"/>
        </w:rPr>
        <w:t>реализации Государственной программы</w:t>
      </w:r>
    </w:p>
    <w:bookmarkEnd w:id="272"/>
    <w:bookmarkStart w:name="z315" w:id="273"/>
    <w:p>
      <w:pPr>
        <w:spacing w:after="0"/>
        <w:ind w:left="0"/>
        <w:jc w:val="both"/>
      </w:pPr>
      <w:r>
        <w:rPr>
          <w:rFonts w:ascii="Times New Roman"/>
          <w:b w:val="false"/>
          <w:i w:val="false"/>
          <w:color w:val="000000"/>
          <w:sz w:val="28"/>
        </w:rPr>
        <w:t xml:space="preserve">
      Целями Государственной программы являются повышение экономической конкурентоспособности регионов и улучшение качества жизни населения через управляемую урбанизацию. </w:t>
      </w:r>
    </w:p>
    <w:bookmarkEnd w:id="273"/>
    <w:bookmarkStart w:name="z316" w:id="274"/>
    <w:p>
      <w:pPr>
        <w:spacing w:after="0"/>
        <w:ind w:left="0"/>
        <w:jc w:val="both"/>
      </w:pPr>
      <w:r>
        <w:rPr>
          <w:rFonts w:ascii="Times New Roman"/>
          <w:b w:val="false"/>
          <w:i w:val="false"/>
          <w:color w:val="000000"/>
          <w:sz w:val="28"/>
        </w:rPr>
        <w:t>
      Достижение данных целей будет измеряться следующими целевыми индикаторами:</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Уровень урбанизации*, % (на конец года)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75"/>
          <w:p>
            <w:pPr>
              <w:spacing w:after="20"/>
              <w:ind w:left="20"/>
              <w:jc w:val="both"/>
            </w:pPr>
            <w:r>
              <w:rPr>
                <w:rFonts w:ascii="Times New Roman"/>
                <w:b w:val="false"/>
                <w:i w:val="false"/>
                <w:color w:val="000000"/>
                <w:sz w:val="20"/>
              </w:rPr>
              <w:t xml:space="preserve">
По республике </w:t>
            </w:r>
          </w:p>
          <w:bookmarkEnd w:id="275"/>
          <w:p>
            <w:pPr>
              <w:spacing w:after="20"/>
              <w:ind w:left="20"/>
              <w:jc w:val="both"/>
            </w:pPr>
            <w:r>
              <w:rPr>
                <w:rFonts w:ascii="Times New Roman"/>
                <w:b w:val="false"/>
                <w:i w:val="false"/>
                <w:color w:val="000000"/>
                <w:sz w:val="20"/>
              </w:rPr>
              <w:t xml:space="preserve">
в среднем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Разрыв развития по ВРП на душу населения между регионами**, раз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Темпы роста реальных денежных доходов населения***, %, в том числе: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республике в среднем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Нур-Султана, Алматы и Шымкента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Мангистауская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Шымкент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18" w:id="276"/>
    <w:p>
      <w:pPr>
        <w:spacing w:after="0"/>
        <w:ind w:left="0"/>
        <w:jc w:val="both"/>
      </w:pPr>
      <w:r>
        <w:rPr>
          <w:rFonts w:ascii="Times New Roman"/>
          <w:b w:val="false"/>
          <w:i w:val="false"/>
          <w:color w:val="000000"/>
          <w:sz w:val="28"/>
        </w:rPr>
        <w:t>
      * Прогнозные значения уровня урбанизации на 2020 - 2025 годы рассчитаны на основе темпов роста/снижения уровня урбанизации за 2000-2018 годы.</w:t>
      </w:r>
    </w:p>
    <w:bookmarkEnd w:id="276"/>
    <w:bookmarkStart w:name="z319" w:id="277"/>
    <w:p>
      <w:pPr>
        <w:spacing w:after="0"/>
        <w:ind w:left="0"/>
        <w:jc w:val="both"/>
      </w:pPr>
      <w:r>
        <w:rPr>
          <w:rFonts w:ascii="Times New Roman"/>
          <w:b w:val="false"/>
          <w:i w:val="false"/>
          <w:color w:val="000000"/>
          <w:sz w:val="28"/>
        </w:rPr>
        <w:t>
      ** Прогнозные значения разрыва по ВРП на душу населения между регионами на 2020-2025 годы рассчитаны на основе анализа темпов роста/снижения объемов ВРП по 16 регионам за 2016-2017 годы и по 17 регионам за 2018 год.</w:t>
      </w:r>
    </w:p>
    <w:bookmarkEnd w:id="277"/>
    <w:bookmarkStart w:name="z320" w:id="278"/>
    <w:p>
      <w:pPr>
        <w:spacing w:after="0"/>
        <w:ind w:left="0"/>
        <w:jc w:val="both"/>
      </w:pPr>
      <w:r>
        <w:rPr>
          <w:rFonts w:ascii="Times New Roman"/>
          <w:b w:val="false"/>
          <w:i w:val="false"/>
          <w:color w:val="000000"/>
          <w:sz w:val="28"/>
        </w:rPr>
        <w:t xml:space="preserve">
      *** Прогнозные значения темпов роста реальных денежных доходов населения на 2020 - 2025 годы рассчитаны на основе анализа темпов роста/снижения реальных денежных доходов по отношению к 2016 году. </w:t>
      </w:r>
    </w:p>
    <w:bookmarkEnd w:id="278"/>
    <w:bookmarkStart w:name="z321" w:id="279"/>
    <w:p>
      <w:pPr>
        <w:spacing w:after="0"/>
        <w:ind w:left="0"/>
        <w:jc w:val="both"/>
      </w:pPr>
      <w:r>
        <w:rPr>
          <w:rFonts w:ascii="Times New Roman"/>
          <w:b w:val="false"/>
          <w:i w:val="false"/>
          <w:color w:val="000000"/>
          <w:sz w:val="28"/>
        </w:rPr>
        <w:t>
      Для достижения поставленной цели предусматривается решение следующих задач:</w:t>
      </w:r>
    </w:p>
    <w:bookmarkEnd w:id="279"/>
    <w:bookmarkStart w:name="z322" w:id="280"/>
    <w:p>
      <w:pPr>
        <w:spacing w:after="0"/>
        <w:ind w:left="0"/>
        <w:jc w:val="both"/>
      </w:pPr>
      <w:r>
        <w:rPr>
          <w:rFonts w:ascii="Times New Roman"/>
          <w:b w:val="false"/>
          <w:i w:val="false"/>
          <w:color w:val="000000"/>
          <w:sz w:val="28"/>
        </w:rPr>
        <w:t>
      1) развитие ФГР - агломераций с центрами в городах Нур-Султане, Алматы, Шымкенте и Актобе;</w:t>
      </w:r>
    </w:p>
    <w:bookmarkEnd w:id="280"/>
    <w:bookmarkStart w:name="z323" w:id="281"/>
    <w:p>
      <w:pPr>
        <w:spacing w:after="0"/>
        <w:ind w:left="0"/>
        <w:jc w:val="both"/>
      </w:pPr>
      <w:r>
        <w:rPr>
          <w:rFonts w:ascii="Times New Roman"/>
          <w:b w:val="false"/>
          <w:i w:val="false"/>
          <w:color w:val="000000"/>
          <w:sz w:val="28"/>
        </w:rPr>
        <w:t xml:space="preserve">
      2) развитие ФГР с центрами в областных центрах, городе Семей; </w:t>
      </w:r>
    </w:p>
    <w:bookmarkEnd w:id="281"/>
    <w:bookmarkStart w:name="z324" w:id="282"/>
    <w:p>
      <w:pPr>
        <w:spacing w:after="0"/>
        <w:ind w:left="0"/>
        <w:jc w:val="both"/>
      </w:pPr>
      <w:r>
        <w:rPr>
          <w:rFonts w:ascii="Times New Roman"/>
          <w:b w:val="false"/>
          <w:i w:val="false"/>
          <w:color w:val="000000"/>
          <w:sz w:val="28"/>
        </w:rPr>
        <w:t>
      3) развитие моногородов с численностью населения более 50 тыс. человек, не входящих в состав ФГР;</w:t>
      </w:r>
    </w:p>
    <w:bookmarkEnd w:id="282"/>
    <w:bookmarkStart w:name="z325" w:id="283"/>
    <w:p>
      <w:pPr>
        <w:spacing w:after="0"/>
        <w:ind w:left="0"/>
        <w:jc w:val="both"/>
      </w:pPr>
      <w:r>
        <w:rPr>
          <w:rFonts w:ascii="Times New Roman"/>
          <w:b w:val="false"/>
          <w:i w:val="false"/>
          <w:color w:val="000000"/>
          <w:sz w:val="28"/>
        </w:rPr>
        <w:t>
      4) развитие приграничных моно- и малых городов с прилегающими территориями;</w:t>
      </w:r>
    </w:p>
    <w:bookmarkEnd w:id="283"/>
    <w:bookmarkStart w:name="z326" w:id="284"/>
    <w:p>
      <w:pPr>
        <w:spacing w:after="0"/>
        <w:ind w:left="0"/>
        <w:jc w:val="both"/>
      </w:pPr>
      <w:r>
        <w:rPr>
          <w:rFonts w:ascii="Times New Roman"/>
          <w:b w:val="false"/>
          <w:i w:val="false"/>
          <w:color w:val="000000"/>
          <w:sz w:val="28"/>
        </w:rPr>
        <w:t>
      5) развитие СНП.</w:t>
      </w:r>
    </w:p>
    <w:bookmarkEnd w:id="284"/>
    <w:bookmarkStart w:name="z327" w:id="285"/>
    <w:p>
      <w:pPr>
        <w:spacing w:after="0"/>
        <w:ind w:left="0"/>
        <w:jc w:val="both"/>
      </w:pPr>
      <w:r>
        <w:rPr>
          <w:rFonts w:ascii="Times New Roman"/>
          <w:b w:val="false"/>
          <w:i w:val="false"/>
          <w:color w:val="000000"/>
          <w:sz w:val="28"/>
        </w:rPr>
        <w:t>
      Задача 1. Развитие ФГР - агломераций с центрами в городах Нур-Султане, Алматы, Шымкенте и Актобе</w:t>
      </w:r>
    </w:p>
    <w:bookmarkEnd w:id="285"/>
    <w:bookmarkStart w:name="z328" w:id="286"/>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Численность населения в агломерациях, тыс. человек</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агломерациям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Актюбинской области, городов Нур-Султана, Алматы и Шымкента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Алматы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Актобе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объемов привлечения инвестиций в основной капитал (за исключением бюджетных средств) в центрах агломерации, млн.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2 295 898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2 779 129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3 340 218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1 030 035</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Актюбинской области, городов Нур-Султана, Алматы и Шымкента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29" w:id="287"/>
    <w:p>
      <w:pPr>
        <w:spacing w:after="0"/>
        <w:ind w:left="0"/>
        <w:jc w:val="both"/>
      </w:pPr>
      <w:r>
        <w:rPr>
          <w:rFonts w:ascii="Times New Roman"/>
          <w:b w:val="false"/>
          <w:i w:val="false"/>
          <w:color w:val="000000"/>
          <w:sz w:val="28"/>
        </w:rPr>
        <w:t>
      Задача 2. Развитие ФГР с центрами в областных центрах, городе Семей</w:t>
      </w:r>
    </w:p>
    <w:bookmarkEnd w:id="287"/>
    <w:bookmarkStart w:name="z330" w:id="288"/>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Численность населения областных центров, г. Семей, тыс. чел. (на конец года)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по областным центрам (городская администрация)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Увеличение объемов привлечения инвестиций в основной капитал (за исключением бюджетных средств) в разрезе областных центров и г. Семей, млн.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2 955 274</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Степень износа инженерной и транспортной инфраструктуры моно- и малых городов, входящих в состав ФГР</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удовлетворительном состоянии,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канализационных сетей,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тепловых сетей,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водопроводных сетей, %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31" w:id="289"/>
    <w:p>
      <w:pPr>
        <w:spacing w:after="0"/>
        <w:ind w:left="0"/>
        <w:jc w:val="both"/>
      </w:pPr>
      <w:r>
        <w:rPr>
          <w:rFonts w:ascii="Times New Roman"/>
          <w:b w:val="false"/>
          <w:i w:val="false"/>
          <w:color w:val="000000"/>
          <w:sz w:val="28"/>
        </w:rPr>
        <w:t>
      Задача 3. Развитие моногородов с численностью населения более 50 тыс. человек, не входящих в состав ФГР</w:t>
      </w:r>
    </w:p>
    <w:bookmarkEnd w:id="289"/>
    <w:bookmarkStart w:name="z332" w:id="290"/>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объемов привлечения инвестиций в основной капитал (за исключением бюджетных средств), в разрезе моногородов с численностью населения более 50 тыс. человек, не входящих в состав ФГР, млн.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МНЭ</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Степень износа инженерной и транспортной инфраструктуры моногородов с численностью населения более 50 тыс. человек, не входящих в состав ФГР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удовлетворительном состоянии,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моногородам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канализационных сетей,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моногородам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тепловых сетей,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моногородам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водопроводных сетей,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по моногородам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333" w:id="291"/>
    <w:p>
      <w:pPr>
        <w:spacing w:after="0"/>
        <w:ind w:left="0"/>
        <w:jc w:val="both"/>
      </w:pPr>
      <w:r>
        <w:rPr>
          <w:rFonts w:ascii="Times New Roman"/>
          <w:b w:val="false"/>
          <w:i w:val="false"/>
          <w:color w:val="000000"/>
          <w:sz w:val="28"/>
        </w:rPr>
        <w:t>
      Задача 4. Развитие приграничных моно- и малых городов с прилегающими территориями</w:t>
      </w:r>
    </w:p>
    <w:bookmarkEnd w:id="291"/>
    <w:bookmarkStart w:name="z334" w:id="292"/>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93"/>
          <w:p>
            <w:pPr>
              <w:spacing w:after="20"/>
              <w:ind w:left="20"/>
              <w:jc w:val="both"/>
            </w:pPr>
            <w:r>
              <w:rPr>
                <w:rFonts w:ascii="Times New Roman"/>
                <w:b w:val="false"/>
                <w:i w:val="false"/>
                <w:color w:val="000000"/>
                <w:sz w:val="20"/>
              </w:rPr>
              <w:t xml:space="preserve">
2025 </w:t>
            </w:r>
          </w:p>
          <w:bookmarkEnd w:id="293"/>
          <w:p>
            <w:pPr>
              <w:spacing w:after="20"/>
              <w:ind w:left="20"/>
              <w:jc w:val="both"/>
            </w:pPr>
            <w:r>
              <w:rPr>
                <w:rFonts w:ascii="Times New Roman"/>
                <w:b w:val="false"/>
                <w:i w:val="false"/>
                <w:color w:val="000000"/>
                <w:sz w:val="20"/>
              </w:rPr>
              <w:t>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Степень износа инженерной и транспортной инфраструктуры приграничных моно- и малых городов, не входящих в состав ФГР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удовлетворительном состоянии,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Житикара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канализационных сетей,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по моно- и малым городам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тепловых сетей,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Житикара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износ водопроводных сетей,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Житикара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36" w:id="294"/>
    <w:p>
      <w:pPr>
        <w:spacing w:after="0"/>
        <w:ind w:left="0"/>
        <w:jc w:val="both"/>
      </w:pPr>
      <w:r>
        <w:rPr>
          <w:rFonts w:ascii="Times New Roman"/>
          <w:b w:val="false"/>
          <w:i w:val="false"/>
          <w:color w:val="000000"/>
          <w:sz w:val="28"/>
        </w:rPr>
        <w:t xml:space="preserve">
      Примечание: по отдельным моно- и малым городам отсутствие плановых значений по износу тепловых сетей связано с тем, что в этих городах не имеются централизованные сети теплоснабжения, а имеются в наличии локальные сети отдельных объектов (например, котельная больницы отапливает лечебные объекты здравоохранения и близлежащие жилые дома и так далее). </w:t>
      </w:r>
    </w:p>
    <w:bookmarkEnd w:id="294"/>
    <w:bookmarkStart w:name="z337" w:id="295"/>
    <w:p>
      <w:pPr>
        <w:spacing w:after="0"/>
        <w:ind w:left="0"/>
        <w:jc w:val="both"/>
      </w:pPr>
      <w:r>
        <w:rPr>
          <w:rFonts w:ascii="Times New Roman"/>
          <w:b w:val="false"/>
          <w:i w:val="false"/>
          <w:color w:val="000000"/>
          <w:sz w:val="28"/>
        </w:rPr>
        <w:t>
      Задача 5. Развитие СНП</w:t>
      </w:r>
    </w:p>
    <w:bookmarkEnd w:id="295"/>
    <w:bookmarkStart w:name="z338" w:id="296"/>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Уровень обеспеченности СНП социальными благами и услугами в соответствии с системой региональных стандартов,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среднем по всем селам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МИО</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Количество созданных рабочих мест в рамках проекта "Ауыл - Ел бесігі"*, человек</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республике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областей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39" w:id="297"/>
    <w:p>
      <w:pPr>
        <w:spacing w:after="0"/>
        <w:ind w:left="0"/>
        <w:jc w:val="both"/>
      </w:pPr>
      <w:r>
        <w:rPr>
          <w:rFonts w:ascii="Times New Roman"/>
          <w:b w:val="false"/>
          <w:i w:val="false"/>
          <w:color w:val="000000"/>
          <w:sz w:val="28"/>
        </w:rPr>
        <w:t xml:space="preserve">
      * данные по количеству созданных рабочих мест будут уточнены при формировании республиканского и местных бюджетов на соответствующий период. </w:t>
      </w:r>
    </w:p>
    <w:bookmarkEnd w:id="297"/>
    <w:bookmarkStart w:name="z340" w:id="298"/>
    <w:p>
      <w:pPr>
        <w:spacing w:after="0"/>
        <w:ind w:left="0"/>
        <w:jc w:val="both"/>
      </w:pPr>
      <w:r>
        <w:rPr>
          <w:rFonts w:ascii="Times New Roman"/>
          <w:b w:val="false"/>
          <w:i w:val="false"/>
          <w:color w:val="000000"/>
          <w:sz w:val="28"/>
        </w:rPr>
        <w:t xml:space="preserve">
      Расчеты по созданию рабочих мест в рамках проекта "Ауыл - Ел бесігі" произведены с учетом выделенных финансовых средств на 2019-2021 годы. Вместе с тем при изменении (увеличении) объемов финансирования показатели по создаваемым рабочим местам на соответствующие годы будут уточнены. </w:t>
      </w:r>
    </w:p>
    <w:bookmarkEnd w:id="298"/>
    <w:bookmarkStart w:name="z341" w:id="299"/>
    <w:p>
      <w:pPr>
        <w:spacing w:after="0"/>
        <w:ind w:left="0"/>
        <w:jc w:val="both"/>
      </w:pPr>
      <w:r>
        <w:rPr>
          <w:rFonts w:ascii="Times New Roman"/>
          <w:b w:val="false"/>
          <w:i w:val="false"/>
          <w:color w:val="000000"/>
          <w:sz w:val="28"/>
        </w:rPr>
        <w:t xml:space="preserve">
      </w:t>
      </w:r>
      <w:r>
        <w:rPr>
          <w:rFonts w:ascii="Times New Roman"/>
          <w:b/>
          <w:i w:val="false"/>
          <w:color w:val="000000"/>
          <w:sz w:val="28"/>
        </w:rPr>
        <w:t>5. Основные направления, пути достижения поставленных целей Государственной программы и соответствующие меры</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5 с изменениями, внесенными постановлениями Правительства РК от 31.12.2020 </w:t>
      </w:r>
      <w:r>
        <w:rPr>
          <w:rFonts w:ascii="Times New Roman"/>
          <w:b w:val="false"/>
          <w:i w:val="false"/>
          <w:color w:val="000000"/>
          <w:sz w:val="28"/>
        </w:rPr>
        <w:t>№ 952</w:t>
      </w:r>
      <w:r>
        <w:rPr>
          <w:rFonts w:ascii="Times New Roman"/>
          <w:b w:val="false"/>
          <w:i w:val="false"/>
          <w:color w:val="ff0000"/>
          <w:sz w:val="28"/>
        </w:rPr>
        <w:t xml:space="preserve">; от 04.03.2021 </w:t>
      </w:r>
      <w:r>
        <w:rPr>
          <w:rFonts w:ascii="Times New Roman"/>
          <w:b w:val="false"/>
          <w:i w:val="false"/>
          <w:color w:val="000000"/>
          <w:sz w:val="28"/>
        </w:rPr>
        <w:t>№ 120</w:t>
      </w:r>
      <w:r>
        <w:rPr>
          <w:rFonts w:ascii="Times New Roman"/>
          <w:b w:val="false"/>
          <w:i w:val="false"/>
          <w:color w:val="ff0000"/>
          <w:sz w:val="28"/>
        </w:rPr>
        <w:t>.</w:t>
      </w:r>
      <w:r>
        <w:br/>
      </w:r>
      <w:r>
        <w:rPr>
          <w:rFonts w:ascii="Times New Roman"/>
          <w:b w:val="false"/>
          <w:i w:val="false"/>
          <w:color w:val="000000"/>
          <w:sz w:val="28"/>
        </w:rPr>
        <w:t>
</w:t>
      </w:r>
    </w:p>
    <w:bookmarkStart w:name="z342" w:id="300"/>
    <w:p>
      <w:pPr>
        <w:spacing w:after="0"/>
        <w:ind w:left="0"/>
        <w:jc w:val="both"/>
      </w:pPr>
      <w:r>
        <w:rPr>
          <w:rFonts w:ascii="Times New Roman"/>
          <w:b w:val="false"/>
          <w:i w:val="false"/>
          <w:color w:val="000000"/>
          <w:sz w:val="28"/>
        </w:rPr>
        <w:t xml:space="preserve">
      Достижение целей, целевых индикаторов и показателей результатов, а также решение задач Государственной программы будут осуществляться согласно Плану мероприятий по реализации Государственной программы программ развития регионов на 2020 - 2025 годы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Государственной программе). </w:t>
      </w:r>
    </w:p>
    <w:bookmarkEnd w:id="300"/>
    <w:bookmarkStart w:name="z343" w:id="301"/>
    <w:p>
      <w:pPr>
        <w:spacing w:after="0"/>
        <w:ind w:left="0"/>
        <w:jc w:val="both"/>
      </w:pPr>
      <w:r>
        <w:rPr>
          <w:rFonts w:ascii="Times New Roman"/>
          <w:b w:val="false"/>
          <w:i w:val="false"/>
          <w:color w:val="000000"/>
          <w:sz w:val="28"/>
        </w:rPr>
        <w:t xml:space="preserve">
      При этом мероприятия Государственной программы соответствуют приоритетам Реформы 5 "Сильные регионы и урбанизация" Стратегического плана развития Республики Казахстан до 2025 года. </w:t>
      </w:r>
    </w:p>
    <w:bookmarkEnd w:id="301"/>
    <w:bookmarkStart w:name="z344" w:id="302"/>
    <w:p>
      <w:pPr>
        <w:spacing w:after="0"/>
        <w:ind w:left="0"/>
        <w:jc w:val="both"/>
      </w:pPr>
      <w:r>
        <w:rPr>
          <w:rFonts w:ascii="Times New Roman"/>
          <w:b w:val="false"/>
          <w:i w:val="false"/>
          <w:color w:val="000000"/>
          <w:sz w:val="28"/>
        </w:rPr>
        <w:t xml:space="preserve">
      Так будут приняты меры по дальнейшему укреплению органов местного самоуправления, обеспечению подотчетности местных властей, управлению кадровыми ресурсами на местах. Данные вопросы решаются и будут решаться в рамках совершенствования законодательства Республики Казахстан. </w:t>
      </w:r>
    </w:p>
    <w:bookmarkEnd w:id="302"/>
    <w:bookmarkStart w:name="z345" w:id="303"/>
    <w:p>
      <w:pPr>
        <w:spacing w:after="0"/>
        <w:ind w:left="0"/>
        <w:jc w:val="both"/>
      </w:pPr>
      <w:r>
        <w:rPr>
          <w:rFonts w:ascii="Times New Roman"/>
          <w:b w:val="false"/>
          <w:i w:val="false"/>
          <w:color w:val="000000"/>
          <w:sz w:val="28"/>
        </w:rPr>
        <w:t xml:space="preserve">
      Укрепление органов местного самоуправления осуществляется в рамках Концепции развития местного самоуправления в Республике Казахстан (Указ Президента Республики Казахстан от 28 ноября 2012 года № 438). </w:t>
      </w:r>
    </w:p>
    <w:bookmarkEnd w:id="303"/>
    <w:bookmarkStart w:name="z346" w:id="304"/>
    <w:p>
      <w:pPr>
        <w:spacing w:after="0"/>
        <w:ind w:left="0"/>
        <w:jc w:val="both"/>
      </w:pPr>
      <w:r>
        <w:rPr>
          <w:rFonts w:ascii="Times New Roman"/>
          <w:b w:val="false"/>
          <w:i w:val="false"/>
          <w:color w:val="000000"/>
          <w:sz w:val="28"/>
        </w:rPr>
        <w:t xml:space="preserve">
      Вместе с тем, в реализацию предвыборной программы Президента Республики Казахстан "Благополучие для всех! Преемственность. Справедливость. Прогресс" и предложений, полученных в ходе общенациональной акции "Бірге", прорабатываются дальнейшие меры по развитию органов местного самоуправления. </w:t>
      </w:r>
    </w:p>
    <w:bookmarkEnd w:id="304"/>
    <w:bookmarkStart w:name="z347" w:id="305"/>
    <w:p>
      <w:pPr>
        <w:spacing w:after="0"/>
        <w:ind w:left="0"/>
        <w:jc w:val="both"/>
      </w:pPr>
      <w:r>
        <w:rPr>
          <w:rFonts w:ascii="Times New Roman"/>
          <w:b w:val="false"/>
          <w:i w:val="false"/>
          <w:color w:val="000000"/>
          <w:sz w:val="28"/>
        </w:rPr>
        <w:t>
      Также в рамках Послания Президента Республики Казахстан от 2 сентября 2019 года "Конструктивный общественный диалог - основа стабильности и процветания Казахстана" разрабатывается законопроект по расширению самостоятельности и ответственности районных, городских и сельских уровней власти.</w:t>
      </w:r>
    </w:p>
    <w:bookmarkEnd w:id="305"/>
    <w:bookmarkStart w:name="z348" w:id="306"/>
    <w:p>
      <w:pPr>
        <w:spacing w:after="0"/>
        <w:ind w:left="0"/>
        <w:jc w:val="both"/>
      </w:pPr>
      <w:r>
        <w:rPr>
          <w:rFonts w:ascii="Times New Roman"/>
          <w:b w:val="false"/>
          <w:i w:val="false"/>
          <w:color w:val="000000"/>
          <w:sz w:val="28"/>
        </w:rPr>
        <w:t>
      В этой связи меры по укреплению органов местного самоуправления будут реализовываться в рамках реализации указанной Концепции и разрабатываемого закона.</w:t>
      </w:r>
    </w:p>
    <w:bookmarkEnd w:id="306"/>
    <w:bookmarkStart w:name="z349" w:id="307"/>
    <w:p>
      <w:pPr>
        <w:spacing w:after="0"/>
        <w:ind w:left="0"/>
        <w:jc w:val="both"/>
      </w:pPr>
      <w:r>
        <w:rPr>
          <w:rFonts w:ascii="Times New Roman"/>
          <w:b w:val="false"/>
          <w:i w:val="false"/>
          <w:color w:val="000000"/>
          <w:sz w:val="28"/>
        </w:rPr>
        <w:t xml:space="preserve">
      Государственная программа будет реализовываться в рамках следующих направлений: </w:t>
      </w:r>
    </w:p>
    <w:bookmarkEnd w:id="307"/>
    <w:bookmarkStart w:name="z350" w:id="308"/>
    <w:p>
      <w:pPr>
        <w:spacing w:after="0"/>
        <w:ind w:left="0"/>
        <w:jc w:val="both"/>
      </w:pPr>
      <w:r>
        <w:rPr>
          <w:rFonts w:ascii="Times New Roman"/>
          <w:b w:val="false"/>
          <w:i w:val="false"/>
          <w:color w:val="000000"/>
          <w:sz w:val="28"/>
        </w:rPr>
        <w:t>
      1. Развитие ФГР - крупных и больших городов с их зонами влияния, в частности:</w:t>
      </w:r>
    </w:p>
    <w:bookmarkEnd w:id="308"/>
    <w:bookmarkStart w:name="z351" w:id="309"/>
    <w:p>
      <w:pPr>
        <w:spacing w:after="0"/>
        <w:ind w:left="0"/>
        <w:jc w:val="both"/>
      </w:pPr>
      <w:r>
        <w:rPr>
          <w:rFonts w:ascii="Times New Roman"/>
          <w:b w:val="false"/>
          <w:i w:val="false"/>
          <w:color w:val="000000"/>
          <w:sz w:val="28"/>
        </w:rPr>
        <w:t>
      1) комплексное развитие инженерной и социальной инфраструктуры, формирование эффективной экосистемы;</w:t>
      </w:r>
    </w:p>
    <w:bookmarkEnd w:id="309"/>
    <w:bookmarkStart w:name="z352" w:id="310"/>
    <w:p>
      <w:pPr>
        <w:spacing w:after="0"/>
        <w:ind w:left="0"/>
        <w:jc w:val="both"/>
      </w:pPr>
      <w:r>
        <w:rPr>
          <w:rFonts w:ascii="Times New Roman"/>
          <w:b w:val="false"/>
          <w:i w:val="false"/>
          <w:color w:val="000000"/>
          <w:sz w:val="28"/>
        </w:rPr>
        <w:t xml:space="preserve">
      2) развитие транспортной связности крупных городов с селами, находящимися в их зоне влияния; </w:t>
      </w:r>
    </w:p>
    <w:bookmarkEnd w:id="310"/>
    <w:bookmarkStart w:name="z353" w:id="311"/>
    <w:p>
      <w:pPr>
        <w:spacing w:after="0"/>
        <w:ind w:left="0"/>
        <w:jc w:val="both"/>
      </w:pPr>
      <w:r>
        <w:rPr>
          <w:rFonts w:ascii="Times New Roman"/>
          <w:b w:val="false"/>
          <w:i w:val="false"/>
          <w:color w:val="000000"/>
          <w:sz w:val="28"/>
        </w:rPr>
        <w:t xml:space="preserve">
      2. Развитие моно- и малых городов, не входящих в состав ФГР, в части: </w:t>
      </w:r>
    </w:p>
    <w:bookmarkEnd w:id="311"/>
    <w:bookmarkStart w:name="z354" w:id="312"/>
    <w:p>
      <w:pPr>
        <w:spacing w:after="0"/>
        <w:ind w:left="0"/>
        <w:jc w:val="both"/>
      </w:pPr>
      <w:r>
        <w:rPr>
          <w:rFonts w:ascii="Times New Roman"/>
          <w:b w:val="false"/>
          <w:i w:val="false"/>
          <w:color w:val="000000"/>
          <w:sz w:val="28"/>
        </w:rPr>
        <w:t>
      1) развития инфраструктуры моно- и малых городов;</w:t>
      </w:r>
    </w:p>
    <w:bookmarkEnd w:id="312"/>
    <w:bookmarkStart w:name="z355" w:id="313"/>
    <w:p>
      <w:pPr>
        <w:spacing w:after="0"/>
        <w:ind w:left="0"/>
        <w:jc w:val="both"/>
      </w:pPr>
      <w:r>
        <w:rPr>
          <w:rFonts w:ascii="Times New Roman"/>
          <w:b w:val="false"/>
          <w:i w:val="false"/>
          <w:color w:val="000000"/>
          <w:sz w:val="28"/>
        </w:rPr>
        <w:t xml:space="preserve">
      2) развития приграничных моно- и малых городов. </w:t>
      </w:r>
    </w:p>
    <w:bookmarkEnd w:id="313"/>
    <w:bookmarkStart w:name="z356" w:id="314"/>
    <w:p>
      <w:pPr>
        <w:spacing w:after="0"/>
        <w:ind w:left="0"/>
        <w:jc w:val="both"/>
      </w:pPr>
      <w:r>
        <w:rPr>
          <w:rFonts w:ascii="Times New Roman"/>
          <w:b w:val="false"/>
          <w:i w:val="false"/>
          <w:color w:val="000000"/>
          <w:sz w:val="28"/>
        </w:rPr>
        <w:t xml:space="preserve">
      3. Развитие СНП (проект "Ауыл - Ел бесігі" и другие). </w:t>
      </w:r>
    </w:p>
    <w:bookmarkEnd w:id="314"/>
    <w:bookmarkStart w:name="z357" w:id="315"/>
    <w:p>
      <w:pPr>
        <w:spacing w:after="0"/>
        <w:ind w:left="0"/>
        <w:jc w:val="both"/>
      </w:pPr>
      <w:r>
        <w:rPr>
          <w:rFonts w:ascii="Times New Roman"/>
          <w:b w:val="false"/>
          <w:i w:val="false"/>
          <w:color w:val="000000"/>
          <w:sz w:val="28"/>
        </w:rPr>
        <w:t xml:space="preserve">
      Согласно Стратегическому плану развития Республики Казахстан до 2025 года в целях формирования единого экономического рынка необходимо принять меры по развитию межрегиональной конкуренции и кооперации. </w:t>
      </w:r>
    </w:p>
    <w:bookmarkEnd w:id="315"/>
    <w:bookmarkStart w:name="z358" w:id="316"/>
    <w:p>
      <w:pPr>
        <w:spacing w:after="0"/>
        <w:ind w:left="0"/>
        <w:jc w:val="both"/>
      </w:pPr>
      <w:r>
        <w:rPr>
          <w:rFonts w:ascii="Times New Roman"/>
          <w:b w:val="false"/>
          <w:i w:val="false"/>
          <w:color w:val="000000"/>
          <w:sz w:val="28"/>
        </w:rPr>
        <w:t xml:space="preserve">
      Эти меры будут включать применение системы рейтинга регионов по легкости ведения бизнеса, создание стимулов для развития сотрудничества между регионами, соревновательности за получение инвестиционных средств из республиканского бюджета. </w:t>
      </w:r>
    </w:p>
    <w:bookmarkEnd w:id="316"/>
    <w:bookmarkStart w:name="z359" w:id="317"/>
    <w:p>
      <w:pPr>
        <w:spacing w:after="0"/>
        <w:ind w:left="0"/>
        <w:jc w:val="both"/>
      </w:pPr>
      <w:r>
        <w:rPr>
          <w:rFonts w:ascii="Times New Roman"/>
          <w:b w:val="false"/>
          <w:i w:val="false"/>
          <w:color w:val="000000"/>
          <w:sz w:val="28"/>
        </w:rPr>
        <w:t xml:space="preserve">
      На постоянной основе будет продолжено проведение сравнения регионов в виде рейтинга, построенного на экономических показателях и результатах опросов бизнеса. Основной задачей рейтинга станет стимулирование конкуренции между регионами в части экономического развития, создания условий для бизнеса. </w:t>
      </w:r>
    </w:p>
    <w:bookmarkEnd w:id="317"/>
    <w:bookmarkStart w:name="z360" w:id="318"/>
    <w:p>
      <w:pPr>
        <w:spacing w:after="0"/>
        <w:ind w:left="0"/>
        <w:jc w:val="both"/>
      </w:pPr>
      <w:r>
        <w:rPr>
          <w:rFonts w:ascii="Times New Roman"/>
          <w:b w:val="false"/>
          <w:i w:val="false"/>
          <w:color w:val="000000"/>
          <w:sz w:val="28"/>
        </w:rPr>
        <w:t>
      При определении местных проектов для финансирования из республиканского бюджета преимущество будет отдаваться проектам, софинансируемым частным сектором. Приоритетными будут считаться проекты, охватывающие максимальное количество населения на единицу вложений и направленные на рост производительности, технологическое обновление, цифровизацию и выпуск экспортоориентированных товаров.</w:t>
      </w:r>
    </w:p>
    <w:bookmarkEnd w:id="318"/>
    <w:bookmarkStart w:name="z361" w:id="319"/>
    <w:p>
      <w:pPr>
        <w:spacing w:after="0"/>
        <w:ind w:left="0"/>
        <w:jc w:val="both"/>
      </w:pPr>
      <w:r>
        <w:rPr>
          <w:rFonts w:ascii="Times New Roman"/>
          <w:b w:val="false"/>
          <w:i w:val="false"/>
          <w:color w:val="000000"/>
          <w:sz w:val="28"/>
        </w:rPr>
        <w:t xml:space="preserve">
      Создание стимулов для развития сотрудничества между регионами </w:t>
      </w:r>
    </w:p>
    <w:bookmarkEnd w:id="319"/>
    <w:bookmarkStart w:name="z362" w:id="320"/>
    <w:p>
      <w:pPr>
        <w:spacing w:after="0"/>
        <w:ind w:left="0"/>
        <w:jc w:val="both"/>
      </w:pPr>
      <w:r>
        <w:rPr>
          <w:rFonts w:ascii="Times New Roman"/>
          <w:b w:val="false"/>
          <w:i w:val="false"/>
          <w:color w:val="000000"/>
          <w:sz w:val="28"/>
        </w:rPr>
        <w:t>
      Одним из важных инструментов повышения конкурентоспособности регионов станет взаимодействие между регионами для получения синергетического эффекта в их развитии и повышения качества и доступности государственных и социальных услуг. Такое взаимодействие может включать совместные/скоординированные планы развития, координацию индустриального развития для создания единых цепочек поставок и создания стоимости, реализацию совместных проектов по созданию и управлению объектами транспортной, коммунальной и социальной инфраструктуры.</w:t>
      </w:r>
    </w:p>
    <w:bookmarkEnd w:id="320"/>
    <w:bookmarkStart w:name="z363" w:id="321"/>
    <w:p>
      <w:pPr>
        <w:spacing w:after="0"/>
        <w:ind w:left="0"/>
        <w:jc w:val="both"/>
      </w:pPr>
      <w:r>
        <w:rPr>
          <w:rFonts w:ascii="Times New Roman"/>
          <w:b w:val="false"/>
          <w:i w:val="false"/>
          <w:color w:val="000000"/>
          <w:sz w:val="28"/>
        </w:rPr>
        <w:t>
      Укрепление межрегиональной связности будет обеспечено за счет строительства новых и реконструкции существующих автомобильных дорог, а также сетей железнодорожного транспорта. Указанные меры будут реализовываться в рамках Государственной программы инфраструктурного развития Республики Казахстан "Нұрлы Жол" на 2020 - 2025 годы.</w:t>
      </w:r>
    </w:p>
    <w:bookmarkEnd w:id="321"/>
    <w:bookmarkStart w:name="z364" w:id="322"/>
    <w:p>
      <w:pPr>
        <w:spacing w:after="0"/>
        <w:ind w:left="0"/>
        <w:jc w:val="both"/>
      </w:pPr>
      <w:r>
        <w:rPr>
          <w:rFonts w:ascii="Times New Roman"/>
          <w:b w:val="false"/>
          <w:i w:val="false"/>
          <w:color w:val="000000"/>
          <w:sz w:val="28"/>
        </w:rPr>
        <w:t>
      Акиматами областей, городов республиканского значения и столицы разрабатываются целевые показатели качества окружающей среды (далее - ЦПКОС). В настоящее время ЦПКОС утверждены в 13 регионах (Актюбинской, Алматинской, Атырауской, Восточно-Казахстанской, Жамбылской, Западно-Казахстанской, Карагандинской, Костанайской, Кызылординской, Мангистауской, Павлодарской, Северо-Казахстанской и Туркестанской областях). В остальных регионах данная работа будет продолжена.</w:t>
      </w:r>
    </w:p>
    <w:bookmarkEnd w:id="322"/>
    <w:bookmarkStart w:name="z365" w:id="323"/>
    <w:p>
      <w:pPr>
        <w:spacing w:after="0"/>
        <w:ind w:left="0"/>
        <w:jc w:val="both"/>
      </w:pPr>
      <w:r>
        <w:rPr>
          <w:rFonts w:ascii="Times New Roman"/>
          <w:b w:val="false"/>
          <w:i w:val="false"/>
          <w:color w:val="000000"/>
          <w:sz w:val="28"/>
        </w:rPr>
        <w:t xml:space="preserve">
      Уполномоченным органом в сфере охраны окружающей среды будет уделено большое внимание экологизации общества. Данная работа будет проводиться путем развития экологического образования и воспитания, научного обеспечения, экологической пропаганды и участия общественности. При этом особое внимание в экологической пропаганде и просвещении будет уделено пропаганде здорового образа жизни в гармонии с природой, развитием экологического туризма. </w:t>
      </w:r>
    </w:p>
    <w:bookmarkEnd w:id="323"/>
    <w:bookmarkStart w:name="z366" w:id="324"/>
    <w:p>
      <w:pPr>
        <w:spacing w:after="0"/>
        <w:ind w:left="0"/>
        <w:jc w:val="both"/>
      </w:pPr>
      <w:r>
        <w:rPr>
          <w:rFonts w:ascii="Times New Roman"/>
          <w:b w:val="false"/>
          <w:i w:val="false"/>
          <w:color w:val="000000"/>
          <w:sz w:val="28"/>
        </w:rPr>
        <w:t>
      При реализации Государственной программы строительство/модернизация социальных и инженерных объектов будут осуществляться в соответствии с приоритетами программного документа, а также будут приниматься меры по недопущению неэффективного выделения бюджетных средств.</w:t>
      </w:r>
    </w:p>
    <w:bookmarkEnd w:id="324"/>
    <w:bookmarkStart w:name="z367" w:id="325"/>
    <w:p>
      <w:pPr>
        <w:spacing w:after="0"/>
        <w:ind w:left="0"/>
        <w:jc w:val="both"/>
      </w:pPr>
      <w:r>
        <w:rPr>
          <w:rFonts w:ascii="Times New Roman"/>
          <w:b w:val="false"/>
          <w:i w:val="false"/>
          <w:color w:val="000000"/>
          <w:sz w:val="28"/>
        </w:rPr>
        <w:t>
      Также при реализации Государственной программы центральные государственные органы - администраторы республиканских бюджетных программ при рассмотрении, отборе и выделении целевых трансфертов на развитие из республиканского бюджета бюджетам областей, городов республиканского значения, столицы будут в обязательном порядке учитывать наличие существенных диспропорций в экономическом развитии и инфраструктурной обеспеченности регионов. Те или иные особенные проблемы регионов должны быть классифицированы по приоритетности и решаться в зависимости от их остроты. Например, строительство/реконструкция местных автомобильных дорог, сетей электроснабжения в Западно-Казахстанской области, обеспечение централизованным водоснабжением в сельской местности в Жамбылской, Восточно-Казахстанской, Западно-Казахстанской, Костанайской, Павлодарской областях должны решаться в первоочередном порядке. В таком же порядке должны будут решаться проблемы и в других сферах: обеспечение жильем, образование, здравоохранение, экология, безопасность и другие.</w:t>
      </w:r>
    </w:p>
    <w:bookmarkEnd w:id="325"/>
    <w:bookmarkStart w:name="z368" w:id="326"/>
    <w:p>
      <w:pPr>
        <w:spacing w:after="0"/>
        <w:ind w:left="0"/>
        <w:jc w:val="both"/>
      </w:pPr>
      <w:r>
        <w:rPr>
          <w:rFonts w:ascii="Times New Roman"/>
          <w:b w:val="false"/>
          <w:i w:val="false"/>
          <w:color w:val="000000"/>
          <w:sz w:val="28"/>
        </w:rPr>
        <w:t>
      В последние 20-25 лет наблюдается интенсивная внутренняя миграция сельских жителей (особенно молодежи) в крупные и большие города, иные населенные пункты в составе ФГР. В ФГР также стремятся и кандасы, пребывающие из-за рубежа. В этой связи необходимо внедрение во всех программных документах модели "люди к инфраструктуре", что подразумевает опережающее строительство новых инфраструктурных объектов только в перспективных на долгосрочный период населенных пунктах, обозначенных в Государственной программе.</w:t>
      </w:r>
    </w:p>
    <w:bookmarkEnd w:id="326"/>
    <w:bookmarkStart w:name="z369" w:id="327"/>
    <w:p>
      <w:pPr>
        <w:spacing w:after="0"/>
        <w:ind w:left="0"/>
        <w:jc w:val="both"/>
      </w:pPr>
      <w:r>
        <w:rPr>
          <w:rFonts w:ascii="Times New Roman"/>
          <w:b w:val="false"/>
          <w:i w:val="false"/>
          <w:color w:val="000000"/>
          <w:sz w:val="28"/>
        </w:rPr>
        <w:t xml:space="preserve">
      Это будет стимулировать укрупнение населенных пунктов в составе ФГР, повышать эффективность использования выделяемых средств, сокращение разрывов в доступности благ и услуг между регионами и внутри регионов. </w:t>
      </w:r>
    </w:p>
    <w:bookmarkEnd w:id="327"/>
    <w:bookmarkStart w:name="z370" w:id="328"/>
    <w:p>
      <w:pPr>
        <w:spacing w:after="0"/>
        <w:ind w:left="0"/>
        <w:jc w:val="both"/>
      </w:pPr>
      <w:r>
        <w:rPr>
          <w:rFonts w:ascii="Times New Roman"/>
          <w:b w:val="false"/>
          <w:i w:val="false"/>
          <w:color w:val="000000"/>
          <w:sz w:val="28"/>
        </w:rPr>
        <w:t>
      При строительстве/модернизации объектов будут в обязательном порядке учитываться положения системы региональных стандартов для создания комфортной среды проживания населению. В этих целях будут приняты меры по корректировке проектов детальной планировки населенных пунктов (ПДП) в соответствии с принятой системой региональных стандартов.</w:t>
      </w:r>
    </w:p>
    <w:bookmarkEnd w:id="328"/>
    <w:bookmarkStart w:name="z371" w:id="329"/>
    <w:p>
      <w:pPr>
        <w:spacing w:after="0"/>
        <w:ind w:left="0"/>
        <w:jc w:val="both"/>
      </w:pPr>
      <w:r>
        <w:rPr>
          <w:rFonts w:ascii="Times New Roman"/>
          <w:b w:val="false"/>
          <w:i w:val="false"/>
          <w:color w:val="000000"/>
          <w:sz w:val="28"/>
        </w:rPr>
        <w:t>
      В соответствии с поручением Президента Республики Казахстан в рамках Послания народу Казахстана от 5 октября 2018 года "Рост благосостояния казахстанцев: повышение доходов и качества жизни" отмечена необходимость уделения особого внимания созданию "безбарьерной среды" для лиц с ограниченными возможностями. Местными исполнительными органами городов республиканского значения, столицы, областей будут приняты меры по доступности объектов для лиц с ограниченными возможностями.</w:t>
      </w:r>
    </w:p>
    <w:bookmarkEnd w:id="329"/>
    <w:bookmarkStart w:name="z372" w:id="330"/>
    <w:p>
      <w:pPr>
        <w:spacing w:after="0"/>
        <w:ind w:left="0"/>
        <w:jc w:val="both"/>
      </w:pPr>
      <w:r>
        <w:rPr>
          <w:rFonts w:ascii="Times New Roman"/>
          <w:b w:val="false"/>
          <w:i w:val="false"/>
          <w:color w:val="000000"/>
          <w:sz w:val="28"/>
        </w:rPr>
        <w:t xml:space="preserve">
      Комфортное городское пространство будет обеспечиваться с соблюдением принципа "человеческого масштаба": переход от больших открытых пространств и значительной удаленности зданий и сооружений друг от друга к уменьшению расстояний между ними и созданию комфортных городских пространств, стимулирующих людей находиться на улицах города в любое время года. При этом, учитывая суровый климат на большей части территории Казахстана и результат использования имеющихся торгово-развлекательных центров в столице республики следует продолжить работу по содействию их строительства не только как мест торговли, но и в немалой степени как центров полезного времяпровождения населения, особенно детского. </w:t>
      </w:r>
    </w:p>
    <w:bookmarkEnd w:id="330"/>
    <w:bookmarkStart w:name="z373" w:id="331"/>
    <w:p>
      <w:pPr>
        <w:spacing w:after="0"/>
        <w:ind w:left="0"/>
        <w:jc w:val="both"/>
      </w:pPr>
      <w:r>
        <w:rPr>
          <w:rFonts w:ascii="Times New Roman"/>
          <w:b w:val="false"/>
          <w:i w:val="false"/>
          <w:color w:val="000000"/>
          <w:sz w:val="28"/>
        </w:rPr>
        <w:t xml:space="preserve">
      При этом, во исполнение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для организации медицинской, социальной, профессиональной реабилитации местными исполнительными органами городов республиканского значения, столицы, областей при формировании городского пространства будут создаваться доступные условия для интеграции в общество лиц с ограниченными возможностями.</w:t>
      </w:r>
    </w:p>
    <w:bookmarkEnd w:id="331"/>
    <w:bookmarkStart w:name="z374" w:id="332"/>
    <w:p>
      <w:pPr>
        <w:spacing w:after="0"/>
        <w:ind w:left="0"/>
        <w:jc w:val="both"/>
      </w:pPr>
      <w:r>
        <w:rPr>
          <w:rFonts w:ascii="Times New Roman"/>
          <w:b w:val="false"/>
          <w:i w:val="false"/>
          <w:color w:val="000000"/>
          <w:sz w:val="28"/>
        </w:rPr>
        <w:t xml:space="preserve">
      Для эффективного использования бюджетных средств при выделении целевых трансфертов на развитие из вышестоящих бюджетов также будут учитываться принципы и положения системы региональных стандартов. В этих целях будет усилена роль Межведомственной комиссии по вопросам региональной политики в части рассмотрения и отбора целевых трансфертов на развитие. Это в свою очередь обеспечит "бюджетный фильтр" при рассмотрении и отборе местных бюджетных инвестиционных проектов в рамках всех государственных программ. </w:t>
      </w:r>
    </w:p>
    <w:bookmarkEnd w:id="332"/>
    <w:bookmarkStart w:name="z375" w:id="333"/>
    <w:p>
      <w:pPr>
        <w:spacing w:after="0"/>
        <w:ind w:left="0"/>
        <w:jc w:val="both"/>
      </w:pPr>
      <w:r>
        <w:rPr>
          <w:rFonts w:ascii="Times New Roman"/>
          <w:b w:val="false"/>
          <w:i w:val="false"/>
          <w:color w:val="000000"/>
          <w:sz w:val="28"/>
        </w:rPr>
        <w:t xml:space="preserve">
      В целом будет налажен мониторинг внедрения системы региональных стандартов. </w:t>
      </w:r>
    </w:p>
    <w:bookmarkEnd w:id="333"/>
    <w:bookmarkStart w:name="z376" w:id="334"/>
    <w:p>
      <w:pPr>
        <w:spacing w:after="0"/>
        <w:ind w:left="0"/>
        <w:jc w:val="both"/>
      </w:pPr>
      <w:r>
        <w:rPr>
          <w:rFonts w:ascii="Times New Roman"/>
          <w:b w:val="false"/>
          <w:i w:val="false"/>
          <w:color w:val="000000"/>
          <w:sz w:val="28"/>
        </w:rPr>
        <w:t>
      Развитие экономики регионов будет учитывать существующую и перспективную экономическую специализацию регионов</w:t>
      </w:r>
    </w:p>
    <w:bookmarkEnd w:id="334"/>
    <w:bookmarkStart w:name="z377" w:id="335"/>
    <w:p>
      <w:pPr>
        <w:spacing w:after="0"/>
        <w:ind w:left="0"/>
        <w:jc w:val="both"/>
      </w:pPr>
      <w:r>
        <w:rPr>
          <w:rFonts w:ascii="Times New Roman"/>
          <w:b w:val="false"/>
          <w:i w:val="false"/>
          <w:color w:val="000000"/>
          <w:sz w:val="28"/>
        </w:rPr>
        <w:t>
      Акмолинская область</w:t>
      </w:r>
    </w:p>
    <w:bookmarkEnd w:id="335"/>
    <w:bookmarkStart w:name="z378" w:id="336"/>
    <w:p>
      <w:pPr>
        <w:spacing w:after="0"/>
        <w:ind w:left="0"/>
        <w:jc w:val="both"/>
      </w:pPr>
      <w:r>
        <w:rPr>
          <w:rFonts w:ascii="Times New Roman"/>
          <w:b w:val="false"/>
          <w:i w:val="false"/>
          <w:color w:val="000000"/>
          <w:sz w:val="28"/>
        </w:rPr>
        <w:t>
      Специализация - индустриально-аграрная. Регион будет специализироваться на производстве продуктов питания, химической промышленности, машиностроении, а также на выращивании зерновых культур и животноводстве.</w:t>
      </w:r>
    </w:p>
    <w:bookmarkEnd w:id="336"/>
    <w:bookmarkStart w:name="z379" w:id="337"/>
    <w:p>
      <w:pPr>
        <w:spacing w:after="0"/>
        <w:ind w:left="0"/>
        <w:jc w:val="both"/>
      </w:pPr>
      <w:r>
        <w:rPr>
          <w:rFonts w:ascii="Times New Roman"/>
          <w:b w:val="false"/>
          <w:i w:val="false"/>
          <w:color w:val="000000"/>
          <w:sz w:val="28"/>
        </w:rPr>
        <w:t>
      Актюбинская область</w:t>
      </w:r>
    </w:p>
    <w:bookmarkEnd w:id="337"/>
    <w:bookmarkStart w:name="z380" w:id="338"/>
    <w:p>
      <w:pPr>
        <w:spacing w:after="0"/>
        <w:ind w:left="0"/>
        <w:jc w:val="both"/>
      </w:pPr>
      <w:r>
        <w:rPr>
          <w:rFonts w:ascii="Times New Roman"/>
          <w:b w:val="false"/>
          <w:i w:val="false"/>
          <w:color w:val="000000"/>
          <w:sz w:val="28"/>
        </w:rPr>
        <w:t>
      Специализация носит индустриально-аграрный характер. Отрасли наиболее конкурентной перспективной специализации: добыча и переработка нефти и газа, металлургия, химическая промышленность, машиностроение, производство продуктов питания и строительных материалов.</w:t>
      </w:r>
    </w:p>
    <w:bookmarkEnd w:id="338"/>
    <w:bookmarkStart w:name="z381" w:id="339"/>
    <w:p>
      <w:pPr>
        <w:spacing w:after="0"/>
        <w:ind w:left="0"/>
        <w:jc w:val="both"/>
      </w:pPr>
      <w:r>
        <w:rPr>
          <w:rFonts w:ascii="Times New Roman"/>
          <w:b w:val="false"/>
          <w:i w:val="false"/>
          <w:color w:val="000000"/>
          <w:sz w:val="28"/>
        </w:rPr>
        <w:t>
      Алматинская область</w:t>
      </w:r>
    </w:p>
    <w:bookmarkEnd w:id="339"/>
    <w:bookmarkStart w:name="z382" w:id="340"/>
    <w:p>
      <w:pPr>
        <w:spacing w:after="0"/>
        <w:ind w:left="0"/>
        <w:jc w:val="both"/>
      </w:pPr>
      <w:r>
        <w:rPr>
          <w:rFonts w:ascii="Times New Roman"/>
          <w:b w:val="false"/>
          <w:i w:val="false"/>
          <w:color w:val="000000"/>
          <w:sz w:val="28"/>
        </w:rPr>
        <w:t xml:space="preserve">
      Специализация региона индустриально-аграрная. Основу экономики в перспективе будет составлять сельское хозяйство, производство продуктов питания, производство строительных материалов и машиностроение, а также сфера туризма. </w:t>
      </w:r>
    </w:p>
    <w:bookmarkEnd w:id="340"/>
    <w:bookmarkStart w:name="z383" w:id="341"/>
    <w:p>
      <w:pPr>
        <w:spacing w:after="0"/>
        <w:ind w:left="0"/>
        <w:jc w:val="both"/>
      </w:pPr>
      <w:r>
        <w:rPr>
          <w:rFonts w:ascii="Times New Roman"/>
          <w:b w:val="false"/>
          <w:i w:val="false"/>
          <w:color w:val="000000"/>
          <w:sz w:val="28"/>
        </w:rPr>
        <w:t>
      Атырауская область</w:t>
      </w:r>
    </w:p>
    <w:bookmarkEnd w:id="341"/>
    <w:bookmarkStart w:name="z384" w:id="342"/>
    <w:p>
      <w:pPr>
        <w:spacing w:after="0"/>
        <w:ind w:left="0"/>
        <w:jc w:val="both"/>
      </w:pPr>
      <w:r>
        <w:rPr>
          <w:rFonts w:ascii="Times New Roman"/>
          <w:b w:val="false"/>
          <w:i w:val="false"/>
          <w:color w:val="000000"/>
          <w:sz w:val="28"/>
        </w:rPr>
        <w:t>
      Экономическая специализация - индустриальная. Основными отраслями экономики в перспективе будут углубление нефтепереработки, нефтехимии, производство строительных материалов и рыбное хозяйство.</w:t>
      </w:r>
    </w:p>
    <w:bookmarkEnd w:id="342"/>
    <w:bookmarkStart w:name="z385" w:id="343"/>
    <w:p>
      <w:pPr>
        <w:spacing w:after="0"/>
        <w:ind w:left="0"/>
        <w:jc w:val="both"/>
      </w:pPr>
      <w:r>
        <w:rPr>
          <w:rFonts w:ascii="Times New Roman"/>
          <w:b w:val="false"/>
          <w:i w:val="false"/>
          <w:color w:val="000000"/>
          <w:sz w:val="28"/>
        </w:rPr>
        <w:t>
      Восточно-Казахстанская область</w:t>
      </w:r>
    </w:p>
    <w:bookmarkEnd w:id="343"/>
    <w:bookmarkStart w:name="z386" w:id="344"/>
    <w:p>
      <w:pPr>
        <w:spacing w:after="0"/>
        <w:ind w:left="0"/>
        <w:jc w:val="both"/>
      </w:pPr>
      <w:r>
        <w:rPr>
          <w:rFonts w:ascii="Times New Roman"/>
          <w:b w:val="false"/>
          <w:i w:val="false"/>
          <w:color w:val="000000"/>
          <w:sz w:val="28"/>
        </w:rPr>
        <w:t>
      Регион является индустриально-аграрным. Перспективной специализацией будут металлургия, машиностроение, химическая промышленность, животноводство, растениеводство, производство продуктов питания.</w:t>
      </w:r>
    </w:p>
    <w:bookmarkEnd w:id="344"/>
    <w:bookmarkStart w:name="z387" w:id="345"/>
    <w:p>
      <w:pPr>
        <w:spacing w:after="0"/>
        <w:ind w:left="0"/>
        <w:jc w:val="both"/>
      </w:pPr>
      <w:r>
        <w:rPr>
          <w:rFonts w:ascii="Times New Roman"/>
          <w:b w:val="false"/>
          <w:i w:val="false"/>
          <w:color w:val="000000"/>
          <w:sz w:val="28"/>
        </w:rPr>
        <w:t>
      Жамбылская область</w:t>
      </w:r>
    </w:p>
    <w:bookmarkEnd w:id="345"/>
    <w:bookmarkStart w:name="z388" w:id="346"/>
    <w:p>
      <w:pPr>
        <w:spacing w:after="0"/>
        <w:ind w:left="0"/>
        <w:jc w:val="both"/>
      </w:pPr>
      <w:r>
        <w:rPr>
          <w:rFonts w:ascii="Times New Roman"/>
          <w:b w:val="false"/>
          <w:i w:val="false"/>
          <w:color w:val="000000"/>
          <w:sz w:val="28"/>
        </w:rPr>
        <w:t>
      Индустриально-аграрный регион, специализацией которого будет производство продуктов питания, химическая промышленность, металлургия, сельское хозяйство и производство строительных материалов.</w:t>
      </w:r>
    </w:p>
    <w:bookmarkEnd w:id="346"/>
    <w:bookmarkStart w:name="z389" w:id="347"/>
    <w:p>
      <w:pPr>
        <w:spacing w:after="0"/>
        <w:ind w:left="0"/>
        <w:jc w:val="both"/>
      </w:pPr>
      <w:r>
        <w:rPr>
          <w:rFonts w:ascii="Times New Roman"/>
          <w:b w:val="false"/>
          <w:i w:val="false"/>
          <w:color w:val="000000"/>
          <w:sz w:val="28"/>
        </w:rPr>
        <w:t>
      Западно-Казахстанская область</w:t>
      </w:r>
    </w:p>
    <w:bookmarkEnd w:id="347"/>
    <w:bookmarkStart w:name="z390" w:id="348"/>
    <w:p>
      <w:pPr>
        <w:spacing w:after="0"/>
        <w:ind w:left="0"/>
        <w:jc w:val="both"/>
      </w:pPr>
      <w:r>
        <w:rPr>
          <w:rFonts w:ascii="Times New Roman"/>
          <w:b w:val="false"/>
          <w:i w:val="false"/>
          <w:color w:val="000000"/>
          <w:sz w:val="28"/>
        </w:rPr>
        <w:t>
      Специализация - индустриально-аграрная. Экономика региона будет связана с добычей нефти и газа, углублением отрасли нефтегазопереработки, машиностроением и производством продуктов питания.</w:t>
      </w:r>
    </w:p>
    <w:bookmarkEnd w:id="348"/>
    <w:bookmarkStart w:name="z391" w:id="349"/>
    <w:p>
      <w:pPr>
        <w:spacing w:after="0"/>
        <w:ind w:left="0"/>
        <w:jc w:val="both"/>
      </w:pPr>
      <w:r>
        <w:rPr>
          <w:rFonts w:ascii="Times New Roman"/>
          <w:b w:val="false"/>
          <w:i w:val="false"/>
          <w:color w:val="000000"/>
          <w:sz w:val="28"/>
        </w:rPr>
        <w:t>
      Карагандинская область</w:t>
      </w:r>
    </w:p>
    <w:bookmarkEnd w:id="349"/>
    <w:bookmarkStart w:name="z392" w:id="350"/>
    <w:p>
      <w:pPr>
        <w:spacing w:after="0"/>
        <w:ind w:left="0"/>
        <w:jc w:val="both"/>
      </w:pPr>
      <w:r>
        <w:rPr>
          <w:rFonts w:ascii="Times New Roman"/>
          <w:b w:val="false"/>
          <w:i w:val="false"/>
          <w:color w:val="000000"/>
          <w:sz w:val="28"/>
        </w:rPr>
        <w:t>
      Регион является индустриально-аграрным. Перспективная специализация будет базироваться на добыче угля и металлических руд, металлургии, химической промышленности, машиностроении. Также развитие получит фармацевтическая отрасль и производство строительных материалов.</w:t>
      </w:r>
    </w:p>
    <w:bookmarkEnd w:id="350"/>
    <w:bookmarkStart w:name="z393" w:id="351"/>
    <w:p>
      <w:pPr>
        <w:spacing w:after="0"/>
        <w:ind w:left="0"/>
        <w:jc w:val="both"/>
      </w:pPr>
      <w:r>
        <w:rPr>
          <w:rFonts w:ascii="Times New Roman"/>
          <w:b w:val="false"/>
          <w:i w:val="false"/>
          <w:color w:val="000000"/>
          <w:sz w:val="28"/>
        </w:rPr>
        <w:t>
      Костанайская область</w:t>
      </w:r>
    </w:p>
    <w:bookmarkEnd w:id="351"/>
    <w:bookmarkStart w:name="z394" w:id="352"/>
    <w:p>
      <w:pPr>
        <w:spacing w:after="0"/>
        <w:ind w:left="0"/>
        <w:jc w:val="both"/>
      </w:pPr>
      <w:r>
        <w:rPr>
          <w:rFonts w:ascii="Times New Roman"/>
          <w:b w:val="false"/>
          <w:i w:val="false"/>
          <w:color w:val="000000"/>
          <w:sz w:val="28"/>
        </w:rPr>
        <w:t>
      Регион имеет индустриально-аграрную направленность. Ключевыми отраслями экономики будут - сельское хозяйство и промышленность. В регионе имеется потенциал добычи железных руд и асбеста, ключевыми отраслями останутся машиностроение, производство продуктов питания, а также производство пшеницы, мяса и молока.</w:t>
      </w:r>
    </w:p>
    <w:bookmarkEnd w:id="352"/>
    <w:bookmarkStart w:name="z395" w:id="353"/>
    <w:p>
      <w:pPr>
        <w:spacing w:after="0"/>
        <w:ind w:left="0"/>
        <w:jc w:val="both"/>
      </w:pPr>
      <w:r>
        <w:rPr>
          <w:rFonts w:ascii="Times New Roman"/>
          <w:b w:val="false"/>
          <w:i w:val="false"/>
          <w:color w:val="000000"/>
          <w:sz w:val="28"/>
        </w:rPr>
        <w:t>
      Кызылординская область</w:t>
      </w:r>
    </w:p>
    <w:bookmarkEnd w:id="353"/>
    <w:bookmarkStart w:name="z396" w:id="354"/>
    <w:p>
      <w:pPr>
        <w:spacing w:after="0"/>
        <w:ind w:left="0"/>
        <w:jc w:val="both"/>
      </w:pPr>
      <w:r>
        <w:rPr>
          <w:rFonts w:ascii="Times New Roman"/>
          <w:b w:val="false"/>
          <w:i w:val="false"/>
          <w:color w:val="000000"/>
          <w:sz w:val="28"/>
        </w:rPr>
        <w:t>
      Ключевой отраслью экономики региона является промышленность, основу которой составляет добыча нефти и газа, роль которой в будущем будет снижаться. В перспективе должны получить развитие обрабатывающая промышленность, отрасль транспорта и складирования, проекты по развитию сельского, лесного и рыбного хозяйства, в том числе производство риса и поваренной соли.</w:t>
      </w:r>
    </w:p>
    <w:bookmarkEnd w:id="354"/>
    <w:bookmarkStart w:name="z397" w:id="355"/>
    <w:p>
      <w:pPr>
        <w:spacing w:after="0"/>
        <w:ind w:left="0"/>
        <w:jc w:val="both"/>
      </w:pPr>
      <w:r>
        <w:rPr>
          <w:rFonts w:ascii="Times New Roman"/>
          <w:b w:val="false"/>
          <w:i w:val="false"/>
          <w:color w:val="000000"/>
          <w:sz w:val="28"/>
        </w:rPr>
        <w:t>
      Мангистауская область</w:t>
      </w:r>
    </w:p>
    <w:bookmarkEnd w:id="355"/>
    <w:bookmarkStart w:name="z398" w:id="356"/>
    <w:p>
      <w:pPr>
        <w:spacing w:after="0"/>
        <w:ind w:left="0"/>
        <w:jc w:val="both"/>
      </w:pPr>
      <w:r>
        <w:rPr>
          <w:rFonts w:ascii="Times New Roman"/>
          <w:b w:val="false"/>
          <w:i w:val="false"/>
          <w:color w:val="000000"/>
          <w:sz w:val="28"/>
        </w:rPr>
        <w:t>
      Регион будет специализироваться на добыче нефти и газа, а также оказании сервисных услуг в нефтегазовом секторе. Важными отраслями экономики также будут химическая промышленность, машиностроение, нефтепереработка, производство строительных материалов, транспорт и логистика.</w:t>
      </w:r>
    </w:p>
    <w:bookmarkEnd w:id="356"/>
    <w:bookmarkStart w:name="z399" w:id="357"/>
    <w:p>
      <w:pPr>
        <w:spacing w:after="0"/>
        <w:ind w:left="0"/>
        <w:jc w:val="both"/>
      </w:pPr>
      <w:r>
        <w:rPr>
          <w:rFonts w:ascii="Times New Roman"/>
          <w:b w:val="false"/>
          <w:i w:val="false"/>
          <w:color w:val="000000"/>
          <w:sz w:val="28"/>
        </w:rPr>
        <w:t>
      Павлодарская область</w:t>
      </w:r>
    </w:p>
    <w:bookmarkEnd w:id="357"/>
    <w:bookmarkStart w:name="z400" w:id="358"/>
    <w:p>
      <w:pPr>
        <w:spacing w:after="0"/>
        <w:ind w:left="0"/>
        <w:jc w:val="both"/>
      </w:pPr>
      <w:r>
        <w:rPr>
          <w:rFonts w:ascii="Times New Roman"/>
          <w:b w:val="false"/>
          <w:i w:val="false"/>
          <w:color w:val="000000"/>
          <w:sz w:val="28"/>
        </w:rPr>
        <w:t>
      Павлодарская область является индустриально-аграрным регионом. Перспективная специализация будет основываться на углублении переработки сырья, нефтепереработке, химической промышленности, машиностроении, а также использовании избыточных энергетических мощностей.</w:t>
      </w:r>
    </w:p>
    <w:bookmarkEnd w:id="358"/>
    <w:bookmarkStart w:name="z401" w:id="359"/>
    <w:p>
      <w:pPr>
        <w:spacing w:after="0"/>
        <w:ind w:left="0"/>
        <w:jc w:val="both"/>
      </w:pPr>
      <w:r>
        <w:rPr>
          <w:rFonts w:ascii="Times New Roman"/>
          <w:b w:val="false"/>
          <w:i w:val="false"/>
          <w:color w:val="000000"/>
          <w:sz w:val="28"/>
        </w:rPr>
        <w:t>
      Северо-Казахстанская область</w:t>
      </w:r>
    </w:p>
    <w:bookmarkEnd w:id="359"/>
    <w:bookmarkStart w:name="z402" w:id="360"/>
    <w:p>
      <w:pPr>
        <w:spacing w:after="0"/>
        <w:ind w:left="0"/>
        <w:jc w:val="both"/>
      </w:pPr>
      <w:r>
        <w:rPr>
          <w:rFonts w:ascii="Times New Roman"/>
          <w:b w:val="false"/>
          <w:i w:val="false"/>
          <w:color w:val="000000"/>
          <w:sz w:val="28"/>
        </w:rPr>
        <w:t>
      Экономика региона носит аграрно-индустриальный характер. В перспективе специализация будет базироваться на диверсификации растениеводства, животноводстве, производстве продуктов питания и машиностроении.</w:t>
      </w:r>
    </w:p>
    <w:bookmarkEnd w:id="360"/>
    <w:bookmarkStart w:name="z403" w:id="361"/>
    <w:p>
      <w:pPr>
        <w:spacing w:after="0"/>
        <w:ind w:left="0"/>
        <w:jc w:val="both"/>
      </w:pPr>
      <w:r>
        <w:rPr>
          <w:rFonts w:ascii="Times New Roman"/>
          <w:b w:val="false"/>
          <w:i w:val="false"/>
          <w:color w:val="000000"/>
          <w:sz w:val="28"/>
        </w:rPr>
        <w:t xml:space="preserve">
      Туркестанская область </w:t>
      </w:r>
    </w:p>
    <w:bookmarkEnd w:id="361"/>
    <w:bookmarkStart w:name="z404" w:id="362"/>
    <w:p>
      <w:pPr>
        <w:spacing w:after="0"/>
        <w:ind w:left="0"/>
        <w:jc w:val="both"/>
      </w:pPr>
      <w:r>
        <w:rPr>
          <w:rFonts w:ascii="Times New Roman"/>
          <w:b w:val="false"/>
          <w:i w:val="false"/>
          <w:color w:val="000000"/>
          <w:sz w:val="28"/>
        </w:rPr>
        <w:t>
      Является крупным индустриально-аграрным регионом. Экономика области сохранит специализацию на сельском хозяйстве и переработке сельскохозяйственной продукции. Получит развитие производство строительных материалов.</w:t>
      </w:r>
    </w:p>
    <w:bookmarkEnd w:id="362"/>
    <w:bookmarkStart w:name="z405" w:id="363"/>
    <w:p>
      <w:pPr>
        <w:spacing w:after="0"/>
        <w:ind w:left="0"/>
        <w:jc w:val="both"/>
      </w:pPr>
      <w:r>
        <w:rPr>
          <w:rFonts w:ascii="Times New Roman"/>
          <w:b w:val="false"/>
          <w:i w:val="false"/>
          <w:color w:val="000000"/>
          <w:sz w:val="28"/>
        </w:rPr>
        <w:t>
      Город Шымкент</w:t>
      </w:r>
    </w:p>
    <w:bookmarkEnd w:id="363"/>
    <w:bookmarkStart w:name="z406" w:id="364"/>
    <w:p>
      <w:pPr>
        <w:spacing w:after="0"/>
        <w:ind w:left="0"/>
        <w:jc w:val="both"/>
      </w:pPr>
      <w:r>
        <w:rPr>
          <w:rFonts w:ascii="Times New Roman"/>
          <w:b w:val="false"/>
          <w:i w:val="false"/>
          <w:color w:val="000000"/>
          <w:sz w:val="28"/>
        </w:rPr>
        <w:t>
      Основу экономики города составляет сфера услуг. Будет сохраняться специализация на химической промышленности, нефтепереработке, производстве лекарственных препаратов, машиностроении, а также в предоставлении услуг в сфере транспорта и логистики.</w:t>
      </w:r>
    </w:p>
    <w:bookmarkEnd w:id="364"/>
    <w:bookmarkStart w:name="z407" w:id="365"/>
    <w:p>
      <w:pPr>
        <w:spacing w:after="0"/>
        <w:ind w:left="0"/>
        <w:jc w:val="both"/>
      </w:pPr>
      <w:r>
        <w:rPr>
          <w:rFonts w:ascii="Times New Roman"/>
          <w:b w:val="false"/>
          <w:i w:val="false"/>
          <w:color w:val="000000"/>
          <w:sz w:val="28"/>
        </w:rPr>
        <w:t>
      Город Алматы</w:t>
      </w:r>
    </w:p>
    <w:bookmarkEnd w:id="365"/>
    <w:bookmarkStart w:name="z408" w:id="366"/>
    <w:p>
      <w:pPr>
        <w:spacing w:after="0"/>
        <w:ind w:left="0"/>
        <w:jc w:val="both"/>
      </w:pPr>
      <w:r>
        <w:rPr>
          <w:rFonts w:ascii="Times New Roman"/>
          <w:b w:val="false"/>
          <w:i w:val="false"/>
          <w:color w:val="000000"/>
          <w:sz w:val="28"/>
        </w:rPr>
        <w:t xml:space="preserve">
      Является крупным финансовым, торговым, культурным, туристическим, транспортно-логистическим центром страны. Экономику города формируют услуги, торговля, туризм, транспорт и логистика. Город станет катализатором инноваций, извлекая выгоду из своей включенности в глобальные цепочки добавленной стоимости, а также высокой концентрации специализированных научно-исследовательских институтов, международных компаний и провайдеров. </w:t>
      </w:r>
    </w:p>
    <w:bookmarkEnd w:id="366"/>
    <w:bookmarkStart w:name="z409" w:id="367"/>
    <w:p>
      <w:pPr>
        <w:spacing w:after="0"/>
        <w:ind w:left="0"/>
        <w:jc w:val="both"/>
      </w:pPr>
      <w:r>
        <w:rPr>
          <w:rFonts w:ascii="Times New Roman"/>
          <w:b w:val="false"/>
          <w:i w:val="false"/>
          <w:color w:val="000000"/>
          <w:sz w:val="28"/>
        </w:rPr>
        <w:t>
      Город Нур-Султан</w:t>
      </w:r>
    </w:p>
    <w:bookmarkEnd w:id="367"/>
    <w:bookmarkStart w:name="z410" w:id="368"/>
    <w:p>
      <w:pPr>
        <w:spacing w:after="0"/>
        <w:ind w:left="0"/>
        <w:jc w:val="both"/>
      </w:pPr>
      <w:r>
        <w:rPr>
          <w:rFonts w:ascii="Times New Roman"/>
          <w:b w:val="false"/>
          <w:i w:val="false"/>
          <w:color w:val="000000"/>
          <w:sz w:val="28"/>
        </w:rPr>
        <w:t>
      Перспективной специализацией будет оказание административных, деловых, финансовых, медицинских и образовательных услуг.Свое развитие получат креативные индустрии, инновации, сфера высокотехнологичных товаров и услуг, ориентированных на экспорт.</w:t>
      </w:r>
    </w:p>
    <w:bookmarkEnd w:id="368"/>
    <w:bookmarkStart w:name="z411" w:id="369"/>
    <w:p>
      <w:pPr>
        <w:spacing w:after="0"/>
        <w:ind w:left="0"/>
        <w:jc w:val="both"/>
      </w:pPr>
      <w:r>
        <w:rPr>
          <w:rFonts w:ascii="Times New Roman"/>
          <w:b w:val="false"/>
          <w:i w:val="false"/>
          <w:color w:val="000000"/>
          <w:sz w:val="28"/>
        </w:rPr>
        <w:t xml:space="preserve">
      1. Развитие ФГР </w:t>
      </w:r>
    </w:p>
    <w:bookmarkEnd w:id="369"/>
    <w:bookmarkStart w:name="z412" w:id="370"/>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370"/>
    <w:bookmarkStart w:name="z413" w:id="371"/>
    <w:p>
      <w:pPr>
        <w:spacing w:after="0"/>
        <w:ind w:left="0"/>
        <w:jc w:val="both"/>
      </w:pPr>
      <w:r>
        <w:rPr>
          <w:rFonts w:ascii="Times New Roman"/>
          <w:b w:val="false"/>
          <w:i w:val="false"/>
          <w:color w:val="000000"/>
          <w:sz w:val="28"/>
        </w:rPr>
        <w:t>
      1) развитие ФГР - агломераций с центрами в городах Нур-Султане, Алматы, Шымкенте и Актобе;</w:t>
      </w:r>
    </w:p>
    <w:bookmarkEnd w:id="371"/>
    <w:bookmarkStart w:name="z414" w:id="372"/>
    <w:p>
      <w:pPr>
        <w:spacing w:after="0"/>
        <w:ind w:left="0"/>
        <w:jc w:val="both"/>
      </w:pPr>
      <w:r>
        <w:rPr>
          <w:rFonts w:ascii="Times New Roman"/>
          <w:b w:val="false"/>
          <w:i w:val="false"/>
          <w:color w:val="000000"/>
          <w:sz w:val="28"/>
        </w:rPr>
        <w:t>
      2) развитие ФГР с центрами в областных центрах, городе Семей.</w:t>
      </w:r>
    </w:p>
    <w:bookmarkEnd w:id="372"/>
    <w:bookmarkStart w:name="z415" w:id="373"/>
    <w:p>
      <w:pPr>
        <w:spacing w:after="0"/>
        <w:ind w:left="0"/>
        <w:jc w:val="both"/>
      </w:pPr>
      <w:r>
        <w:rPr>
          <w:rFonts w:ascii="Times New Roman"/>
          <w:b w:val="false"/>
          <w:i w:val="false"/>
          <w:color w:val="000000"/>
          <w:sz w:val="28"/>
        </w:rPr>
        <w:t xml:space="preserve">
      Стратегии развития городов "первого" и "второго" уровней </w:t>
      </w:r>
    </w:p>
    <w:bookmarkEnd w:id="373"/>
    <w:bookmarkStart w:name="z416" w:id="374"/>
    <w:p>
      <w:pPr>
        <w:spacing w:after="0"/>
        <w:ind w:left="0"/>
        <w:jc w:val="both"/>
      </w:pPr>
      <w:r>
        <w:rPr>
          <w:rFonts w:ascii="Times New Roman"/>
          <w:b w:val="false"/>
          <w:i w:val="false"/>
          <w:color w:val="000000"/>
          <w:sz w:val="28"/>
        </w:rPr>
        <w:t>
      В качестве единой оценки и измерения уровня комфортности городской среды будет изучен опыт проведения и применения международных рейтингов городов мира по уровню качества жизни (The Global Liveability Index, Quality Of Living City Ranking). На основании изученных материалов будет создан периодический национальный рейтинг качества жизни городов.</w:t>
      </w:r>
    </w:p>
    <w:bookmarkEnd w:id="374"/>
    <w:bookmarkStart w:name="z417" w:id="375"/>
    <w:p>
      <w:pPr>
        <w:spacing w:after="0"/>
        <w:ind w:left="0"/>
        <w:jc w:val="both"/>
      </w:pPr>
      <w:r>
        <w:rPr>
          <w:rFonts w:ascii="Times New Roman"/>
          <w:b w:val="false"/>
          <w:i w:val="false"/>
          <w:color w:val="000000"/>
          <w:sz w:val="28"/>
        </w:rPr>
        <w:t>
      В целях эффективного формирования городской политики будет проведено персональное закрепление заместителей акимов областей, городов республиканского значения, столицы по решению вопросов развития городов, созданию в них комфортной городской среды и внедрению системы региональных стандартов качества жизни.</w:t>
      </w:r>
    </w:p>
    <w:bookmarkEnd w:id="375"/>
    <w:bookmarkStart w:name="z418" w:id="376"/>
    <w:p>
      <w:pPr>
        <w:spacing w:after="0"/>
        <w:ind w:left="0"/>
        <w:jc w:val="both"/>
      </w:pPr>
      <w:r>
        <w:rPr>
          <w:rFonts w:ascii="Times New Roman"/>
          <w:b w:val="false"/>
          <w:i w:val="false"/>
          <w:color w:val="000000"/>
          <w:sz w:val="28"/>
        </w:rPr>
        <w:t>
      Будут проработаны вопросы увеличения доходной базы местных бюджетов крупных и больших городов путем перераспределения поступлений в республиканский и местные бюджеты.</w:t>
      </w:r>
    </w:p>
    <w:bookmarkEnd w:id="376"/>
    <w:bookmarkStart w:name="z419" w:id="377"/>
    <w:p>
      <w:pPr>
        <w:spacing w:after="0"/>
        <w:ind w:left="0"/>
        <w:jc w:val="both"/>
      </w:pPr>
      <w:r>
        <w:rPr>
          <w:rFonts w:ascii="Times New Roman"/>
          <w:b w:val="false"/>
          <w:i w:val="false"/>
          <w:color w:val="000000"/>
          <w:sz w:val="28"/>
        </w:rPr>
        <w:t>
      В целом, учитывая динамичное развитие столичной и Алматинской агломераций будут приняты дополнительные меры по ускоренной урбанизации на Юге страны - или в Туркестанской, Жамбылской и Алматинской областях. Именно в этой связи развитие города Шымкента будет стратегической задачей государства, учитывая его близкое соседство с Ташкентской агломерацией. Комплекс мер по развитию города Шымкента будет ускорен путем укрепления потенциала имеющихся университетов, колледжей, средних школ, объектов культуры, здравоохранения, строительства арендного жилья (без выкупа) из всех источников, создания новых высокодоходных рабочих мест и других.</w:t>
      </w:r>
    </w:p>
    <w:bookmarkEnd w:id="377"/>
    <w:bookmarkStart w:name="z420" w:id="378"/>
    <w:p>
      <w:pPr>
        <w:spacing w:after="0"/>
        <w:ind w:left="0"/>
        <w:jc w:val="both"/>
      </w:pPr>
      <w:r>
        <w:rPr>
          <w:rFonts w:ascii="Times New Roman"/>
          <w:b w:val="false"/>
          <w:i w:val="false"/>
          <w:color w:val="000000"/>
          <w:sz w:val="28"/>
        </w:rPr>
        <w:t xml:space="preserve">
      В этих же целях в перспективе будут приняты меры по развитию урбанизационных центров южных областей - Тараза, Талдыкоргана, а также Кызылорды. </w:t>
      </w:r>
    </w:p>
    <w:bookmarkEnd w:id="378"/>
    <w:bookmarkStart w:name="z421" w:id="379"/>
    <w:p>
      <w:pPr>
        <w:spacing w:after="0"/>
        <w:ind w:left="0"/>
        <w:jc w:val="both"/>
      </w:pPr>
      <w:r>
        <w:rPr>
          <w:rFonts w:ascii="Times New Roman"/>
          <w:b w:val="false"/>
          <w:i w:val="false"/>
          <w:color w:val="000000"/>
          <w:sz w:val="28"/>
        </w:rPr>
        <w:t>
      Формирование комфортной городской среды и эффективное градостроительство</w:t>
      </w:r>
    </w:p>
    <w:bookmarkEnd w:id="379"/>
    <w:bookmarkStart w:name="z422" w:id="380"/>
    <w:p>
      <w:pPr>
        <w:spacing w:after="0"/>
        <w:ind w:left="0"/>
        <w:jc w:val="both"/>
      </w:pPr>
      <w:r>
        <w:rPr>
          <w:rFonts w:ascii="Times New Roman"/>
          <w:b w:val="false"/>
          <w:i w:val="false"/>
          <w:color w:val="000000"/>
          <w:sz w:val="28"/>
        </w:rPr>
        <w:t>
      Комфортная городская среда является весомым фактором для привлечения и удержания образованных людей и талантов, что необходимо для развития и роста конкурентоспособности городов (BCG, 2018).</w:t>
      </w:r>
    </w:p>
    <w:bookmarkEnd w:id="380"/>
    <w:bookmarkStart w:name="z423" w:id="381"/>
    <w:p>
      <w:pPr>
        <w:spacing w:after="0"/>
        <w:ind w:left="0"/>
        <w:jc w:val="both"/>
      </w:pPr>
      <w:r>
        <w:rPr>
          <w:rFonts w:ascii="Times New Roman"/>
          <w:b w:val="false"/>
          <w:i w:val="false"/>
          <w:color w:val="000000"/>
          <w:sz w:val="28"/>
        </w:rPr>
        <w:t>
      В этой связи будут приниматься меры по созданию и благоустройству общественных пространств (минипарков, скверов, спортивных площадок и иных мест массового пребывания и отдыха), качественному содержанию городов, доступности социальной инфраструктуры и другие.</w:t>
      </w:r>
    </w:p>
    <w:bookmarkEnd w:id="381"/>
    <w:bookmarkStart w:name="z424" w:id="382"/>
    <w:p>
      <w:pPr>
        <w:spacing w:after="0"/>
        <w:ind w:left="0"/>
        <w:jc w:val="both"/>
      </w:pPr>
      <w:r>
        <w:rPr>
          <w:rFonts w:ascii="Times New Roman"/>
          <w:b w:val="false"/>
          <w:i w:val="false"/>
          <w:color w:val="000000"/>
          <w:sz w:val="28"/>
        </w:rPr>
        <w:t>
      По опыту стран ОЭСР будут приняты меры по формированию "компактных городов", которые будут удобны для горожан. Для этого развитие городов с административно-территориального подхода, где проблемы решаются в рамках административных границ города, будет изменено на функциональный, то есть комплексно, охватывая близлежащие населенные пункты, не входящие в административные границы города.</w:t>
      </w:r>
    </w:p>
    <w:bookmarkEnd w:id="382"/>
    <w:bookmarkStart w:name="z425" w:id="383"/>
    <w:p>
      <w:pPr>
        <w:spacing w:after="0"/>
        <w:ind w:left="0"/>
        <w:jc w:val="both"/>
      </w:pPr>
      <w:r>
        <w:rPr>
          <w:rFonts w:ascii="Times New Roman"/>
          <w:b w:val="false"/>
          <w:i w:val="false"/>
          <w:color w:val="000000"/>
          <w:sz w:val="28"/>
        </w:rPr>
        <w:t>
      В этой связи будут пересмотрены планы детальных планировок городов и внесены соответствующие корректировки, предусматривающие внедрение системы "20-минутной шаговой доступности" объектов, услуг и благ.</w:t>
      </w:r>
    </w:p>
    <w:bookmarkEnd w:id="383"/>
    <w:bookmarkStart w:name="z426" w:id="384"/>
    <w:p>
      <w:pPr>
        <w:spacing w:after="0"/>
        <w:ind w:left="0"/>
        <w:jc w:val="both"/>
      </w:pPr>
      <w:r>
        <w:rPr>
          <w:rFonts w:ascii="Times New Roman"/>
          <w:b w:val="false"/>
          <w:i w:val="false"/>
          <w:color w:val="000000"/>
          <w:sz w:val="28"/>
        </w:rPr>
        <w:t>
      Решение проблем развития периферии городов путем развития окраин городов и обеспечения их транспортной связности с центрами</w:t>
      </w:r>
    </w:p>
    <w:bookmarkEnd w:id="384"/>
    <w:bookmarkStart w:name="z427" w:id="385"/>
    <w:p>
      <w:pPr>
        <w:spacing w:after="0"/>
        <w:ind w:left="0"/>
        <w:jc w:val="both"/>
      </w:pPr>
      <w:r>
        <w:rPr>
          <w:rFonts w:ascii="Times New Roman"/>
          <w:b w:val="false"/>
          <w:i w:val="false"/>
          <w:color w:val="000000"/>
          <w:sz w:val="28"/>
        </w:rPr>
        <w:t>
      Будут приняты меры по ограничению застройки вширь городов и определены конкретные зоны застройки в целях стимулирования повышения плотности застройки. Будут приняты меры по ограничению строительства индивидуальной жилищной застройки на перифериях городов.</w:t>
      </w:r>
    </w:p>
    <w:bookmarkEnd w:id="385"/>
    <w:bookmarkStart w:name="z428" w:id="386"/>
    <w:p>
      <w:pPr>
        <w:spacing w:after="0"/>
        <w:ind w:left="0"/>
        <w:jc w:val="both"/>
      </w:pPr>
      <w:r>
        <w:rPr>
          <w:rFonts w:ascii="Times New Roman"/>
          <w:b w:val="false"/>
          <w:i w:val="false"/>
          <w:color w:val="000000"/>
          <w:sz w:val="28"/>
        </w:rPr>
        <w:t>
      Отбор проектов будет осуществляться по следующим критериям:</w:t>
      </w:r>
    </w:p>
    <w:bookmarkEnd w:id="386"/>
    <w:bookmarkStart w:name="z429" w:id="387"/>
    <w:p>
      <w:pPr>
        <w:spacing w:after="0"/>
        <w:ind w:left="0"/>
        <w:jc w:val="both"/>
      </w:pPr>
      <w:r>
        <w:rPr>
          <w:rFonts w:ascii="Times New Roman"/>
          <w:b w:val="false"/>
          <w:i w:val="false"/>
          <w:color w:val="000000"/>
          <w:sz w:val="28"/>
        </w:rPr>
        <w:t>
      1) расположение объектов на окраинах крупных городов - Нур-Султана, Алматы, Шымкента и прилегающих к столице населенных пунктах Акмолинской области;</w:t>
      </w:r>
    </w:p>
    <w:bookmarkEnd w:id="387"/>
    <w:bookmarkStart w:name="z430" w:id="388"/>
    <w:p>
      <w:pPr>
        <w:spacing w:after="0"/>
        <w:ind w:left="0"/>
        <w:jc w:val="both"/>
      </w:pPr>
      <w:r>
        <w:rPr>
          <w:rFonts w:ascii="Times New Roman"/>
          <w:b w:val="false"/>
          <w:i w:val="false"/>
          <w:color w:val="000000"/>
          <w:sz w:val="28"/>
        </w:rPr>
        <w:t>
      2) проекты на развитие инженерной и социальной инфраструктуры, направленные на устранение дисбаланса в развитии центров и окраин крупных городов.</w:t>
      </w:r>
    </w:p>
    <w:bookmarkEnd w:id="388"/>
    <w:bookmarkStart w:name="z431" w:id="389"/>
    <w:p>
      <w:pPr>
        <w:spacing w:after="0"/>
        <w:ind w:left="0"/>
        <w:jc w:val="both"/>
      </w:pPr>
      <w:r>
        <w:rPr>
          <w:rFonts w:ascii="Times New Roman"/>
          <w:b w:val="false"/>
          <w:i w:val="false"/>
          <w:color w:val="000000"/>
          <w:sz w:val="28"/>
        </w:rPr>
        <w:t>
      Механизм рассмотрения и отбора проектов должен соответствовать действующим нормам бюджетного законодательства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февраля 2015 года № 126 "Об утверждении Правил рассмотрения и отбора целевых трансфертов на развитие" и другие).</w:t>
      </w:r>
    </w:p>
    <w:bookmarkEnd w:id="389"/>
    <w:bookmarkStart w:name="z432" w:id="390"/>
    <w:p>
      <w:pPr>
        <w:spacing w:after="0"/>
        <w:ind w:left="0"/>
        <w:jc w:val="both"/>
      </w:pPr>
      <w:r>
        <w:rPr>
          <w:rFonts w:ascii="Times New Roman"/>
          <w:b w:val="false"/>
          <w:i w:val="false"/>
          <w:color w:val="000000"/>
          <w:sz w:val="28"/>
        </w:rPr>
        <w:t xml:space="preserve">
      Внедрение системы "Smart city" по опыту столицы и города Акколь Акмолинской области, охватывающей основные сферы жизни населения (вопросы здравоохранения, образования, ЖКХ, управления городским хозяйством и другие), будет продолжено поэтапно во всех городах страны. При этом внедрение системы "Smart city" будет направлено на создание интеллектуальных систем видеонаблюдения и распознавания на улицах и в местах массового пребывания граждан, контроля за дорожным движением. Эти меры направлены на обеспечение личной безопасности граждан и оперативное реагирование на происшествия. </w:t>
      </w:r>
    </w:p>
    <w:bookmarkEnd w:id="390"/>
    <w:bookmarkStart w:name="z433" w:id="391"/>
    <w:p>
      <w:pPr>
        <w:spacing w:after="0"/>
        <w:ind w:left="0"/>
        <w:jc w:val="both"/>
      </w:pPr>
      <w:r>
        <w:rPr>
          <w:rFonts w:ascii="Times New Roman"/>
          <w:b w:val="false"/>
          <w:i w:val="false"/>
          <w:color w:val="000000"/>
          <w:sz w:val="28"/>
        </w:rPr>
        <w:t>
      Инновационное и технологическое развитие городов</w:t>
      </w:r>
    </w:p>
    <w:bookmarkEnd w:id="391"/>
    <w:bookmarkStart w:name="z434" w:id="392"/>
    <w:p>
      <w:pPr>
        <w:spacing w:after="0"/>
        <w:ind w:left="0"/>
        <w:jc w:val="both"/>
      </w:pPr>
      <w:r>
        <w:rPr>
          <w:rFonts w:ascii="Times New Roman"/>
          <w:b w:val="false"/>
          <w:i w:val="false"/>
          <w:color w:val="000000"/>
          <w:sz w:val="28"/>
        </w:rPr>
        <w:t>
      Определенная в Прогнозной схеме территориально-пространственного развития страны до 2030 года перспективная конкурентоспособная экономическая специализация регионов, учитывающая географические, природные, социально-экономические условия, должна стать основой для дальнейшего развития конкурентных преимуществ и углубления специализации областей, городов республиканского значения и столицы.</w:t>
      </w:r>
    </w:p>
    <w:bookmarkEnd w:id="392"/>
    <w:bookmarkStart w:name="z435" w:id="393"/>
    <w:p>
      <w:pPr>
        <w:spacing w:after="0"/>
        <w:ind w:left="0"/>
        <w:jc w:val="both"/>
      </w:pPr>
      <w:r>
        <w:rPr>
          <w:rFonts w:ascii="Times New Roman"/>
          <w:b w:val="false"/>
          <w:i w:val="false"/>
          <w:color w:val="000000"/>
          <w:sz w:val="28"/>
        </w:rPr>
        <w:t>
      Так, в рамках Государственной программы индустриально-инновационного развития Республики Казахстан на 2020-2025 годы будет сделан акцент на эффективные предприятия обрабатывающей промышленности, ориентированные на насыщение внутреннего рынка качественной продукцией и экспорт, встраивание в глобальные цепочки создания стоимости через таргетированное привлечение целевых иностранных инвесторов, а также будет осуществлен переход от отраслевой приоритезации к определению конкретных приоритетных товаров.</w:t>
      </w:r>
    </w:p>
    <w:bookmarkEnd w:id="393"/>
    <w:bookmarkStart w:name="z436" w:id="394"/>
    <w:p>
      <w:pPr>
        <w:spacing w:after="0"/>
        <w:ind w:left="0"/>
        <w:jc w:val="both"/>
      </w:pPr>
      <w:r>
        <w:rPr>
          <w:rFonts w:ascii="Times New Roman"/>
          <w:b w:val="false"/>
          <w:i w:val="false"/>
          <w:color w:val="000000"/>
          <w:sz w:val="28"/>
        </w:rPr>
        <w:t>
      Меры стимулирования будут предоставляться только производителям товаров высокого и среднего передела, выбранных как приоритетные. При этом приоритетные товары будут менее подвержены колебаниям внешней конъюнктуры за счет вклада в их производство научно-исследовательские и опытно-конструкторские работы, инновации, человеческий капитал, креативные сектора экономики (реклама и другие).</w:t>
      </w:r>
    </w:p>
    <w:bookmarkEnd w:id="394"/>
    <w:bookmarkStart w:name="z437" w:id="395"/>
    <w:p>
      <w:pPr>
        <w:spacing w:after="0"/>
        <w:ind w:left="0"/>
        <w:jc w:val="both"/>
      </w:pPr>
      <w:r>
        <w:rPr>
          <w:rFonts w:ascii="Times New Roman"/>
          <w:b w:val="false"/>
          <w:i w:val="false"/>
          <w:color w:val="000000"/>
          <w:sz w:val="28"/>
        </w:rPr>
        <w:t>
      Алгоритм работы по продвижению Казахстана в системе глобальных цепочек создания стоимости предполагает анализ отечественных предприятий, их товарных позиций на предмет инновационности и технологичности. Будут максимально использован потенциал СЭЗ и ИЗ в регионах с привлечением транснациональных корпораций.</w:t>
      </w:r>
    </w:p>
    <w:bookmarkEnd w:id="395"/>
    <w:bookmarkStart w:name="z438" w:id="396"/>
    <w:p>
      <w:pPr>
        <w:spacing w:after="0"/>
        <w:ind w:left="0"/>
        <w:jc w:val="both"/>
      </w:pPr>
      <w:r>
        <w:rPr>
          <w:rFonts w:ascii="Times New Roman"/>
          <w:b w:val="false"/>
          <w:i w:val="false"/>
          <w:color w:val="000000"/>
          <w:sz w:val="28"/>
        </w:rPr>
        <w:t>
      Предполагается реализация порядка 40 проектов республиканского значения, увязанных со специализацией и промышленным потенциалом регионов, в таких отраслях промышленности как пищевая, химическая, нефтегазохимическая, металлургическая, фармацевтическая, машиностроение и агрохимия.</w:t>
      </w:r>
    </w:p>
    <w:bookmarkEnd w:id="396"/>
    <w:bookmarkStart w:name="z439" w:id="397"/>
    <w:p>
      <w:pPr>
        <w:spacing w:after="0"/>
        <w:ind w:left="0"/>
        <w:jc w:val="both"/>
      </w:pPr>
      <w:r>
        <w:rPr>
          <w:rFonts w:ascii="Times New Roman"/>
          <w:b w:val="false"/>
          <w:i w:val="false"/>
          <w:color w:val="000000"/>
          <w:sz w:val="28"/>
        </w:rPr>
        <w:t>
      Кроме прямых мер стимулирования, будут приняты и системные меры в области технологического регулирования, метрологии, стандартизации, развития технологий, инноваций и цифровизации, аналитического сопровождения индустриально-инновационного развития.</w:t>
      </w:r>
    </w:p>
    <w:bookmarkEnd w:id="397"/>
    <w:bookmarkStart w:name="z440" w:id="398"/>
    <w:p>
      <w:pPr>
        <w:spacing w:after="0"/>
        <w:ind w:left="0"/>
        <w:jc w:val="both"/>
      </w:pPr>
      <w:r>
        <w:rPr>
          <w:rFonts w:ascii="Times New Roman"/>
          <w:b w:val="false"/>
          <w:i w:val="false"/>
          <w:color w:val="000000"/>
          <w:sz w:val="28"/>
        </w:rPr>
        <w:t xml:space="preserve">
      Дальнейшее инновационное и технологическое развитие областей во главе с их большими городами (областными центрами) будет зависеть от влияния различных факторов - это технологическое обновление и модернизация основных фондов, внедрение инноваций, увеличение затрат на НИОКР, патентная активность и др. В настоящее время, несмотря на довольно высокие коэффициенты обновления основных средств, степень износа основных средств находится на высоком уровне в таких регионах как - Мангистауская (50,2%), Кызылординская (48,3%), Актюбинская (42,5%), а также в Карагандинской областях (41,2%). </w:t>
      </w:r>
    </w:p>
    <w:bookmarkEnd w:id="398"/>
    <w:bookmarkStart w:name="z441" w:id="399"/>
    <w:p>
      <w:pPr>
        <w:spacing w:after="0"/>
        <w:ind w:left="0"/>
        <w:jc w:val="both"/>
      </w:pPr>
      <w:r>
        <w:rPr>
          <w:rFonts w:ascii="Times New Roman"/>
          <w:b w:val="false"/>
          <w:i w:val="false"/>
          <w:color w:val="000000"/>
          <w:sz w:val="28"/>
        </w:rPr>
        <w:t xml:space="preserve">
      Более 80% от всего объема внутренних затрат на НИОКР приходится на долю городов Нур-Султан, Алматы, а также Мангистауской, Восточно-Казахстанской, Атырауской и Карагандинской областей. </w:t>
      </w:r>
    </w:p>
    <w:bookmarkEnd w:id="399"/>
    <w:bookmarkStart w:name="z442" w:id="400"/>
    <w:p>
      <w:pPr>
        <w:spacing w:after="0"/>
        <w:ind w:left="0"/>
        <w:jc w:val="both"/>
      </w:pPr>
      <w:r>
        <w:rPr>
          <w:rFonts w:ascii="Times New Roman"/>
          <w:b w:val="false"/>
          <w:i w:val="false"/>
          <w:color w:val="000000"/>
          <w:sz w:val="28"/>
        </w:rPr>
        <w:t>
      В 2017 году выдано 650 патентов на изобретения. Более половины из них (382 патента) приходится на города Нур-Султан и Алматы.</w:t>
      </w:r>
    </w:p>
    <w:bookmarkEnd w:id="400"/>
    <w:bookmarkStart w:name="z443" w:id="401"/>
    <w:p>
      <w:pPr>
        <w:spacing w:after="0"/>
        <w:ind w:left="0"/>
        <w:jc w:val="both"/>
      </w:pPr>
      <w:r>
        <w:rPr>
          <w:rFonts w:ascii="Times New Roman"/>
          <w:b w:val="false"/>
          <w:i w:val="false"/>
          <w:color w:val="000000"/>
          <w:sz w:val="28"/>
        </w:rPr>
        <w:t>
      Привлечение талантов</w:t>
      </w:r>
    </w:p>
    <w:bookmarkEnd w:id="401"/>
    <w:bookmarkStart w:name="z444" w:id="402"/>
    <w:p>
      <w:pPr>
        <w:spacing w:after="0"/>
        <w:ind w:left="0"/>
        <w:jc w:val="both"/>
      </w:pPr>
      <w:r>
        <w:rPr>
          <w:rFonts w:ascii="Times New Roman"/>
          <w:b w:val="false"/>
          <w:i w:val="false"/>
          <w:color w:val="000000"/>
          <w:sz w:val="28"/>
        </w:rPr>
        <w:t xml:space="preserve">
      Повышенная доля образованных людей в городе повышает среднюю продуктивность менее образованных. Так, исследования показали, что увеличение доли выпускников университетов в городе на 10% повышает уровень продуктивности, не имеющих высшее образование, на 5-6%. </w:t>
      </w:r>
    </w:p>
    <w:bookmarkEnd w:id="402"/>
    <w:bookmarkStart w:name="z445" w:id="403"/>
    <w:p>
      <w:pPr>
        <w:spacing w:after="0"/>
        <w:ind w:left="0"/>
        <w:jc w:val="both"/>
      </w:pPr>
      <w:r>
        <w:rPr>
          <w:rFonts w:ascii="Times New Roman"/>
          <w:b w:val="false"/>
          <w:i w:val="false"/>
          <w:color w:val="000000"/>
          <w:sz w:val="28"/>
        </w:rPr>
        <w:t>
      При этом необходимо отметить, что именно крупные города имеют тенденцию привлекать более образованных людей и это повышает производительность крупных городов в сравнении с городами меньших размеров.</w:t>
      </w:r>
    </w:p>
    <w:bookmarkEnd w:id="403"/>
    <w:bookmarkStart w:name="z446" w:id="404"/>
    <w:p>
      <w:pPr>
        <w:spacing w:after="0"/>
        <w:ind w:left="0"/>
        <w:jc w:val="both"/>
      </w:pPr>
      <w:r>
        <w:rPr>
          <w:rFonts w:ascii="Times New Roman"/>
          <w:b w:val="false"/>
          <w:i w:val="false"/>
          <w:color w:val="000000"/>
          <w:sz w:val="28"/>
        </w:rPr>
        <w:t>
      Будут приняты меры по созданию в городах первого уровня условий для открытия филиалов и/или получения франшиз известных в мире высших учебных заведений.</w:t>
      </w:r>
    </w:p>
    <w:bookmarkEnd w:id="404"/>
    <w:bookmarkStart w:name="z447" w:id="405"/>
    <w:p>
      <w:pPr>
        <w:spacing w:after="0"/>
        <w:ind w:left="0"/>
        <w:jc w:val="both"/>
      </w:pPr>
      <w:r>
        <w:rPr>
          <w:rFonts w:ascii="Times New Roman"/>
          <w:b w:val="false"/>
          <w:i w:val="false"/>
          <w:color w:val="000000"/>
          <w:sz w:val="28"/>
        </w:rPr>
        <w:t xml:space="preserve">
      В соответствии с действующим законодательством республики в высших учебных заведениях страны будут приняты меры по содействию в подготовке студентов по специальности "урбанистика" и "городское планирование" путем выделения грантов на их обучение. Специалисты данных сфер будут направляться на обучение и стажировку в зарубежные ВУЗы для повышения их квалификации. </w:t>
      </w:r>
    </w:p>
    <w:bookmarkEnd w:id="405"/>
    <w:bookmarkStart w:name="z448" w:id="406"/>
    <w:p>
      <w:pPr>
        <w:spacing w:after="0"/>
        <w:ind w:left="0"/>
        <w:jc w:val="both"/>
      </w:pPr>
      <w:r>
        <w:rPr>
          <w:rFonts w:ascii="Times New Roman"/>
          <w:b w:val="false"/>
          <w:i w:val="false"/>
          <w:color w:val="000000"/>
          <w:sz w:val="28"/>
        </w:rPr>
        <w:t>
      Жилищный рынок</w:t>
      </w:r>
    </w:p>
    <w:bookmarkEnd w:id="406"/>
    <w:bookmarkStart w:name="z449" w:id="407"/>
    <w:p>
      <w:pPr>
        <w:spacing w:after="0"/>
        <w:ind w:left="0"/>
        <w:jc w:val="both"/>
      </w:pPr>
      <w:r>
        <w:rPr>
          <w:rFonts w:ascii="Times New Roman"/>
          <w:b w:val="false"/>
          <w:i w:val="false"/>
          <w:color w:val="000000"/>
          <w:sz w:val="28"/>
        </w:rPr>
        <w:t>
      Для создания условий, необходимых для формирования мобильного рынка труда в стране, переселения населения из отдаленных СНП, моно- и малых городов в крупные и большие города, будут выработаны предложения и в дальнейшем внедрены механизмы по стимулированию массового строительства арендного жилья с участием частных инвесторов.</w:t>
      </w:r>
    </w:p>
    <w:bookmarkEnd w:id="407"/>
    <w:bookmarkStart w:name="z450" w:id="408"/>
    <w:p>
      <w:pPr>
        <w:spacing w:after="0"/>
        <w:ind w:left="0"/>
        <w:jc w:val="both"/>
      </w:pPr>
      <w:r>
        <w:rPr>
          <w:rFonts w:ascii="Times New Roman"/>
          <w:b w:val="false"/>
          <w:i w:val="false"/>
          <w:color w:val="000000"/>
          <w:sz w:val="28"/>
        </w:rPr>
        <w:t>
      Будут приниматься меры по развитию не только центров ФГР, но и населенных пунктов, прилегающих к этим центрам: дислокация новых промышленных предприятий, строительство жилья.</w:t>
      </w:r>
    </w:p>
    <w:bookmarkEnd w:id="408"/>
    <w:bookmarkStart w:name="z451" w:id="409"/>
    <w:p>
      <w:pPr>
        <w:spacing w:after="0"/>
        <w:ind w:left="0"/>
        <w:jc w:val="both"/>
      </w:pPr>
      <w:r>
        <w:rPr>
          <w:rFonts w:ascii="Times New Roman"/>
          <w:b w:val="false"/>
          <w:i w:val="false"/>
          <w:color w:val="000000"/>
          <w:sz w:val="28"/>
        </w:rPr>
        <w:t xml:space="preserve">
      Государственные органы в пределах своих полномочий и администрируемых программных документов будут проводить целенаправленную работу по развитию центров ФГР и окружающих их населенных пунктов. Так, Министерство национальной экономики Республики Казахстан, помимо мониторинга и контроля реализации Государственной программы, будет совместно с местными исполнительными органами городов Нур-Султана, Алматы, Шымкента и Акмолинской области осуществлять развитие социальной и инженерной инфраструктуры окраин указанных городов; реализовывать бюджетные инвестиционные проекты по развитию инженерной инфраструктуры моно- и малых городов, в первую очередь в составе ФГР; в рамках Государственной программы поддержки и развития бизнеса "Дорожная карта бизнеса-2025" в приоритетном порядке поддерживать предпринимательство в моно- и малых городах, в первую очередь в составе ФГР, опорных СНП (с уклоном на развитие несельскохозяйственных видов деятельности (туризм, народные промыслы, глубокая переработка сельскохозяйственной продукции); применять механизм "бюджетного фильтра" (заключение в части соответствия местных бюджетных инвестиционных проектов приоритетам региональной политики). </w:t>
      </w:r>
    </w:p>
    <w:bookmarkEnd w:id="409"/>
    <w:bookmarkStart w:name="z452" w:id="410"/>
    <w:p>
      <w:pPr>
        <w:spacing w:after="0"/>
        <w:ind w:left="0"/>
        <w:jc w:val="both"/>
      </w:pPr>
      <w:r>
        <w:rPr>
          <w:rFonts w:ascii="Times New Roman"/>
          <w:b w:val="false"/>
          <w:i w:val="false"/>
          <w:color w:val="000000"/>
          <w:sz w:val="28"/>
        </w:rPr>
        <w:t xml:space="preserve">
      Министерством индустрии и инфраструктурного развития Республики Казахстан в проекте Государственной программы индустриально-инновационного развития Республики Казахстан на 2020-2025 годы предусмотрена работа по системной диверсификации экономики (развитие высокотехнологичных производств, "цифровизация" экономики, зеленая экономика, научно-производственная связь университетов и предприятий и другие); в проекте Государственной программы инфраструктурного развития Республики Казахстан "Нұрлы жол" на 2020-2025 годы запланированы мероприятия по улучшению транспортной связности центров агломераций между собой и крупными городами на евразийском континенте; в проекте Государственной программы жилищно-коммунального развития "Нұрлы жер" на 2020-2025 годы запланировано содействие мобильности трудовых ресурсов страны путем развития рынка арендного жилья без выкупа за счет привлечения частных инвестиций, строить/модернизировать в приоритетном порядке инженерную инфраструктуру как центров, так и других населенных пунктов ФГР и другие работы. </w:t>
      </w:r>
    </w:p>
    <w:bookmarkEnd w:id="410"/>
    <w:bookmarkStart w:name="z453" w:id="411"/>
    <w:p>
      <w:pPr>
        <w:spacing w:after="0"/>
        <w:ind w:left="0"/>
        <w:jc w:val="both"/>
      </w:pPr>
      <w:r>
        <w:rPr>
          <w:rFonts w:ascii="Times New Roman"/>
          <w:b w:val="false"/>
          <w:i w:val="false"/>
          <w:color w:val="000000"/>
          <w:sz w:val="28"/>
        </w:rPr>
        <w:t>
      Данная инженерная инфраструктура (электро-, газо-, водоснабжение и водоотведение, сети телекоммуникации) в регионах будет строиться и модернизироваться местными исполнительными органами также в рамках программ развития территорий (областей, районов, городов республиканского и областного значений).</w:t>
      </w:r>
    </w:p>
    <w:bookmarkEnd w:id="411"/>
    <w:bookmarkStart w:name="z454" w:id="412"/>
    <w:p>
      <w:pPr>
        <w:spacing w:after="0"/>
        <w:ind w:left="0"/>
        <w:jc w:val="both"/>
      </w:pPr>
      <w:r>
        <w:rPr>
          <w:rFonts w:ascii="Times New Roman"/>
          <w:b w:val="false"/>
          <w:i w:val="false"/>
          <w:color w:val="000000"/>
          <w:sz w:val="28"/>
        </w:rPr>
        <w:t xml:space="preserve">
      В рамках Государственной программы развития продуктивной занятости и массового предпринимательства на 2017 - 2021 годы "Еңбек" будут оказаны меры государственной поддержки (расширение микрокредитования, гарантирование кредитов/микрокредитов, предоставление государственных грантов и другие) в моно- и малых городах, СНП. </w:t>
      </w:r>
    </w:p>
    <w:bookmarkEnd w:id="412"/>
    <w:bookmarkStart w:name="z455" w:id="413"/>
    <w:p>
      <w:pPr>
        <w:spacing w:after="0"/>
        <w:ind w:left="0"/>
        <w:jc w:val="both"/>
      </w:pPr>
      <w:r>
        <w:rPr>
          <w:rFonts w:ascii="Times New Roman"/>
          <w:b w:val="false"/>
          <w:i w:val="false"/>
          <w:color w:val="000000"/>
          <w:sz w:val="28"/>
        </w:rPr>
        <w:t>
      Акиматы городов республиканского значения, столицы, областей совместно с заинтересованными центральными государственными органами в центрах и иных населенных пунктах ФГР будут принимать меры по:</w:t>
      </w:r>
    </w:p>
    <w:bookmarkEnd w:id="413"/>
    <w:bookmarkStart w:name="z456" w:id="414"/>
    <w:p>
      <w:pPr>
        <w:spacing w:after="0"/>
        <w:ind w:left="0"/>
        <w:jc w:val="both"/>
      </w:pPr>
      <w:r>
        <w:rPr>
          <w:rFonts w:ascii="Times New Roman"/>
          <w:b w:val="false"/>
          <w:i w:val="false"/>
          <w:color w:val="000000"/>
          <w:sz w:val="28"/>
        </w:rPr>
        <w:t>
      1) получению детьми и молодежью высококлассного школьного, технического и профессионального, высшего и послевузовского образования;</w:t>
      </w:r>
    </w:p>
    <w:bookmarkEnd w:id="414"/>
    <w:bookmarkStart w:name="z457" w:id="415"/>
    <w:p>
      <w:pPr>
        <w:spacing w:after="0"/>
        <w:ind w:left="0"/>
        <w:jc w:val="both"/>
      </w:pPr>
      <w:r>
        <w:rPr>
          <w:rFonts w:ascii="Times New Roman"/>
          <w:b w:val="false"/>
          <w:i w:val="false"/>
          <w:color w:val="000000"/>
          <w:sz w:val="28"/>
        </w:rPr>
        <w:t>
      2) формированию в центрах агломераций университетов мирового/регионального (евразийского) уровня, а также привлечению филиалов известных в мире университетов;</w:t>
      </w:r>
    </w:p>
    <w:bookmarkEnd w:id="415"/>
    <w:bookmarkStart w:name="z458" w:id="416"/>
    <w:p>
      <w:pPr>
        <w:spacing w:after="0"/>
        <w:ind w:left="0"/>
        <w:jc w:val="both"/>
      </w:pPr>
      <w:r>
        <w:rPr>
          <w:rFonts w:ascii="Times New Roman"/>
          <w:b w:val="false"/>
          <w:i w:val="false"/>
          <w:color w:val="000000"/>
          <w:sz w:val="28"/>
        </w:rPr>
        <w:t xml:space="preserve">
      3) созданию комфортных условий проживания для высококлассных иностранных преподавателей университетов, специалистов иных сфер деятельности и отечественных талантов; </w:t>
      </w:r>
    </w:p>
    <w:bookmarkEnd w:id="416"/>
    <w:bookmarkStart w:name="z459" w:id="417"/>
    <w:p>
      <w:pPr>
        <w:spacing w:after="0"/>
        <w:ind w:left="0"/>
        <w:jc w:val="both"/>
      </w:pPr>
      <w:r>
        <w:rPr>
          <w:rFonts w:ascii="Times New Roman"/>
          <w:b w:val="false"/>
          <w:i w:val="false"/>
          <w:color w:val="000000"/>
          <w:sz w:val="28"/>
        </w:rPr>
        <w:t>
      4) развитию сферы культуры, системы здравоохранения, в том числе исполнения принятых в реализацию Государственной программы развития здравоохранения Республики Казахстан "Денсаулық" на 2016-2019 годы региональных перспективных планов развития инфраструктуры здравоохранения до 2026 года;</w:t>
      </w:r>
    </w:p>
    <w:bookmarkEnd w:id="417"/>
    <w:bookmarkStart w:name="z460" w:id="418"/>
    <w:p>
      <w:pPr>
        <w:spacing w:after="0"/>
        <w:ind w:left="0"/>
        <w:jc w:val="both"/>
      </w:pPr>
      <w:r>
        <w:rPr>
          <w:rFonts w:ascii="Times New Roman"/>
          <w:b w:val="false"/>
          <w:i w:val="false"/>
          <w:color w:val="000000"/>
          <w:sz w:val="28"/>
        </w:rPr>
        <w:t>
      5) организации строительства доступного и комфортного жилья, функционирования общественного транспорта, а также строительства/модернизации инженерной, транспортной и социальной инфраструктуры;</w:t>
      </w:r>
    </w:p>
    <w:bookmarkEnd w:id="418"/>
    <w:bookmarkStart w:name="z461" w:id="419"/>
    <w:p>
      <w:pPr>
        <w:spacing w:after="0"/>
        <w:ind w:left="0"/>
        <w:jc w:val="both"/>
      </w:pPr>
      <w:r>
        <w:rPr>
          <w:rFonts w:ascii="Times New Roman"/>
          <w:b w:val="false"/>
          <w:i w:val="false"/>
          <w:color w:val="000000"/>
          <w:sz w:val="28"/>
        </w:rPr>
        <w:t>
      6) созданию благоприятной экологической системы (экосистемы) и комфортной городской среды (компактная городская застройка, "шаговая" доступность объектов, зеленая городская среда и другие);</w:t>
      </w:r>
    </w:p>
    <w:bookmarkEnd w:id="419"/>
    <w:bookmarkStart w:name="z462" w:id="420"/>
    <w:p>
      <w:pPr>
        <w:spacing w:after="0"/>
        <w:ind w:left="0"/>
        <w:jc w:val="both"/>
      </w:pPr>
      <w:r>
        <w:rPr>
          <w:rFonts w:ascii="Times New Roman"/>
          <w:b w:val="false"/>
          <w:i w:val="false"/>
          <w:color w:val="000000"/>
          <w:sz w:val="28"/>
        </w:rPr>
        <w:t xml:space="preserve">
      7) формированию и использованию современных информационных систем для эффективного управления городской инфраструктурой (безопасность, ЖКХ, транспорт, образование, здравоохранение, социальная сфера, экология, управление городом, бизнес и другие). </w:t>
      </w:r>
    </w:p>
    <w:bookmarkEnd w:id="420"/>
    <w:bookmarkStart w:name="z463" w:id="421"/>
    <w:p>
      <w:pPr>
        <w:spacing w:after="0"/>
        <w:ind w:left="0"/>
        <w:jc w:val="both"/>
      </w:pPr>
      <w:r>
        <w:rPr>
          <w:rFonts w:ascii="Times New Roman"/>
          <w:b w:val="false"/>
          <w:i w:val="false"/>
          <w:color w:val="000000"/>
          <w:sz w:val="28"/>
        </w:rPr>
        <w:t xml:space="preserve">
      Кроме того, акиматами городов республиканского значения, столицы, областей будут сформированы узнаваемые в мире, в первую очередь на евразийском пространстве, бренды крупных и больших городов страны. </w:t>
      </w:r>
    </w:p>
    <w:bookmarkEnd w:id="421"/>
    <w:bookmarkStart w:name="z464" w:id="422"/>
    <w:p>
      <w:pPr>
        <w:spacing w:after="0"/>
        <w:ind w:left="0"/>
        <w:jc w:val="both"/>
      </w:pPr>
      <w:r>
        <w:rPr>
          <w:rFonts w:ascii="Times New Roman"/>
          <w:b w:val="false"/>
          <w:i w:val="false"/>
          <w:color w:val="000000"/>
          <w:sz w:val="28"/>
        </w:rPr>
        <w:t>
      Развитие первого города-спутника г. Алматы Gate City</w:t>
      </w:r>
    </w:p>
    <w:bookmarkEnd w:id="422"/>
    <w:bookmarkStart w:name="z465" w:id="423"/>
    <w:p>
      <w:pPr>
        <w:spacing w:after="0"/>
        <w:ind w:left="0"/>
        <w:jc w:val="both"/>
      </w:pPr>
      <w:r>
        <w:rPr>
          <w:rFonts w:ascii="Times New Roman"/>
          <w:b w:val="false"/>
          <w:i w:val="false"/>
          <w:color w:val="000000"/>
          <w:sz w:val="28"/>
        </w:rPr>
        <w:t xml:space="preserve">
      Основной концепцией развития первого города-спутника Gate City является создание технологически интегрированной экономической системы в северной части Алматинской агломерации, состоящей из жилых и рабочих пространств с улучшением существующего экономического и экологического баланса и уменьшением антропогенного воздействия на системы города Алматы. </w:t>
      </w:r>
    </w:p>
    <w:bookmarkEnd w:id="423"/>
    <w:bookmarkStart w:name="z466" w:id="424"/>
    <w:p>
      <w:pPr>
        <w:spacing w:after="0"/>
        <w:ind w:left="0"/>
        <w:jc w:val="both"/>
      </w:pPr>
      <w:r>
        <w:rPr>
          <w:rFonts w:ascii="Times New Roman"/>
          <w:b w:val="false"/>
          <w:i w:val="false"/>
          <w:color w:val="000000"/>
          <w:sz w:val="28"/>
        </w:rPr>
        <w:t xml:space="preserve">
      Реализация проекта включает в себя строительство инженерной инфраструктуры за счет республиканского и местного бюджетов, привлечения частных инвестиций, жилищное строительство за счет бюджетных средств и частных застройщиков, возведение социальных объектов за счет государственного бюджета и с использованием механизмов государственно-частного партнерства, обеспечение мест приложения труда через создание индустриальных зон и кластерных комплексов, обеспеченных инженерной инфраструктурой. </w:t>
      </w:r>
    </w:p>
    <w:bookmarkEnd w:id="424"/>
    <w:bookmarkStart w:name="z467" w:id="425"/>
    <w:p>
      <w:pPr>
        <w:spacing w:after="0"/>
        <w:ind w:left="0"/>
        <w:jc w:val="both"/>
      </w:pPr>
      <w:r>
        <w:rPr>
          <w:rFonts w:ascii="Times New Roman"/>
          <w:b w:val="false"/>
          <w:i w:val="false"/>
          <w:color w:val="000000"/>
          <w:sz w:val="28"/>
        </w:rPr>
        <w:t>
      По первой очереди планируется ввести в эксплуатацию 190 тыс. кв. м жилья.</w:t>
      </w:r>
    </w:p>
    <w:bookmarkEnd w:id="425"/>
    <w:bookmarkStart w:name="z468" w:id="426"/>
    <w:p>
      <w:pPr>
        <w:spacing w:after="0"/>
        <w:ind w:left="0"/>
        <w:jc w:val="both"/>
      </w:pPr>
      <w:r>
        <w:rPr>
          <w:rFonts w:ascii="Times New Roman"/>
          <w:b w:val="false"/>
          <w:i w:val="false"/>
          <w:color w:val="000000"/>
          <w:sz w:val="28"/>
        </w:rPr>
        <w:t xml:space="preserve">
      С начала реализации из республиканского бюджета выделено 35,9 млрд. тенге (на инженерные изыскания, разработку градостроительной, предпроектной и проектной документации, строительство объектов ИКИ). Первая очередь застройки в целом обеспечена водо-, газо-, электроснабжением и временными дорогами (построены 9 крупных объектов). Завершаются работы по транспортной развязке. Планируется запустить в эксплуатацию котельную на 200 МВт с теплотрассой (4 пусковых комплекса). </w:t>
      </w:r>
    </w:p>
    <w:bookmarkEnd w:id="426"/>
    <w:bookmarkStart w:name="z469" w:id="427"/>
    <w:p>
      <w:pPr>
        <w:spacing w:after="0"/>
        <w:ind w:left="0"/>
        <w:jc w:val="both"/>
      </w:pPr>
      <w:r>
        <w:rPr>
          <w:rFonts w:ascii="Times New Roman"/>
          <w:b w:val="false"/>
          <w:i w:val="false"/>
          <w:color w:val="000000"/>
          <w:sz w:val="28"/>
        </w:rPr>
        <w:t>
      По результатам реализации расчетного периода проекта после 2030 года будет принято решение о строительстве Golden City, Growing City и Green City.</w:t>
      </w:r>
    </w:p>
    <w:bookmarkEnd w:id="427"/>
    <w:bookmarkStart w:name="z470" w:id="428"/>
    <w:p>
      <w:pPr>
        <w:spacing w:after="0"/>
        <w:ind w:left="0"/>
        <w:jc w:val="both"/>
      </w:pPr>
      <w:r>
        <w:rPr>
          <w:rFonts w:ascii="Times New Roman"/>
          <w:b w:val="false"/>
          <w:i w:val="false"/>
          <w:color w:val="000000"/>
          <w:sz w:val="28"/>
        </w:rPr>
        <w:t>
      "Умное и технологичное производство"</w:t>
      </w:r>
    </w:p>
    <w:bookmarkEnd w:id="428"/>
    <w:bookmarkStart w:name="z471" w:id="429"/>
    <w:p>
      <w:pPr>
        <w:spacing w:after="0"/>
        <w:ind w:left="0"/>
        <w:jc w:val="both"/>
      </w:pPr>
      <w:r>
        <w:rPr>
          <w:rFonts w:ascii="Times New Roman"/>
          <w:b w:val="false"/>
          <w:i w:val="false"/>
          <w:color w:val="000000"/>
          <w:sz w:val="28"/>
        </w:rPr>
        <w:t xml:space="preserve">
      Развитие "умного и технологичного производства" больших городов необходимо увязать с построением модели устойчиво растущей экономики города, ориентированной на "экономику знаний". </w:t>
      </w:r>
    </w:p>
    <w:bookmarkEnd w:id="429"/>
    <w:bookmarkStart w:name="z472" w:id="430"/>
    <w:p>
      <w:pPr>
        <w:spacing w:after="0"/>
        <w:ind w:left="0"/>
        <w:jc w:val="both"/>
      </w:pPr>
      <w:r>
        <w:rPr>
          <w:rFonts w:ascii="Times New Roman"/>
          <w:b w:val="false"/>
          <w:i w:val="false"/>
          <w:color w:val="000000"/>
          <w:sz w:val="28"/>
        </w:rPr>
        <w:t xml:space="preserve">
      С учетом существующих объективных географических, природно-климатических и ресурсных ограничений больших городов приоритетное развитие должны получить сектора "экономики знаний", присущие глобальным городам. </w:t>
      </w:r>
    </w:p>
    <w:bookmarkEnd w:id="430"/>
    <w:bookmarkStart w:name="z473" w:id="431"/>
    <w:p>
      <w:pPr>
        <w:spacing w:after="0"/>
        <w:ind w:left="0"/>
        <w:jc w:val="both"/>
      </w:pPr>
      <w:r>
        <w:rPr>
          <w:rFonts w:ascii="Times New Roman"/>
          <w:b w:val="false"/>
          <w:i w:val="false"/>
          <w:color w:val="000000"/>
          <w:sz w:val="28"/>
        </w:rPr>
        <w:t xml:space="preserve">
      Экономика крупных и больших городов Казахстана с учетом передового опыта глобальных городов мира должна быть сосредоточена на высокотехнологичных секторах обрабатывающей промышленности (машиностроение, станкостроение, биотехнологии, химическая промышленность, фармацевтика). </w:t>
      </w:r>
    </w:p>
    <w:bookmarkEnd w:id="431"/>
    <w:bookmarkStart w:name="z474" w:id="432"/>
    <w:p>
      <w:pPr>
        <w:spacing w:after="0"/>
        <w:ind w:left="0"/>
        <w:jc w:val="both"/>
      </w:pPr>
      <w:r>
        <w:rPr>
          <w:rFonts w:ascii="Times New Roman"/>
          <w:b w:val="false"/>
          <w:i w:val="false"/>
          <w:color w:val="000000"/>
          <w:sz w:val="28"/>
        </w:rPr>
        <w:t>
      Данные производства характеризуются высоким уровнем расходов на научно-исследовательские и опытно-конструкторские работы (НИОКР) и долей STEM работников (научные, в сферах технологий, инжиниринга, математики работники), а также высокими заработными платами и возможностями создавать качественные рабочие места. Акцент на них соответствует заявленным принципам ориентации на "экономику знаний" и устойчивость. В этой связи местные исполнительные органы будут содействовать развитию в крупных и больших городах именно данных секторов промышленности.</w:t>
      </w:r>
    </w:p>
    <w:bookmarkEnd w:id="432"/>
    <w:bookmarkStart w:name="z475" w:id="433"/>
    <w:p>
      <w:pPr>
        <w:spacing w:after="0"/>
        <w:ind w:left="0"/>
        <w:jc w:val="both"/>
      </w:pPr>
      <w:r>
        <w:rPr>
          <w:rFonts w:ascii="Times New Roman"/>
          <w:b w:val="false"/>
          <w:i w:val="false"/>
          <w:color w:val="000000"/>
          <w:sz w:val="28"/>
        </w:rPr>
        <w:t xml:space="preserve">
      Архитектура государственного органа </w:t>
      </w:r>
    </w:p>
    <w:bookmarkEnd w:id="433"/>
    <w:bookmarkStart w:name="z476" w:id="434"/>
    <w:p>
      <w:pPr>
        <w:spacing w:after="0"/>
        <w:ind w:left="0"/>
        <w:jc w:val="both"/>
      </w:pPr>
      <w:r>
        <w:rPr>
          <w:rFonts w:ascii="Times New Roman"/>
          <w:b w:val="false"/>
          <w:i w:val="false"/>
          <w:color w:val="000000"/>
          <w:sz w:val="28"/>
        </w:rPr>
        <w:t>
      Современный город для поддержания и повышения своей конкурентоспособности должен учитывать происходящие изменения в технологиях и вызываемых этим социальном и культурном поведении людей. Цифровые технологии кардинально меняют представление о конкурентоспособности городов и помогают снизить влияние ограничений, связанных с географической удаленностью от основных рынков и торговых потоков.</w:t>
      </w:r>
    </w:p>
    <w:bookmarkEnd w:id="434"/>
    <w:bookmarkStart w:name="z477" w:id="435"/>
    <w:p>
      <w:pPr>
        <w:spacing w:after="0"/>
        <w:ind w:left="0"/>
        <w:jc w:val="both"/>
      </w:pPr>
      <w:r>
        <w:rPr>
          <w:rFonts w:ascii="Times New Roman"/>
          <w:b w:val="false"/>
          <w:i w:val="false"/>
          <w:color w:val="000000"/>
          <w:sz w:val="28"/>
        </w:rPr>
        <w:t>
      До настоящего времени местные исполнительные органы областей, городов республиканского значения, столицы не имеют архитектуру государственного органа. Вместе с тем,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государственные органы, в том числе местные исполнительные органы областей, городов республиканского значения, столицы, должны утверждать архитектуру государственного органа и обеспечивать ее реализацию и развитие. Архитектура государственного органа предназначена для повышения эффективности оказания услуг местными исполнительными органами и его подведомственными организациями, оптимизации расходов на информатизацию государственного органа, исключения дублирования информационных и аналитических систем, обеспечения оптимального выбора и эффективного внедрения информационно-коммуникационных технологий и др. В этой связи акиматами областей, городов республиканского значения и столицы будут организованы работы по разработке и реализации архитектуры государственного органа, обеспечению ее сопровождения и развития. </w:t>
      </w:r>
    </w:p>
    <w:bookmarkEnd w:id="435"/>
    <w:bookmarkStart w:name="z478" w:id="436"/>
    <w:p>
      <w:pPr>
        <w:spacing w:after="0"/>
        <w:ind w:left="0"/>
        <w:jc w:val="both"/>
      </w:pPr>
      <w:r>
        <w:rPr>
          <w:rFonts w:ascii="Times New Roman"/>
          <w:b w:val="false"/>
          <w:i w:val="false"/>
          <w:color w:val="000000"/>
          <w:sz w:val="28"/>
        </w:rPr>
        <w:t>
      Развитие креативных секторов</w:t>
      </w:r>
    </w:p>
    <w:bookmarkEnd w:id="436"/>
    <w:bookmarkStart w:name="z479" w:id="437"/>
    <w:p>
      <w:pPr>
        <w:spacing w:after="0"/>
        <w:ind w:left="0"/>
        <w:jc w:val="both"/>
      </w:pPr>
      <w:r>
        <w:rPr>
          <w:rFonts w:ascii="Times New Roman"/>
          <w:b w:val="false"/>
          <w:i w:val="false"/>
          <w:color w:val="000000"/>
          <w:sz w:val="28"/>
        </w:rPr>
        <w:t>
      Около 3% мирового ВВП создаются креативными секторами. В глобальных городах данный сектор может занимать более 10%. К креативным секторам относятся 9 направлений, ключевыми из которых являются рекламная деятельность, архитектура, дизайн, а также визуальное современное искусство.</w:t>
      </w:r>
    </w:p>
    <w:bookmarkEnd w:id="437"/>
    <w:bookmarkStart w:name="z480" w:id="438"/>
    <w:p>
      <w:pPr>
        <w:spacing w:after="0"/>
        <w:ind w:left="0"/>
        <w:jc w:val="both"/>
      </w:pPr>
      <w:r>
        <w:rPr>
          <w:rFonts w:ascii="Times New Roman"/>
          <w:b w:val="false"/>
          <w:i w:val="false"/>
          <w:color w:val="000000"/>
          <w:sz w:val="28"/>
        </w:rPr>
        <w:t>
      В этой связи акиматам городов республиканского значения, столицы и областей с учетом местных условий необходимо принять комплекс мер по поддержке данного сектора экономики, включающего льготную аренду недвижимости, программу поддержки креативного образования и прочие.</w:t>
      </w:r>
    </w:p>
    <w:bookmarkEnd w:id="438"/>
    <w:bookmarkStart w:name="z481" w:id="439"/>
    <w:p>
      <w:pPr>
        <w:spacing w:after="0"/>
        <w:ind w:left="0"/>
        <w:jc w:val="both"/>
      </w:pPr>
      <w:r>
        <w:rPr>
          <w:rFonts w:ascii="Times New Roman"/>
          <w:b w:val="false"/>
          <w:i w:val="false"/>
          <w:color w:val="000000"/>
          <w:sz w:val="28"/>
        </w:rPr>
        <w:t xml:space="preserve">
      Разработка и продвижение бренда городов </w:t>
      </w:r>
    </w:p>
    <w:bookmarkEnd w:id="439"/>
    <w:bookmarkStart w:name="z482" w:id="440"/>
    <w:p>
      <w:pPr>
        <w:spacing w:after="0"/>
        <w:ind w:left="0"/>
        <w:jc w:val="both"/>
      </w:pPr>
      <w:r>
        <w:rPr>
          <w:rFonts w:ascii="Times New Roman"/>
          <w:b w:val="false"/>
          <w:i w:val="false"/>
          <w:color w:val="000000"/>
          <w:sz w:val="28"/>
        </w:rPr>
        <w:t xml:space="preserve">
      На целевых рынках отсутствует представление о городах республики как о центрах производства уникальной продукции, источниках эксклюзивных благ и услуг, потенциально интересных местах для путешествий. Отсутствие четкого и привлекательного образа городов у иностранцев является одним из барьеров для их заинтересованности в посещении городов, даже при создании всех необходимых внутренних условий для высокого качества жизни. </w:t>
      </w:r>
    </w:p>
    <w:bookmarkEnd w:id="440"/>
    <w:bookmarkStart w:name="z483" w:id="441"/>
    <w:p>
      <w:pPr>
        <w:spacing w:after="0"/>
        <w:ind w:left="0"/>
        <w:jc w:val="both"/>
      </w:pPr>
      <w:r>
        <w:rPr>
          <w:rFonts w:ascii="Times New Roman"/>
          <w:b w:val="false"/>
          <w:i w:val="false"/>
          <w:color w:val="000000"/>
          <w:sz w:val="28"/>
        </w:rPr>
        <w:t>
      В этой связи акиматами городов республиканского значения, столицы и областей будут разработаны бренды крупных и больших городов.</w:t>
      </w:r>
    </w:p>
    <w:bookmarkEnd w:id="441"/>
    <w:bookmarkStart w:name="z484" w:id="442"/>
    <w:p>
      <w:pPr>
        <w:spacing w:after="0"/>
        <w:ind w:left="0"/>
        <w:jc w:val="both"/>
      </w:pPr>
      <w:r>
        <w:rPr>
          <w:rFonts w:ascii="Times New Roman"/>
          <w:b w:val="false"/>
          <w:i w:val="false"/>
          <w:color w:val="000000"/>
          <w:sz w:val="28"/>
        </w:rPr>
        <w:t>
      Развитие дорожно-транспортной инфраструктуры города</w:t>
      </w:r>
    </w:p>
    <w:bookmarkEnd w:id="442"/>
    <w:bookmarkStart w:name="z485" w:id="443"/>
    <w:p>
      <w:pPr>
        <w:spacing w:after="0"/>
        <w:ind w:left="0"/>
        <w:jc w:val="both"/>
      </w:pPr>
      <w:r>
        <w:rPr>
          <w:rFonts w:ascii="Times New Roman"/>
          <w:b w:val="false"/>
          <w:i w:val="false"/>
          <w:color w:val="000000"/>
          <w:sz w:val="28"/>
        </w:rPr>
        <w:t>
      В крупных городах страны наблюдаются значительная нагрузка на дорожно-транспортную инфраструктуру, недостаточная доступность дорожной сети в районах новой застройки и замедление средней скорости транспортного потока в связи с растущей автомобилизацией.</w:t>
      </w:r>
    </w:p>
    <w:bookmarkEnd w:id="443"/>
    <w:bookmarkStart w:name="z486" w:id="444"/>
    <w:p>
      <w:pPr>
        <w:spacing w:after="0"/>
        <w:ind w:left="0"/>
        <w:jc w:val="both"/>
      </w:pPr>
      <w:r>
        <w:rPr>
          <w:rFonts w:ascii="Times New Roman"/>
          <w:b w:val="false"/>
          <w:i w:val="false"/>
          <w:color w:val="000000"/>
          <w:sz w:val="28"/>
        </w:rPr>
        <w:t>
      В этой связи будут разработаны транспортные мастер-планы крупных городов. Они будут включать инициативы по формированию эффективной дорожной сети города, такие как, изменение топологии дорожной сети города и регулирования движения транспортных потоков с целью повышения эффективности и пропускной способности; реорганизация существующей дорожной сети путем внесения требований в проектирование новых дорог, учитывающих строительство полос для общественного транспорта и велосипедных дорожек; улучшение организации маршрутной сети общественного транспорта; развитие системы транспортировки учащихся начальной и средней школы; снижение привлекательности использования личного автотранспорта.</w:t>
      </w:r>
    </w:p>
    <w:bookmarkEnd w:id="444"/>
    <w:bookmarkStart w:name="z487" w:id="445"/>
    <w:p>
      <w:pPr>
        <w:spacing w:after="0"/>
        <w:ind w:left="0"/>
        <w:jc w:val="both"/>
      </w:pPr>
      <w:r>
        <w:rPr>
          <w:rFonts w:ascii="Times New Roman"/>
          <w:b w:val="false"/>
          <w:i w:val="false"/>
          <w:color w:val="000000"/>
          <w:sz w:val="28"/>
        </w:rPr>
        <w:t xml:space="preserve">
      Транспортная связность </w:t>
      </w:r>
    </w:p>
    <w:bookmarkEnd w:id="445"/>
    <w:bookmarkStart w:name="z488" w:id="446"/>
    <w:p>
      <w:pPr>
        <w:spacing w:after="0"/>
        <w:ind w:left="0"/>
        <w:jc w:val="both"/>
      </w:pPr>
      <w:r>
        <w:rPr>
          <w:rFonts w:ascii="Times New Roman"/>
          <w:b w:val="false"/>
          <w:i w:val="false"/>
          <w:color w:val="000000"/>
          <w:sz w:val="28"/>
        </w:rPr>
        <w:t xml:space="preserve">
      Местными исполнительными органами совместно с Министерством индустрии и инфраструктурного развития Республики Казахстан будут приняты меры по обеспечению транспортной связности центров ФГР с моно- и малыми городами, а также селами, находящимися в зоне влияния ФГР. </w:t>
      </w:r>
    </w:p>
    <w:bookmarkEnd w:id="446"/>
    <w:bookmarkStart w:name="z489" w:id="447"/>
    <w:p>
      <w:pPr>
        <w:spacing w:after="0"/>
        <w:ind w:left="0"/>
        <w:jc w:val="both"/>
      </w:pPr>
      <w:r>
        <w:rPr>
          <w:rFonts w:ascii="Times New Roman"/>
          <w:b w:val="false"/>
          <w:i w:val="false"/>
          <w:color w:val="000000"/>
          <w:sz w:val="28"/>
        </w:rPr>
        <w:t xml:space="preserve">
      Будут приняты меры по созданию объектов придорожной инфраструктуры вдоль транзитных трасс, соответствующих международным стандартам (по типу "дорожных станций" в Японии). </w:t>
      </w:r>
    </w:p>
    <w:bookmarkEnd w:id="447"/>
    <w:bookmarkStart w:name="z490" w:id="448"/>
    <w:p>
      <w:pPr>
        <w:spacing w:after="0"/>
        <w:ind w:left="0"/>
        <w:jc w:val="both"/>
      </w:pPr>
      <w:r>
        <w:rPr>
          <w:rFonts w:ascii="Times New Roman"/>
          <w:b w:val="false"/>
          <w:i w:val="false"/>
          <w:color w:val="000000"/>
          <w:sz w:val="28"/>
        </w:rPr>
        <w:t xml:space="preserve">
      Данные меры в комплексе позволят достичь синхронного развития всех населенных пунктов в составе ФГР, совершенствовать миграционные потоки. </w:t>
      </w:r>
    </w:p>
    <w:bookmarkEnd w:id="448"/>
    <w:bookmarkStart w:name="z491" w:id="449"/>
    <w:p>
      <w:pPr>
        <w:spacing w:after="0"/>
        <w:ind w:left="0"/>
        <w:jc w:val="both"/>
      </w:pPr>
      <w:r>
        <w:rPr>
          <w:rFonts w:ascii="Times New Roman"/>
          <w:b w:val="false"/>
          <w:i w:val="false"/>
          <w:color w:val="000000"/>
          <w:sz w:val="28"/>
        </w:rPr>
        <w:t>
      В рамках Государственной программы будет завершено строительство 18 пожарных депо вместо аварийных, из них 3 - в городах, 5 - в населенных пунктах с населением пять тысяч и более, расположенных на удалении свыше 20 км от пожарных подразделений государственной противопожарной службы, строительство 4 селезадерживающих плотин, 2 селезащитных берегоукрепительных дамб, 4 снегозадерживающих щитов, 1 стабилизации русла реки, 1 противооползневого сооружения. Также будет проведена работа по поэтапному созданию систем оповещения населения в 14 областях и 3 городах республики.</w:t>
      </w:r>
    </w:p>
    <w:bookmarkEnd w:id="449"/>
    <w:bookmarkStart w:name="z492" w:id="450"/>
    <w:p>
      <w:pPr>
        <w:spacing w:after="0"/>
        <w:ind w:left="0"/>
        <w:jc w:val="both"/>
      </w:pPr>
      <w:r>
        <w:rPr>
          <w:rFonts w:ascii="Times New Roman"/>
          <w:b w:val="false"/>
          <w:i w:val="false"/>
          <w:color w:val="000000"/>
          <w:sz w:val="28"/>
        </w:rPr>
        <w:t>
      Развитие инженерной инфраструктуры в моно- и малых городах и СНП, входящих в состав ФГР, будет осуществляться для улучшения качества жизни населения, проживающего в данных населенных пунктах, путем реализации инфраструктурных проектов.</w:t>
      </w:r>
    </w:p>
    <w:bookmarkEnd w:id="450"/>
    <w:bookmarkStart w:name="z493" w:id="451"/>
    <w:p>
      <w:pPr>
        <w:spacing w:after="0"/>
        <w:ind w:left="0"/>
        <w:jc w:val="both"/>
      </w:pPr>
      <w:r>
        <w:rPr>
          <w:rFonts w:ascii="Times New Roman"/>
          <w:b w:val="false"/>
          <w:i w:val="false"/>
          <w:color w:val="000000"/>
          <w:sz w:val="28"/>
        </w:rPr>
        <w:t>
      Инфраструктурные проекты включают:</w:t>
      </w:r>
    </w:p>
    <w:bookmarkEnd w:id="451"/>
    <w:bookmarkStart w:name="z494" w:id="452"/>
    <w:p>
      <w:pPr>
        <w:spacing w:after="0"/>
        <w:ind w:left="0"/>
        <w:jc w:val="both"/>
      </w:pPr>
      <w:r>
        <w:rPr>
          <w:rFonts w:ascii="Times New Roman"/>
          <w:b w:val="false"/>
          <w:i w:val="false"/>
          <w:color w:val="000000"/>
          <w:sz w:val="28"/>
        </w:rPr>
        <w:t xml:space="preserve">
      1) строительство, капитальный ремонт объектов ЖКХ (объекты водоснабжения, канализации, системы газо-, тепло-, электроснабжения); </w:t>
      </w:r>
    </w:p>
    <w:bookmarkEnd w:id="452"/>
    <w:bookmarkStart w:name="z495" w:id="453"/>
    <w:p>
      <w:pPr>
        <w:spacing w:after="0"/>
        <w:ind w:left="0"/>
        <w:jc w:val="both"/>
      </w:pPr>
      <w:r>
        <w:rPr>
          <w:rFonts w:ascii="Times New Roman"/>
          <w:b w:val="false"/>
          <w:i w:val="false"/>
          <w:color w:val="000000"/>
          <w:sz w:val="28"/>
        </w:rPr>
        <w:t>
      2) строительство, капитальный ремонт инженерно-транспортной инфраструктуры (внутрипоселковые и внутрисельские дороги, подъездные дороги, плотины, дамбы и мосты);</w:t>
      </w:r>
    </w:p>
    <w:bookmarkEnd w:id="453"/>
    <w:bookmarkStart w:name="z496" w:id="454"/>
    <w:p>
      <w:pPr>
        <w:spacing w:after="0"/>
        <w:ind w:left="0"/>
        <w:jc w:val="both"/>
      </w:pPr>
      <w:r>
        <w:rPr>
          <w:rFonts w:ascii="Times New Roman"/>
          <w:b w:val="false"/>
          <w:i w:val="false"/>
          <w:color w:val="000000"/>
          <w:sz w:val="28"/>
        </w:rPr>
        <w:t>
      3) строительство и капитальный ремонт жилья, снос аварийного жилья;</w:t>
      </w:r>
    </w:p>
    <w:bookmarkEnd w:id="454"/>
    <w:bookmarkStart w:name="z497" w:id="455"/>
    <w:p>
      <w:pPr>
        <w:spacing w:after="0"/>
        <w:ind w:left="0"/>
        <w:jc w:val="both"/>
      </w:pPr>
      <w:r>
        <w:rPr>
          <w:rFonts w:ascii="Times New Roman"/>
          <w:b w:val="false"/>
          <w:i w:val="false"/>
          <w:color w:val="000000"/>
          <w:sz w:val="28"/>
        </w:rPr>
        <w:t>
      4) благоустройство населенных пунктов (освещение и озеленение улиц, парков, скверов, снос бесхозных объектов, обустройство полигонов ТБО, ограждений, детских игровых и спортивных площадок). Особое внимание будет уделено строительству и ремонту местных дорог от сел, входящих в состав ФГР, до города-центра.</w:t>
      </w:r>
    </w:p>
    <w:bookmarkEnd w:id="455"/>
    <w:bookmarkStart w:name="z498" w:id="456"/>
    <w:p>
      <w:pPr>
        <w:spacing w:after="0"/>
        <w:ind w:left="0"/>
        <w:jc w:val="both"/>
      </w:pPr>
      <w:r>
        <w:rPr>
          <w:rFonts w:ascii="Times New Roman"/>
          <w:b w:val="false"/>
          <w:i w:val="false"/>
          <w:color w:val="000000"/>
          <w:sz w:val="28"/>
        </w:rPr>
        <w:t>
      Вместе с тем, финансирование при необходимости строительства и реконструкции инженерной инфраструктуры (замена аварийных, отсутствие объектов) моно- и малых городов допускается независимо от их статуса и численности населения (в составе ФГР или нет).</w:t>
      </w:r>
    </w:p>
    <w:bookmarkEnd w:id="456"/>
    <w:bookmarkStart w:name="z499" w:id="457"/>
    <w:p>
      <w:pPr>
        <w:spacing w:after="0"/>
        <w:ind w:left="0"/>
        <w:jc w:val="both"/>
      </w:pPr>
      <w:r>
        <w:rPr>
          <w:rFonts w:ascii="Times New Roman"/>
          <w:b w:val="false"/>
          <w:i w:val="false"/>
          <w:color w:val="000000"/>
          <w:sz w:val="28"/>
        </w:rPr>
        <w:t>
      Диверсификация экономики и развитие малого и среднего бизнеса в моно- и малых городах, входящих в состав ФГР, будут осуществляться в рамках программ развития предпринимательства.</w:t>
      </w:r>
    </w:p>
    <w:bookmarkEnd w:id="457"/>
    <w:bookmarkStart w:name="z500" w:id="458"/>
    <w:p>
      <w:pPr>
        <w:spacing w:after="0"/>
        <w:ind w:left="0"/>
        <w:jc w:val="both"/>
      </w:pPr>
      <w:r>
        <w:rPr>
          <w:rFonts w:ascii="Times New Roman"/>
          <w:b w:val="false"/>
          <w:i w:val="false"/>
          <w:color w:val="000000"/>
          <w:sz w:val="28"/>
        </w:rPr>
        <w:t>
      В рамках данного направления будет осуществляться реализация "якорных" инвестиционных проектов (включая инструменты программ индустриализации) для долгосрочной диверсификации экономики моно- и малых городов, входящих в состав ФГР.</w:t>
      </w:r>
    </w:p>
    <w:bookmarkEnd w:id="458"/>
    <w:bookmarkStart w:name="z501" w:id="459"/>
    <w:p>
      <w:pPr>
        <w:spacing w:after="0"/>
        <w:ind w:left="0"/>
        <w:jc w:val="both"/>
      </w:pPr>
      <w:r>
        <w:rPr>
          <w:rFonts w:ascii="Times New Roman"/>
          <w:b w:val="false"/>
          <w:i w:val="false"/>
          <w:color w:val="000000"/>
          <w:sz w:val="28"/>
        </w:rPr>
        <w:t>
      Местными исполнительными органами совместно с заинтересованными центральными государственными органами будут отобраны 1-3 и более "якорных" инвестиционных проектов для реализации в моно- и малых городах.</w:t>
      </w:r>
    </w:p>
    <w:bookmarkEnd w:id="459"/>
    <w:bookmarkStart w:name="z502" w:id="460"/>
    <w:p>
      <w:pPr>
        <w:spacing w:after="0"/>
        <w:ind w:left="0"/>
        <w:jc w:val="both"/>
      </w:pPr>
      <w:r>
        <w:rPr>
          <w:rFonts w:ascii="Times New Roman"/>
          <w:b w:val="false"/>
          <w:i w:val="false"/>
          <w:color w:val="000000"/>
          <w:sz w:val="28"/>
        </w:rPr>
        <w:t>
      Развитие экономического потенциала моно- и малых городов, входящих в состав ФГР, будет осуществляться по следующим направлениям:</w:t>
      </w:r>
    </w:p>
    <w:bookmarkEnd w:id="460"/>
    <w:bookmarkStart w:name="z503" w:id="461"/>
    <w:p>
      <w:pPr>
        <w:spacing w:after="0"/>
        <w:ind w:left="0"/>
        <w:jc w:val="both"/>
      </w:pPr>
      <w:r>
        <w:rPr>
          <w:rFonts w:ascii="Times New Roman"/>
          <w:b w:val="false"/>
          <w:i w:val="false"/>
          <w:color w:val="000000"/>
          <w:sz w:val="28"/>
        </w:rPr>
        <w:t>
      1) размещение холдингами и компаниями вспомогательных и обслуживающих производств, заказов в моногородах с учетом их специфики.</w:t>
      </w:r>
    </w:p>
    <w:bookmarkEnd w:id="461"/>
    <w:bookmarkStart w:name="z504" w:id="462"/>
    <w:p>
      <w:pPr>
        <w:spacing w:after="0"/>
        <w:ind w:left="0"/>
        <w:jc w:val="both"/>
      </w:pPr>
      <w:r>
        <w:rPr>
          <w:rFonts w:ascii="Times New Roman"/>
          <w:b w:val="false"/>
          <w:i w:val="false"/>
          <w:color w:val="000000"/>
          <w:sz w:val="28"/>
        </w:rPr>
        <w:t>
      АО "ФНБ "Самрук-Казына" будут приняты меры по возможной реализации инвестиционных проектов в моногородах, исходя из специфики компании, финансово-экономической и производственной целесообразности проекта.</w:t>
      </w:r>
    </w:p>
    <w:bookmarkEnd w:id="462"/>
    <w:bookmarkStart w:name="z505" w:id="463"/>
    <w:p>
      <w:pPr>
        <w:spacing w:after="0"/>
        <w:ind w:left="0"/>
        <w:jc w:val="both"/>
      </w:pPr>
      <w:r>
        <w:rPr>
          <w:rFonts w:ascii="Times New Roman"/>
          <w:b w:val="false"/>
          <w:i w:val="false"/>
          <w:color w:val="000000"/>
          <w:sz w:val="28"/>
        </w:rPr>
        <w:t>
      2) рассмотрение градообразующими предприятиями возможности заключения долгосрочных контрактов на импортозамещающую продукцию (работы и услуги) (при условии соответствия качественным характеристикам и конкурентоспособной цене) с потенциальными инвесторами.</w:t>
      </w:r>
    </w:p>
    <w:bookmarkEnd w:id="463"/>
    <w:bookmarkStart w:name="z506" w:id="464"/>
    <w:p>
      <w:pPr>
        <w:spacing w:after="0"/>
        <w:ind w:left="0"/>
        <w:jc w:val="both"/>
      </w:pPr>
      <w:r>
        <w:rPr>
          <w:rFonts w:ascii="Times New Roman"/>
          <w:b w:val="false"/>
          <w:i w:val="false"/>
          <w:color w:val="000000"/>
          <w:sz w:val="28"/>
        </w:rPr>
        <w:t>
      Местными исполнительными органами совместно с региональными палатами предпринимателей будут приняты меры по поиску потенциальных инвесторов, готовых к реализации не менее одного инвестиционного проекта в каждом моно- и малом городе в соответствии с его специализацией и потребностью градообразующих предприятий (импортозамещение и локализация);</w:t>
      </w:r>
    </w:p>
    <w:bookmarkEnd w:id="464"/>
    <w:bookmarkStart w:name="z507" w:id="465"/>
    <w:p>
      <w:pPr>
        <w:spacing w:after="0"/>
        <w:ind w:left="0"/>
        <w:jc w:val="both"/>
      </w:pPr>
      <w:r>
        <w:rPr>
          <w:rFonts w:ascii="Times New Roman"/>
          <w:b w:val="false"/>
          <w:i w:val="false"/>
          <w:color w:val="000000"/>
          <w:sz w:val="28"/>
        </w:rPr>
        <w:t>
      3) восстановление прежней специализации в моно- и малых городах путем привлечения стратегического инвестора для модернизации действующей либо создания новой специализации.</w:t>
      </w:r>
    </w:p>
    <w:bookmarkEnd w:id="465"/>
    <w:bookmarkStart w:name="z508" w:id="466"/>
    <w:p>
      <w:pPr>
        <w:spacing w:after="0"/>
        <w:ind w:left="0"/>
        <w:jc w:val="both"/>
      </w:pPr>
      <w:r>
        <w:rPr>
          <w:rFonts w:ascii="Times New Roman"/>
          <w:b w:val="false"/>
          <w:i w:val="false"/>
          <w:color w:val="000000"/>
          <w:sz w:val="28"/>
        </w:rPr>
        <w:t>
      Также будут рассмотрены возможности предоставления права недропользования на основе прямых переговоров с уполномоченным органом в сфере недропользования для предприятий с ограниченным сроком эксплуатации отрабатываемого месторождения полезных ископаемых.</w:t>
      </w:r>
    </w:p>
    <w:bookmarkEnd w:id="466"/>
    <w:bookmarkStart w:name="z509" w:id="467"/>
    <w:p>
      <w:pPr>
        <w:spacing w:after="0"/>
        <w:ind w:left="0"/>
        <w:jc w:val="both"/>
      </w:pPr>
      <w:r>
        <w:rPr>
          <w:rFonts w:ascii="Times New Roman"/>
          <w:b w:val="false"/>
          <w:i w:val="false"/>
          <w:color w:val="000000"/>
          <w:sz w:val="28"/>
        </w:rPr>
        <w:t>
      Выявление перспективных месторождений полезных ископаемых, находящихся вблизи моно- и малых городов, с определением мер по их доразведке будет осуществляться в рамках договоров государственного задания или за счет средств частных инвесторов, заинтересованных в расширении сырьевой базы предприятий.</w:t>
      </w:r>
    </w:p>
    <w:bookmarkEnd w:id="467"/>
    <w:bookmarkStart w:name="z510" w:id="468"/>
    <w:p>
      <w:pPr>
        <w:spacing w:after="0"/>
        <w:ind w:left="0"/>
        <w:jc w:val="both"/>
      </w:pPr>
      <w:r>
        <w:rPr>
          <w:rFonts w:ascii="Times New Roman"/>
          <w:b w:val="false"/>
          <w:i w:val="false"/>
          <w:color w:val="000000"/>
          <w:sz w:val="28"/>
        </w:rPr>
        <w:t>
      Будет проведен масштабный анализ накопленной геологической информации с разработкой инвестиционной программы, и совместно с акиматами областей будут составлены комплексные планы по развитию ресурсной базы регионов.</w:t>
      </w:r>
    </w:p>
    <w:bookmarkEnd w:id="468"/>
    <w:bookmarkStart w:name="z511" w:id="469"/>
    <w:p>
      <w:pPr>
        <w:spacing w:after="0"/>
        <w:ind w:left="0"/>
        <w:jc w:val="both"/>
      </w:pPr>
      <w:r>
        <w:rPr>
          <w:rFonts w:ascii="Times New Roman"/>
          <w:b w:val="false"/>
          <w:i w:val="false"/>
          <w:color w:val="000000"/>
          <w:sz w:val="28"/>
        </w:rPr>
        <w:t>
      2. Развитие моно- и малых городов, не входящих в состав ФГР</w:t>
      </w:r>
    </w:p>
    <w:bookmarkEnd w:id="469"/>
    <w:bookmarkStart w:name="z512" w:id="470"/>
    <w:p>
      <w:pPr>
        <w:spacing w:after="0"/>
        <w:ind w:left="0"/>
        <w:jc w:val="both"/>
      </w:pPr>
      <w:r>
        <w:rPr>
          <w:rFonts w:ascii="Times New Roman"/>
          <w:b w:val="false"/>
          <w:i w:val="false"/>
          <w:color w:val="000000"/>
          <w:sz w:val="28"/>
        </w:rPr>
        <w:t>
      В рамках данного направления будут решаться следующие задачи:</w:t>
      </w:r>
    </w:p>
    <w:bookmarkEnd w:id="470"/>
    <w:bookmarkStart w:name="z513" w:id="471"/>
    <w:p>
      <w:pPr>
        <w:spacing w:after="0"/>
        <w:ind w:left="0"/>
        <w:jc w:val="both"/>
      </w:pPr>
      <w:r>
        <w:rPr>
          <w:rFonts w:ascii="Times New Roman"/>
          <w:b w:val="false"/>
          <w:i w:val="false"/>
          <w:color w:val="000000"/>
          <w:sz w:val="28"/>
        </w:rPr>
        <w:t xml:space="preserve">
      1) развитие моногородов с численностью населения более 50 тыс. человек, не входящих в состав ФГР; </w:t>
      </w:r>
    </w:p>
    <w:bookmarkEnd w:id="471"/>
    <w:bookmarkStart w:name="z514" w:id="472"/>
    <w:p>
      <w:pPr>
        <w:spacing w:after="0"/>
        <w:ind w:left="0"/>
        <w:jc w:val="both"/>
      </w:pPr>
      <w:r>
        <w:rPr>
          <w:rFonts w:ascii="Times New Roman"/>
          <w:b w:val="false"/>
          <w:i w:val="false"/>
          <w:color w:val="000000"/>
          <w:sz w:val="28"/>
        </w:rPr>
        <w:t>
      2) развитие приграничных моно- и малых городов с прилегающими территориями.</w:t>
      </w:r>
    </w:p>
    <w:bookmarkEnd w:id="472"/>
    <w:bookmarkStart w:name="z515" w:id="473"/>
    <w:p>
      <w:pPr>
        <w:spacing w:after="0"/>
        <w:ind w:left="0"/>
        <w:jc w:val="both"/>
      </w:pPr>
      <w:r>
        <w:rPr>
          <w:rFonts w:ascii="Times New Roman"/>
          <w:b w:val="false"/>
          <w:i w:val="false"/>
          <w:color w:val="000000"/>
          <w:sz w:val="28"/>
        </w:rPr>
        <w:t xml:space="preserve">
      Развитие моногородов с численностью населения более 50 тыс. человек, не входящих в состав ФГР </w:t>
      </w:r>
    </w:p>
    <w:bookmarkEnd w:id="473"/>
    <w:bookmarkStart w:name="z516" w:id="474"/>
    <w:p>
      <w:pPr>
        <w:spacing w:after="0"/>
        <w:ind w:left="0"/>
        <w:jc w:val="both"/>
      </w:pPr>
      <w:r>
        <w:rPr>
          <w:rFonts w:ascii="Times New Roman"/>
          <w:b w:val="false"/>
          <w:i w:val="false"/>
          <w:color w:val="000000"/>
          <w:sz w:val="28"/>
        </w:rPr>
        <w:t>
      Для решения данной задачи предусматриваются:</w:t>
      </w:r>
    </w:p>
    <w:bookmarkEnd w:id="474"/>
    <w:bookmarkStart w:name="z517" w:id="475"/>
    <w:p>
      <w:pPr>
        <w:spacing w:after="0"/>
        <w:ind w:left="0"/>
        <w:jc w:val="both"/>
      </w:pPr>
      <w:r>
        <w:rPr>
          <w:rFonts w:ascii="Times New Roman"/>
          <w:b w:val="false"/>
          <w:i w:val="false"/>
          <w:color w:val="000000"/>
          <w:sz w:val="28"/>
        </w:rPr>
        <w:t>
      1) развитие малого и среднего бизнеса в моно- и малых городах в рамках Государственной программы поддержки и развития бизнеса "Дорожная карта бизнеса - 2025", Государственной программы развития продуктивной занятости и массового предпринимательства на 2017 - 2021 годы "Еңбек";</w:t>
      </w:r>
    </w:p>
    <w:bookmarkEnd w:id="475"/>
    <w:bookmarkStart w:name="z518" w:id="476"/>
    <w:p>
      <w:pPr>
        <w:spacing w:after="0"/>
        <w:ind w:left="0"/>
        <w:jc w:val="both"/>
      </w:pPr>
      <w:r>
        <w:rPr>
          <w:rFonts w:ascii="Times New Roman"/>
          <w:b w:val="false"/>
          <w:i w:val="false"/>
          <w:color w:val="000000"/>
          <w:sz w:val="28"/>
        </w:rPr>
        <w:t xml:space="preserve">
      2) обеспечение базовыми государственными и социальными услугами, предусмотренными законодательством Республики Казахстан, системой региональных стандартов. </w:t>
      </w:r>
    </w:p>
    <w:bookmarkEnd w:id="476"/>
    <w:bookmarkStart w:name="z519" w:id="477"/>
    <w:p>
      <w:pPr>
        <w:spacing w:after="0"/>
        <w:ind w:left="0"/>
        <w:jc w:val="both"/>
      </w:pPr>
      <w:r>
        <w:rPr>
          <w:rFonts w:ascii="Times New Roman"/>
          <w:b w:val="false"/>
          <w:i w:val="false"/>
          <w:color w:val="000000"/>
          <w:sz w:val="28"/>
        </w:rPr>
        <w:t>
      Проектами государственных программ развития образования и науки Республики Казахстан на 2020-2024 годы, развития здравоохранения Республики Казахстан на 2020-2025 годы предусмотрены меры по повышению человеческого капитала молодежи в городах, не входящих в состав ФГР. Это позволит молодежи моно- и малых городов быть конкурентоспособными на рынках труда крупных городов.</w:t>
      </w:r>
    </w:p>
    <w:bookmarkEnd w:id="477"/>
    <w:bookmarkStart w:name="z520" w:id="478"/>
    <w:p>
      <w:pPr>
        <w:spacing w:after="0"/>
        <w:ind w:left="0"/>
        <w:jc w:val="both"/>
      </w:pPr>
      <w:r>
        <w:rPr>
          <w:rFonts w:ascii="Times New Roman"/>
          <w:b w:val="false"/>
          <w:i w:val="false"/>
          <w:color w:val="000000"/>
          <w:sz w:val="28"/>
        </w:rPr>
        <w:t xml:space="preserve">
      Текущая занятость населения данных городов будет поддерживаться в рамках Программы развития продуктивной занятости и массового предпринимательства на 2017 - 2021 годы "Енбек", Государственной программы поддержки и развития бизнеса "Дорожная карта бизнеса - 2025". </w:t>
      </w:r>
    </w:p>
    <w:bookmarkEnd w:id="478"/>
    <w:bookmarkStart w:name="z521" w:id="479"/>
    <w:p>
      <w:pPr>
        <w:spacing w:after="0"/>
        <w:ind w:left="0"/>
        <w:jc w:val="both"/>
      </w:pPr>
      <w:r>
        <w:rPr>
          <w:rFonts w:ascii="Times New Roman"/>
          <w:b w:val="false"/>
          <w:i w:val="false"/>
          <w:color w:val="000000"/>
          <w:sz w:val="28"/>
        </w:rPr>
        <w:t xml:space="preserve">
      В целом государственная политика в отношении отдаленных, не связанных с ФГР, моно- и малыми городами, будет направлена на содействие отселению их населения в крупные и большие города, массовое строительство арендного и коммунального жилья в крупных и больших городах областей, повышение интеллектуального потенциала молодежи отдаленных моно- и малых городов. </w:t>
      </w:r>
    </w:p>
    <w:bookmarkEnd w:id="479"/>
    <w:bookmarkStart w:name="z522" w:id="480"/>
    <w:p>
      <w:pPr>
        <w:spacing w:after="0"/>
        <w:ind w:left="0"/>
        <w:jc w:val="both"/>
      </w:pPr>
      <w:r>
        <w:rPr>
          <w:rFonts w:ascii="Times New Roman"/>
          <w:b w:val="false"/>
          <w:i w:val="false"/>
          <w:color w:val="000000"/>
          <w:sz w:val="28"/>
        </w:rPr>
        <w:t>
      Диверсификация экономики путем реализации "якорных" инвестиционных проектов, размещения холдингами и компаниями, градообразующими предприятиями вспомогательных и обслуживающих производств получит меры государственной поддержки в исключительных случаях. А именно, если продукция нового производства обрабатывающей промышленности на долгосрочную перспективу имеет экономически доказанный экспортный потенциал.</w:t>
      </w:r>
    </w:p>
    <w:bookmarkEnd w:id="480"/>
    <w:bookmarkStart w:name="z523" w:id="481"/>
    <w:p>
      <w:pPr>
        <w:spacing w:after="0"/>
        <w:ind w:left="0"/>
        <w:jc w:val="both"/>
      </w:pPr>
      <w:r>
        <w:rPr>
          <w:rFonts w:ascii="Times New Roman"/>
          <w:b w:val="false"/>
          <w:i w:val="false"/>
          <w:color w:val="000000"/>
          <w:sz w:val="28"/>
        </w:rPr>
        <w:t xml:space="preserve">
      Вместе с тем, в моногородах, имеющих население более 50 тыс. человек, акиматами областей будут приниматься дополнительные меры по экономическому возрождению (диверсификации экономики), поскольку данные населенные пункты имеют значительный потенциал специалистов и рабочих высокой квалификации и в случае внезапной остановки работы градообразующих предприятий необходимо трудоустраивать большие коллективы сотрудников. </w:t>
      </w:r>
    </w:p>
    <w:bookmarkEnd w:id="481"/>
    <w:bookmarkStart w:name="z524" w:id="482"/>
    <w:p>
      <w:pPr>
        <w:spacing w:after="0"/>
        <w:ind w:left="0"/>
        <w:jc w:val="both"/>
      </w:pPr>
      <w:r>
        <w:rPr>
          <w:rFonts w:ascii="Times New Roman"/>
          <w:b w:val="false"/>
          <w:i w:val="false"/>
          <w:color w:val="000000"/>
          <w:sz w:val="28"/>
        </w:rPr>
        <w:t xml:space="preserve">
      По опыту Российской Федерации будут проработаны вопросы создания территорий опережающего развития (далее - ТОР). В России ТОРы создаются на 70 лет под конкретных крупных инвесторов. </w:t>
      </w:r>
    </w:p>
    <w:bookmarkEnd w:id="482"/>
    <w:bookmarkStart w:name="z525" w:id="483"/>
    <w:p>
      <w:pPr>
        <w:spacing w:after="0"/>
        <w:ind w:left="0"/>
        <w:jc w:val="both"/>
      </w:pPr>
      <w:r>
        <w:rPr>
          <w:rFonts w:ascii="Times New Roman"/>
          <w:b w:val="false"/>
          <w:i w:val="false"/>
          <w:color w:val="000000"/>
          <w:sz w:val="28"/>
        </w:rPr>
        <w:t xml:space="preserve">
      В ТОРах разрешено вести разработку месторождений полезных ископаемых и производить подакцизные товары. </w:t>
      </w:r>
    </w:p>
    <w:bookmarkEnd w:id="483"/>
    <w:bookmarkStart w:name="z526" w:id="484"/>
    <w:p>
      <w:pPr>
        <w:spacing w:after="0"/>
        <w:ind w:left="0"/>
        <w:jc w:val="both"/>
      </w:pPr>
      <w:r>
        <w:rPr>
          <w:rFonts w:ascii="Times New Roman"/>
          <w:b w:val="false"/>
          <w:i w:val="false"/>
          <w:color w:val="000000"/>
          <w:sz w:val="28"/>
        </w:rPr>
        <w:t>
      Развитие приграничных моно- и малых городов с прилегающими территориями</w:t>
      </w:r>
    </w:p>
    <w:bookmarkEnd w:id="484"/>
    <w:bookmarkStart w:name="z527" w:id="485"/>
    <w:p>
      <w:pPr>
        <w:spacing w:after="0"/>
        <w:ind w:left="0"/>
        <w:jc w:val="both"/>
      </w:pPr>
      <w:r>
        <w:rPr>
          <w:rFonts w:ascii="Times New Roman"/>
          <w:b w:val="false"/>
          <w:i w:val="false"/>
          <w:color w:val="000000"/>
          <w:sz w:val="28"/>
        </w:rPr>
        <w:t>
      Будет продолжено развитие приграничных моно- и малых городов, в том числе путем развития и обустройства инфраструктуры пунктов приграничного сотрудничества, транспортно-логистической инфраструктуры.</w:t>
      </w:r>
    </w:p>
    <w:bookmarkEnd w:id="485"/>
    <w:bookmarkStart w:name="z528" w:id="486"/>
    <w:p>
      <w:pPr>
        <w:spacing w:after="0"/>
        <w:ind w:left="0"/>
        <w:jc w:val="both"/>
      </w:pPr>
      <w:r>
        <w:rPr>
          <w:rFonts w:ascii="Times New Roman"/>
          <w:b w:val="false"/>
          <w:i w:val="false"/>
          <w:color w:val="000000"/>
          <w:sz w:val="28"/>
        </w:rPr>
        <w:t xml:space="preserve">
      Развитие инфраструктуры сервисных центров вокруг пунктов пропуска через Государственную границу и прилегающих к ним (пунктам пропуска) населенных пунктов позволит организовать дополнительные возможности для занятости населения, а также обеспечить условия для повышения транзитно-транспортного потенциала страны. </w:t>
      </w:r>
    </w:p>
    <w:bookmarkEnd w:id="486"/>
    <w:bookmarkStart w:name="z529" w:id="487"/>
    <w:p>
      <w:pPr>
        <w:spacing w:after="0"/>
        <w:ind w:left="0"/>
        <w:jc w:val="both"/>
      </w:pPr>
      <w:r>
        <w:rPr>
          <w:rFonts w:ascii="Times New Roman"/>
          <w:b w:val="false"/>
          <w:i w:val="false"/>
          <w:color w:val="000000"/>
          <w:sz w:val="28"/>
        </w:rPr>
        <w:t>
      Малые города, находящиеся на приграничных территориях (Жаркент, Зайсан, Сарыагаш, Шардара, Шемонаиха, Мамлютка, Булаево, Жетысай), а также моногород Житикара получат дополнительные меры государственной поддержки по обустройству в рамках программ развития соответствующих областей и комплексных планов развития приграничных территорий, принимаемых Правительством Республики Казахстан и местными исполнительными органами областей. Это связано с тем, что данные города являются форпостами пограничного и таможенного контроля. В этой связи будут приниматься меры по модернизации пунктов пропуска на приграничных территориях.</w:t>
      </w:r>
    </w:p>
    <w:bookmarkEnd w:id="487"/>
    <w:bookmarkStart w:name="z530" w:id="488"/>
    <w:p>
      <w:pPr>
        <w:spacing w:after="0"/>
        <w:ind w:left="0"/>
        <w:jc w:val="both"/>
      </w:pPr>
      <w:r>
        <w:rPr>
          <w:rFonts w:ascii="Times New Roman"/>
          <w:b w:val="false"/>
          <w:i w:val="false"/>
          <w:color w:val="000000"/>
          <w:sz w:val="28"/>
        </w:rPr>
        <w:t>
      В целом по всем моно- и малым городам будет проведена работа по классификации приоритетов их развития с учетом остроты текущих проблем и оценки потенциала развития на горизонте 5, 10, 20 лет.</w:t>
      </w:r>
    </w:p>
    <w:bookmarkEnd w:id="488"/>
    <w:bookmarkStart w:name="z531" w:id="489"/>
    <w:p>
      <w:pPr>
        <w:spacing w:after="0"/>
        <w:ind w:left="0"/>
        <w:jc w:val="both"/>
      </w:pPr>
      <w:r>
        <w:rPr>
          <w:rFonts w:ascii="Times New Roman"/>
          <w:b w:val="false"/>
          <w:i w:val="false"/>
          <w:color w:val="000000"/>
          <w:sz w:val="28"/>
        </w:rPr>
        <w:t xml:space="preserve">
      С учетом результатов оценки местными исполнительными органами будут разработаны планы экономического развития моно- и малых городов в составе программ развития территорий (областей). </w:t>
      </w:r>
    </w:p>
    <w:bookmarkEnd w:id="489"/>
    <w:bookmarkStart w:name="z532" w:id="490"/>
    <w:p>
      <w:pPr>
        <w:spacing w:after="0"/>
        <w:ind w:left="0"/>
        <w:jc w:val="both"/>
      </w:pPr>
      <w:r>
        <w:rPr>
          <w:rFonts w:ascii="Times New Roman"/>
          <w:b w:val="false"/>
          <w:i w:val="false"/>
          <w:color w:val="000000"/>
          <w:sz w:val="28"/>
        </w:rPr>
        <w:t xml:space="preserve">
      В целом развитие инженерной и социальной инфраструктуры перспективных населенных пунктов, в том числе в составе ФГР и вне ФГР -моногородов с населением более 50 тыс. человек, приграничных моно- и малых городов также будет осуществляться через реализуемые государственные программы. </w:t>
      </w:r>
    </w:p>
    <w:bookmarkEnd w:id="490"/>
    <w:bookmarkStart w:name="z533" w:id="491"/>
    <w:p>
      <w:pPr>
        <w:spacing w:after="0"/>
        <w:ind w:left="0"/>
        <w:jc w:val="both"/>
      </w:pPr>
      <w:r>
        <w:rPr>
          <w:rFonts w:ascii="Times New Roman"/>
          <w:b w:val="false"/>
          <w:i w:val="false"/>
          <w:color w:val="000000"/>
          <w:sz w:val="28"/>
        </w:rPr>
        <w:t xml:space="preserve">
      3. Развитие СНП </w:t>
      </w:r>
    </w:p>
    <w:bookmarkEnd w:id="491"/>
    <w:bookmarkStart w:name="z534" w:id="492"/>
    <w:p>
      <w:pPr>
        <w:spacing w:after="0"/>
        <w:ind w:left="0"/>
        <w:jc w:val="both"/>
      </w:pPr>
      <w:r>
        <w:rPr>
          <w:rFonts w:ascii="Times New Roman"/>
          <w:b w:val="false"/>
          <w:i w:val="false"/>
          <w:color w:val="000000"/>
          <w:sz w:val="28"/>
        </w:rPr>
        <w:t>
      Достижение поставленной задачи по развитию СНП будет осуществляться согласно следующим приоритетным направлениям:</w:t>
      </w:r>
    </w:p>
    <w:bookmarkEnd w:id="492"/>
    <w:bookmarkStart w:name="z535" w:id="493"/>
    <w:p>
      <w:pPr>
        <w:spacing w:after="0"/>
        <w:ind w:left="0"/>
        <w:jc w:val="both"/>
      </w:pPr>
      <w:r>
        <w:rPr>
          <w:rFonts w:ascii="Times New Roman"/>
          <w:b w:val="false"/>
          <w:i w:val="false"/>
          <w:color w:val="000000"/>
          <w:sz w:val="28"/>
        </w:rPr>
        <w:t>
      1) развитие опорных СНП, включая районные центры;</w:t>
      </w:r>
    </w:p>
    <w:bookmarkEnd w:id="493"/>
    <w:bookmarkStart w:name="z536" w:id="494"/>
    <w:p>
      <w:pPr>
        <w:spacing w:after="0"/>
        <w:ind w:left="0"/>
        <w:jc w:val="both"/>
      </w:pPr>
      <w:r>
        <w:rPr>
          <w:rFonts w:ascii="Times New Roman"/>
          <w:b w:val="false"/>
          <w:i w:val="false"/>
          <w:color w:val="000000"/>
          <w:sz w:val="28"/>
        </w:rPr>
        <w:t>
      2) развитие других СНП;</w:t>
      </w:r>
    </w:p>
    <w:bookmarkEnd w:id="494"/>
    <w:bookmarkStart w:name="z537" w:id="495"/>
    <w:p>
      <w:pPr>
        <w:spacing w:after="0"/>
        <w:ind w:left="0"/>
        <w:jc w:val="both"/>
      </w:pPr>
      <w:r>
        <w:rPr>
          <w:rFonts w:ascii="Times New Roman"/>
          <w:b w:val="false"/>
          <w:i w:val="false"/>
          <w:color w:val="000000"/>
          <w:sz w:val="28"/>
        </w:rPr>
        <w:t>
      3) повышение кадрового потенциала сельской местности;</w:t>
      </w:r>
    </w:p>
    <w:bookmarkEnd w:id="495"/>
    <w:bookmarkStart w:name="z538" w:id="496"/>
    <w:p>
      <w:pPr>
        <w:spacing w:after="0"/>
        <w:ind w:left="0"/>
        <w:jc w:val="both"/>
      </w:pPr>
      <w:r>
        <w:rPr>
          <w:rFonts w:ascii="Times New Roman"/>
          <w:b w:val="false"/>
          <w:i w:val="false"/>
          <w:color w:val="000000"/>
          <w:sz w:val="28"/>
        </w:rPr>
        <w:t>
      4) развитие приграничных сельских территорий.</w:t>
      </w:r>
    </w:p>
    <w:bookmarkEnd w:id="496"/>
    <w:bookmarkStart w:name="z539" w:id="497"/>
    <w:p>
      <w:pPr>
        <w:spacing w:after="0"/>
        <w:ind w:left="0"/>
        <w:jc w:val="both"/>
      </w:pPr>
      <w:r>
        <w:rPr>
          <w:rFonts w:ascii="Times New Roman"/>
          <w:b w:val="false"/>
          <w:i w:val="false"/>
          <w:color w:val="000000"/>
          <w:sz w:val="28"/>
        </w:rPr>
        <w:t xml:space="preserve">
      Для оценки текущего состояния сельских территорий местными исполнительными органами будет осуществлен мониторинг производственной, социальной и инженерной инфраструктур СНП и на его основе будет определен потенциал их развития в соответствии с критериями для определения потенциала социально-экономического развития СНП, разработанными и утвержденными уполномоченным органом в сфере регионального развития. </w:t>
      </w:r>
    </w:p>
    <w:bookmarkEnd w:id="497"/>
    <w:bookmarkStart w:name="z540" w:id="498"/>
    <w:p>
      <w:pPr>
        <w:spacing w:after="0"/>
        <w:ind w:left="0"/>
        <w:jc w:val="both"/>
      </w:pPr>
      <w:r>
        <w:rPr>
          <w:rFonts w:ascii="Times New Roman"/>
          <w:b w:val="false"/>
          <w:i w:val="false"/>
          <w:color w:val="000000"/>
          <w:sz w:val="28"/>
        </w:rPr>
        <w:t>
      Одним из основных подходов по критериям является кластерный подход, где СНП рассматриваются в рамках локализованных групп - кластеров (в радиусе 10-15 км от опорного села), а не по отдельности, что позволяет сформировать более целостную картину по охвату населения, особенно относительно инфраструктуры общего пользования.</w:t>
      </w:r>
    </w:p>
    <w:bookmarkEnd w:id="498"/>
    <w:bookmarkStart w:name="z541" w:id="499"/>
    <w:p>
      <w:pPr>
        <w:spacing w:after="0"/>
        <w:ind w:left="0"/>
        <w:jc w:val="both"/>
      </w:pPr>
      <w:r>
        <w:rPr>
          <w:rFonts w:ascii="Times New Roman"/>
          <w:b w:val="false"/>
          <w:i w:val="false"/>
          <w:color w:val="000000"/>
          <w:sz w:val="28"/>
        </w:rPr>
        <w:t xml:space="preserve">
      Развитие опорных СНП, включая районные центры </w:t>
      </w:r>
    </w:p>
    <w:bookmarkEnd w:id="499"/>
    <w:bookmarkStart w:name="z542" w:id="500"/>
    <w:p>
      <w:pPr>
        <w:spacing w:after="0"/>
        <w:ind w:left="0"/>
        <w:jc w:val="both"/>
      </w:pPr>
      <w:r>
        <w:rPr>
          <w:rFonts w:ascii="Times New Roman"/>
          <w:b w:val="false"/>
          <w:i w:val="false"/>
          <w:color w:val="000000"/>
          <w:sz w:val="28"/>
        </w:rPr>
        <w:t>
      Развитие опорных СНП будет осуществляться в рамках реализации проекта "Ауыл - Ел бесігі".</w:t>
      </w:r>
    </w:p>
    <w:bookmarkEnd w:id="500"/>
    <w:bookmarkStart w:name="z543" w:id="501"/>
    <w:p>
      <w:pPr>
        <w:spacing w:after="0"/>
        <w:ind w:left="0"/>
        <w:jc w:val="both"/>
      </w:pPr>
      <w:r>
        <w:rPr>
          <w:rFonts w:ascii="Times New Roman"/>
          <w:b w:val="false"/>
          <w:i w:val="false"/>
          <w:color w:val="000000"/>
          <w:sz w:val="28"/>
        </w:rPr>
        <w:t>
      Опорные СНП характеризуются в основном по плотности населения, доступностью инфраструктуры, перспективой организации рабочих мест и транспортной логистикой.</w:t>
      </w:r>
    </w:p>
    <w:bookmarkEnd w:id="501"/>
    <w:bookmarkStart w:name="z544" w:id="502"/>
    <w:p>
      <w:pPr>
        <w:spacing w:after="0"/>
        <w:ind w:left="0"/>
        <w:jc w:val="both"/>
      </w:pPr>
      <w:r>
        <w:rPr>
          <w:rFonts w:ascii="Times New Roman"/>
          <w:b w:val="false"/>
          <w:i w:val="false"/>
          <w:color w:val="000000"/>
          <w:sz w:val="28"/>
        </w:rPr>
        <w:t>
      Данные села подразделяются на две категории:</w:t>
      </w:r>
    </w:p>
    <w:bookmarkEnd w:id="502"/>
    <w:bookmarkStart w:name="z545" w:id="503"/>
    <w:p>
      <w:pPr>
        <w:spacing w:after="0"/>
        <w:ind w:left="0"/>
        <w:jc w:val="both"/>
      </w:pPr>
      <w:r>
        <w:rPr>
          <w:rFonts w:ascii="Times New Roman"/>
          <w:b w:val="false"/>
          <w:i w:val="false"/>
          <w:color w:val="000000"/>
          <w:sz w:val="28"/>
        </w:rPr>
        <w:t xml:space="preserve">
      1) села, входящие в состав ФГР; </w:t>
      </w:r>
    </w:p>
    <w:bookmarkEnd w:id="503"/>
    <w:bookmarkStart w:name="z546" w:id="504"/>
    <w:p>
      <w:pPr>
        <w:spacing w:after="0"/>
        <w:ind w:left="0"/>
        <w:jc w:val="both"/>
      </w:pPr>
      <w:r>
        <w:rPr>
          <w:rFonts w:ascii="Times New Roman"/>
          <w:b w:val="false"/>
          <w:i w:val="false"/>
          <w:color w:val="000000"/>
          <w:sz w:val="28"/>
        </w:rPr>
        <w:t>
      2) села вне ФГР, которые имеют потенциал развития.</w:t>
      </w:r>
    </w:p>
    <w:bookmarkEnd w:id="504"/>
    <w:bookmarkStart w:name="z547" w:id="505"/>
    <w:p>
      <w:pPr>
        <w:spacing w:after="0"/>
        <w:ind w:left="0"/>
        <w:jc w:val="both"/>
      </w:pPr>
      <w:r>
        <w:rPr>
          <w:rFonts w:ascii="Times New Roman"/>
          <w:b w:val="false"/>
          <w:i w:val="false"/>
          <w:color w:val="000000"/>
          <w:sz w:val="28"/>
        </w:rPr>
        <w:t>
      СНП, входящие в состав ФГР, как отмечено выше в подразделах по развитию агломераций и городов "второго уровня", будут развиваться синхронно с их городами-центрами (строительство/модернизация инженерной, транспортной инфраструктуры и другие).</w:t>
      </w:r>
    </w:p>
    <w:bookmarkEnd w:id="505"/>
    <w:bookmarkStart w:name="z548" w:id="506"/>
    <w:p>
      <w:pPr>
        <w:spacing w:after="0"/>
        <w:ind w:left="0"/>
        <w:jc w:val="both"/>
      </w:pPr>
      <w:r>
        <w:rPr>
          <w:rFonts w:ascii="Times New Roman"/>
          <w:b w:val="false"/>
          <w:i w:val="false"/>
          <w:color w:val="000000"/>
          <w:sz w:val="28"/>
        </w:rPr>
        <w:t>
      По СНП, входящим и не входящим в состав ФГР, будет продолжена реализация проекта "Ауыл - Ел бесігі". Это позволит модернизировать социальную и инженерную инфраструктуру около 1,1 тыс. СНП, имеющих высокий потенциал развития (опорные села).</w:t>
      </w:r>
    </w:p>
    <w:bookmarkEnd w:id="506"/>
    <w:bookmarkStart w:name="z549" w:id="507"/>
    <w:p>
      <w:pPr>
        <w:spacing w:after="0"/>
        <w:ind w:left="0"/>
        <w:jc w:val="both"/>
      </w:pPr>
      <w:r>
        <w:rPr>
          <w:rFonts w:ascii="Times New Roman"/>
          <w:b w:val="false"/>
          <w:i w:val="false"/>
          <w:color w:val="000000"/>
          <w:sz w:val="28"/>
        </w:rPr>
        <w:t>
      Реализация проекта "Ауыл - Ел бесігі" позволит улучшить не только качество жизни сельского населения в опорных СНП, но и развивать их как центры предоставления государственных и социальных услуг, предусмотренных законодательством Казахстана, для более 2,0 тыс. СНП, находящихся на расстоянии не более 10-15 км от опорных сел.</w:t>
      </w:r>
    </w:p>
    <w:bookmarkEnd w:id="507"/>
    <w:bookmarkStart w:name="z550" w:id="508"/>
    <w:p>
      <w:pPr>
        <w:spacing w:after="0"/>
        <w:ind w:left="0"/>
        <w:jc w:val="both"/>
      </w:pPr>
      <w:r>
        <w:rPr>
          <w:rFonts w:ascii="Times New Roman"/>
          <w:b w:val="false"/>
          <w:i w:val="false"/>
          <w:color w:val="000000"/>
          <w:sz w:val="28"/>
        </w:rPr>
        <w:t xml:space="preserve">
      В целом реализация проекта "Ауыл - Ел бесігі" осуществляется в рамках трех базовых направлений - это модернизация сельских территорий, развитие агропромышленного комплекса (АПК) и модернизация общественного сознания, направленного на изменение отношения общества к аулу и признание высокого статуса человеческого труда на селе. </w:t>
      </w:r>
    </w:p>
    <w:bookmarkEnd w:id="508"/>
    <w:bookmarkStart w:name="z551" w:id="509"/>
    <w:p>
      <w:pPr>
        <w:spacing w:after="0"/>
        <w:ind w:left="0"/>
        <w:jc w:val="both"/>
      </w:pPr>
      <w:r>
        <w:rPr>
          <w:rFonts w:ascii="Times New Roman"/>
          <w:b w:val="false"/>
          <w:i w:val="false"/>
          <w:color w:val="000000"/>
          <w:sz w:val="28"/>
        </w:rPr>
        <w:t xml:space="preserve">
      В рамках проекта "Ауыл - Ел бесігі" предусматриваются мероприятия по финансированию расходов на: </w:t>
      </w:r>
    </w:p>
    <w:bookmarkEnd w:id="509"/>
    <w:bookmarkStart w:name="z552" w:id="510"/>
    <w:p>
      <w:pPr>
        <w:spacing w:after="0"/>
        <w:ind w:left="0"/>
        <w:jc w:val="both"/>
      </w:pPr>
      <w:r>
        <w:rPr>
          <w:rFonts w:ascii="Times New Roman"/>
          <w:b w:val="false"/>
          <w:i w:val="false"/>
          <w:color w:val="000000"/>
          <w:sz w:val="28"/>
        </w:rPr>
        <w:t>
      1) капитальный, средний и текущий ремонты объектов ЖКХ (объекты водоснабжения, канализации, системы газо-, тепло-, электроснабжения);</w:t>
      </w:r>
    </w:p>
    <w:bookmarkEnd w:id="510"/>
    <w:bookmarkStart w:name="z553" w:id="511"/>
    <w:p>
      <w:pPr>
        <w:spacing w:after="0"/>
        <w:ind w:left="0"/>
        <w:jc w:val="both"/>
      </w:pPr>
      <w:r>
        <w:rPr>
          <w:rFonts w:ascii="Times New Roman"/>
          <w:b w:val="false"/>
          <w:i w:val="false"/>
          <w:color w:val="000000"/>
          <w:sz w:val="28"/>
        </w:rPr>
        <w:t>
      2) капитальный и текущий ремонты социально-культурных объектов (объекты образования, здравоохранения, социального обеспечения, культуры, спорта);</w:t>
      </w:r>
    </w:p>
    <w:bookmarkEnd w:id="511"/>
    <w:bookmarkStart w:name="z554" w:id="512"/>
    <w:p>
      <w:pPr>
        <w:spacing w:after="0"/>
        <w:ind w:left="0"/>
        <w:jc w:val="both"/>
      </w:pPr>
      <w:r>
        <w:rPr>
          <w:rFonts w:ascii="Times New Roman"/>
          <w:b w:val="false"/>
          <w:i w:val="false"/>
          <w:color w:val="000000"/>
          <w:sz w:val="28"/>
        </w:rPr>
        <w:t>
      3) капитальный, средний и текущий ремонты инженерно-транспортной инфраструктуры (внутрипоселковые и внутрисельские дороги, подъездные дороги);</w:t>
      </w:r>
    </w:p>
    <w:bookmarkEnd w:id="512"/>
    <w:bookmarkStart w:name="z555" w:id="513"/>
    <w:p>
      <w:pPr>
        <w:spacing w:after="0"/>
        <w:ind w:left="0"/>
        <w:jc w:val="both"/>
      </w:pPr>
      <w:r>
        <w:rPr>
          <w:rFonts w:ascii="Times New Roman"/>
          <w:b w:val="false"/>
          <w:i w:val="false"/>
          <w:color w:val="000000"/>
          <w:sz w:val="28"/>
        </w:rPr>
        <w:t xml:space="preserve">
      4) строительство и реконструкция оборудования и сетей водо-, тепло-, газо-, электроснабжения, инженерно-коммуникационной инфраструктуры, спорта, культуры, здравоохранения, образования. </w:t>
      </w:r>
    </w:p>
    <w:bookmarkEnd w:id="513"/>
    <w:bookmarkStart w:name="z556" w:id="514"/>
    <w:p>
      <w:pPr>
        <w:spacing w:after="0"/>
        <w:ind w:left="0"/>
        <w:jc w:val="both"/>
      </w:pPr>
      <w:r>
        <w:rPr>
          <w:rFonts w:ascii="Times New Roman"/>
          <w:b w:val="false"/>
          <w:i w:val="false"/>
          <w:color w:val="000000"/>
          <w:sz w:val="28"/>
        </w:rPr>
        <w:t>
      При этом, акиматы областей при отборе мероприятий, предусмотренных к реализации в рамках проекта "Ауыл - Ел бесігі", должны исключать мероприятия, финансируемые по другим государственным программам.</w:t>
      </w:r>
    </w:p>
    <w:bookmarkEnd w:id="514"/>
    <w:bookmarkStart w:name="z557" w:id="515"/>
    <w:p>
      <w:pPr>
        <w:spacing w:after="0"/>
        <w:ind w:left="0"/>
        <w:jc w:val="both"/>
      </w:pPr>
      <w:r>
        <w:rPr>
          <w:rFonts w:ascii="Times New Roman"/>
          <w:b w:val="false"/>
          <w:i w:val="false"/>
          <w:color w:val="000000"/>
          <w:sz w:val="28"/>
        </w:rPr>
        <w:t xml:space="preserve">
      Отбор СНП для реализации проекта "Ауыл - Ел бесігі" осуществляется акиматами областей исходя из административного статуса, наличия перспективности развития, численности населения, приграничного расположения и других показателей, характеризующих потенциал социально-экономического развития СНП. </w:t>
      </w:r>
    </w:p>
    <w:bookmarkEnd w:id="515"/>
    <w:bookmarkStart w:name="z558" w:id="516"/>
    <w:p>
      <w:pPr>
        <w:spacing w:after="0"/>
        <w:ind w:left="0"/>
        <w:jc w:val="both"/>
      </w:pPr>
      <w:r>
        <w:rPr>
          <w:rFonts w:ascii="Times New Roman"/>
          <w:b w:val="false"/>
          <w:i w:val="false"/>
          <w:color w:val="000000"/>
          <w:sz w:val="28"/>
        </w:rPr>
        <w:t>
      Перечень отобранных СНП направляется на рассмотрение и одобрение в уполномоченный орган по региональному развитию.</w:t>
      </w:r>
    </w:p>
    <w:bookmarkEnd w:id="516"/>
    <w:bookmarkStart w:name="z559" w:id="517"/>
    <w:p>
      <w:pPr>
        <w:spacing w:after="0"/>
        <w:ind w:left="0"/>
        <w:jc w:val="both"/>
      </w:pPr>
      <w:r>
        <w:rPr>
          <w:rFonts w:ascii="Times New Roman"/>
          <w:b w:val="false"/>
          <w:i w:val="false"/>
          <w:color w:val="000000"/>
          <w:sz w:val="28"/>
        </w:rPr>
        <w:t>
      Реализация данного направления позволит решить вопросы доступности к гарантированным государственным, социальным и коммерческим услугам в опорных СНП, которые в свою очередь будут оказывать услуги определенной группе СНП, в пределах средств, предусмотренных в республиканском и местном бюджетах, а также за счет других источников.</w:t>
      </w:r>
    </w:p>
    <w:bookmarkEnd w:id="517"/>
    <w:bookmarkStart w:name="z560" w:id="518"/>
    <w:p>
      <w:pPr>
        <w:spacing w:after="0"/>
        <w:ind w:left="0"/>
        <w:jc w:val="both"/>
      </w:pPr>
      <w:r>
        <w:rPr>
          <w:rFonts w:ascii="Times New Roman"/>
          <w:b w:val="false"/>
          <w:i w:val="false"/>
          <w:color w:val="000000"/>
          <w:sz w:val="28"/>
        </w:rPr>
        <w:t>
      Будут приниматься меры по развитию человеческого капитала молодежи на селе. Так в рамках модернизации социальной и транспортной инфраструктуры в рамках программ развития территорий и проекта "Ауыл - Ел бесігі" (концентрация социальных объектов в опорных селах, улучшение связности опорных сел с окружающими их (опорные села) селами на расстоянии 10-15 км) акиматами областей будут приняты меры по сокращению МКШ. При этом будет учитываться, что возможно сокращение школ основного среднего и общего среднего образования, не затрагивая малокомплектные начальные школы, где обучаются дети в возрасте до 10-11 лет.</w:t>
      </w:r>
    </w:p>
    <w:bookmarkEnd w:id="518"/>
    <w:bookmarkStart w:name="z561" w:id="519"/>
    <w:p>
      <w:pPr>
        <w:spacing w:after="0"/>
        <w:ind w:left="0"/>
        <w:jc w:val="both"/>
      </w:pPr>
      <w:r>
        <w:rPr>
          <w:rFonts w:ascii="Times New Roman"/>
          <w:b w:val="false"/>
          <w:i w:val="false"/>
          <w:color w:val="000000"/>
          <w:sz w:val="28"/>
        </w:rPr>
        <w:t xml:space="preserve">
      Кроме того, акиматами областей будут обеспечены автотранспортом организации образования, а также на постоянной основе будет активизирована деятельность по контролю за организацией безопасного подвоза обучающихся. </w:t>
      </w:r>
    </w:p>
    <w:bookmarkEnd w:id="519"/>
    <w:bookmarkStart w:name="z562" w:id="520"/>
    <w:p>
      <w:pPr>
        <w:spacing w:after="0"/>
        <w:ind w:left="0"/>
        <w:jc w:val="both"/>
      </w:pPr>
      <w:r>
        <w:rPr>
          <w:rFonts w:ascii="Times New Roman"/>
          <w:b w:val="false"/>
          <w:i w:val="false"/>
          <w:color w:val="000000"/>
          <w:sz w:val="28"/>
        </w:rPr>
        <w:t xml:space="preserve">
      В целях комплексной реализации проекта "Ауыл - Ел бесігі" и получения мультипликативного эффекта в его исполнение будет вовлечен ряд центральных государственных органов. </w:t>
      </w:r>
    </w:p>
    <w:bookmarkEnd w:id="520"/>
    <w:bookmarkStart w:name="z563" w:id="521"/>
    <w:p>
      <w:pPr>
        <w:spacing w:after="0"/>
        <w:ind w:left="0"/>
        <w:jc w:val="both"/>
      </w:pPr>
      <w:r>
        <w:rPr>
          <w:rFonts w:ascii="Times New Roman"/>
          <w:b w:val="false"/>
          <w:i w:val="false"/>
          <w:color w:val="000000"/>
          <w:sz w:val="28"/>
        </w:rPr>
        <w:t>
      Министерство национальной экономики Республики Казахстан, помимо практической реализации проекта "Ауыл - Ел бесігі" (отбор представленных местными исполнительными органами проектов по строительству/модернизации социальной и инженерной инфраструктуры, благоустройству СНП; расчет потребности в финансовых ресурсах и определение источников финансирования; мониторинг и контроль исполнения инвестиционных проектов; обеспеченности СНП благами и услугами системы региональных стандартов), в рамках Государственной программы поддержки и развития бизнеса "Дорожная карта бизнеса-2025" примет меры по обеспечению поддержки предпринимательства на селе (доступность финансовых средств; увеличение производственных мощностей предпринимателей опорных СНП (центров сельских кластеров); для увеличения постоянной занятости населения развитие несельскохозяйственных видов деятельности (туризм, народные промыслы, глубокая переработка сельхозпродукции); увеличение доли гарантирования кредитов с 50% до 85% предпринимателей СНП; вовлечение микрофинансовых организаций в кредитование предпринимателей СНП).</w:t>
      </w:r>
    </w:p>
    <w:bookmarkEnd w:id="521"/>
    <w:bookmarkStart w:name="z564" w:id="522"/>
    <w:p>
      <w:pPr>
        <w:spacing w:after="0"/>
        <w:ind w:left="0"/>
        <w:jc w:val="both"/>
      </w:pPr>
      <w:r>
        <w:rPr>
          <w:rFonts w:ascii="Times New Roman"/>
          <w:b w:val="false"/>
          <w:i w:val="false"/>
          <w:color w:val="000000"/>
          <w:sz w:val="28"/>
        </w:rPr>
        <w:t>
      В рамках Государственной программы развития агропромышленного комплекса Республики Казахстан на 2017-2021 годы Министерство сельского хозяйства Республики Казахстан будет реализовывать меры по целенаправленному росту сельскохозяйственного производства в пределах сельского кластера, как единого хозяйственного комплекса. Это в свою очередь обеспечит доступность финансирования для субъектов АПК, повышение эффективности использования земельных ресурсов и другие.</w:t>
      </w:r>
    </w:p>
    <w:bookmarkEnd w:id="522"/>
    <w:bookmarkStart w:name="z565" w:id="523"/>
    <w:p>
      <w:pPr>
        <w:spacing w:after="0"/>
        <w:ind w:left="0"/>
        <w:jc w:val="both"/>
      </w:pPr>
      <w:r>
        <w:rPr>
          <w:rFonts w:ascii="Times New Roman"/>
          <w:b w:val="false"/>
          <w:i w:val="false"/>
          <w:color w:val="000000"/>
          <w:sz w:val="28"/>
        </w:rPr>
        <w:t>
      В рамках Государственной программы развития продуктивной занятости и массового предпринимательства на 2017 - 2021 годы "Еңбек" будут оказываться меры государственной поддержки (расширение микрокредитования, гарантирование кредитов/микрокредитов, предоставление государственных грантов и другие) в СНП.</w:t>
      </w:r>
    </w:p>
    <w:bookmarkEnd w:id="523"/>
    <w:bookmarkStart w:name="z566" w:id="524"/>
    <w:p>
      <w:pPr>
        <w:spacing w:after="0"/>
        <w:ind w:left="0"/>
        <w:jc w:val="both"/>
      </w:pPr>
      <w:r>
        <w:rPr>
          <w:rFonts w:ascii="Times New Roman"/>
          <w:b w:val="false"/>
          <w:i w:val="false"/>
          <w:color w:val="000000"/>
          <w:sz w:val="28"/>
        </w:rPr>
        <w:t xml:space="preserve">
      Министерство индустрии и инфраструктурного развития Республики Казахстан будет принимать меры по развитию местной автодорожной инфраструктуры (отбор представленных местными исполнительными органами проектов по строительству/реконструкции дорог с твердым покрытием: а) от опорного села до райцентра или трассы, б) от малонаселенных СНП сельского кластера до их центра (опорного села), а также обеспечение СНП питьевой водой. </w:t>
      </w:r>
    </w:p>
    <w:bookmarkEnd w:id="524"/>
    <w:bookmarkStart w:name="z567" w:id="525"/>
    <w:p>
      <w:pPr>
        <w:spacing w:after="0"/>
        <w:ind w:left="0"/>
        <w:jc w:val="both"/>
      </w:pPr>
      <w:r>
        <w:rPr>
          <w:rFonts w:ascii="Times New Roman"/>
          <w:b w:val="false"/>
          <w:i w:val="false"/>
          <w:color w:val="000000"/>
          <w:sz w:val="28"/>
        </w:rPr>
        <w:t xml:space="preserve">
      Министерство информации и общественного развития Республики Казахстан в рамках программы "Рухани жаңғыру" будет содействовать активному информационному освещению проекта "Ауыл - Ел бесігі" в рамках модернизации социальной среды сельских территорий и создаваемых привлекательных условий для проживания в СНП, в первую очередь опорных. </w:t>
      </w:r>
    </w:p>
    <w:bookmarkEnd w:id="525"/>
    <w:bookmarkStart w:name="z568" w:id="526"/>
    <w:p>
      <w:pPr>
        <w:spacing w:after="0"/>
        <w:ind w:left="0"/>
        <w:jc w:val="both"/>
      </w:pPr>
      <w:r>
        <w:rPr>
          <w:rFonts w:ascii="Times New Roman"/>
          <w:b w:val="false"/>
          <w:i w:val="false"/>
          <w:color w:val="000000"/>
          <w:sz w:val="28"/>
        </w:rPr>
        <w:t xml:space="preserve">
      В целом, в долгосрочной перспективе часть населения республики будет жить на селе (по примеру стран с высоким индексом человеческого развития - около 15-20%). Это связано с повышением роли сельского хозяйства Казахстана в мировом производстве продуктов питания в контексте роста численности населения мира и потепления климата. </w:t>
      </w:r>
    </w:p>
    <w:bookmarkEnd w:id="526"/>
    <w:bookmarkStart w:name="z569" w:id="527"/>
    <w:p>
      <w:pPr>
        <w:spacing w:after="0"/>
        <w:ind w:left="0"/>
        <w:jc w:val="both"/>
      </w:pPr>
      <w:r>
        <w:rPr>
          <w:rFonts w:ascii="Times New Roman"/>
          <w:b w:val="false"/>
          <w:i w:val="false"/>
          <w:color w:val="000000"/>
          <w:sz w:val="28"/>
        </w:rPr>
        <w:t xml:space="preserve">
      Это также связано с рядом других факторов: экология сельских территорий несравненно лучше городских (меньшая запыленность и мощность электромагнитных полей и другие); с ростом производительности труда в сельском хозяйстве и с учетом содержания подворий доходы сельского населения не будут меньше, чем у городских; масштабное продвижение ИКТ-инфраструктуры уравнивает цифровое неравенство в СНП и крупных городах. </w:t>
      </w:r>
    </w:p>
    <w:bookmarkEnd w:id="527"/>
    <w:bookmarkStart w:name="z570" w:id="528"/>
    <w:p>
      <w:pPr>
        <w:spacing w:after="0"/>
        <w:ind w:left="0"/>
        <w:jc w:val="both"/>
      </w:pPr>
      <w:r>
        <w:rPr>
          <w:rFonts w:ascii="Times New Roman"/>
          <w:b w:val="false"/>
          <w:i w:val="false"/>
          <w:color w:val="000000"/>
          <w:sz w:val="28"/>
        </w:rPr>
        <w:t>
      Комплексное развитие СНП по проекту "Ауыл - Ел бесігі" будет осуществляться в рамках других программных документов, реализуемых соответствующими государственными органами.</w:t>
      </w:r>
    </w:p>
    <w:bookmarkEnd w:id="528"/>
    <w:bookmarkStart w:name="z571" w:id="529"/>
    <w:p>
      <w:pPr>
        <w:spacing w:after="0"/>
        <w:ind w:left="0"/>
        <w:jc w:val="both"/>
      </w:pPr>
      <w:r>
        <w:rPr>
          <w:rFonts w:ascii="Times New Roman"/>
          <w:b w:val="false"/>
          <w:i w:val="false"/>
          <w:color w:val="000000"/>
          <w:sz w:val="28"/>
        </w:rPr>
        <w:t>
      В реализацию Государственной программы акиматами областей будут:</w:t>
      </w:r>
    </w:p>
    <w:bookmarkEnd w:id="529"/>
    <w:bookmarkStart w:name="z572" w:id="530"/>
    <w:p>
      <w:pPr>
        <w:spacing w:after="0"/>
        <w:ind w:left="0"/>
        <w:jc w:val="both"/>
      </w:pPr>
      <w:r>
        <w:rPr>
          <w:rFonts w:ascii="Times New Roman"/>
          <w:b w:val="false"/>
          <w:i w:val="false"/>
          <w:color w:val="000000"/>
          <w:sz w:val="28"/>
        </w:rPr>
        <w:t xml:space="preserve">
      1) в рамках проекта "Ауыл - Ел бесігі" реализовываться дорожные карты развития опорных СНП - паспорта (планы) социально-экономического развития, в которых предусматриваются мероприятия по развитию экономики села, инфраструктуры с указанием показателей их достижения. </w:t>
      </w:r>
    </w:p>
    <w:bookmarkEnd w:id="530"/>
    <w:bookmarkStart w:name="z573" w:id="531"/>
    <w:p>
      <w:pPr>
        <w:spacing w:after="0"/>
        <w:ind w:left="0"/>
        <w:jc w:val="both"/>
      </w:pPr>
      <w:r>
        <w:rPr>
          <w:rFonts w:ascii="Times New Roman"/>
          <w:b w:val="false"/>
          <w:i w:val="false"/>
          <w:color w:val="000000"/>
          <w:sz w:val="28"/>
        </w:rPr>
        <w:t>
      Будут приняты меры по синхронизации проекта "Ауыл – Ел бесігі" с мерами по финансированию аграрного бизнеса через АО "НУХ "Байтерек" посредством реализации государственных программ развития агропромышленного комплекса, развития продуктивной занятости и массового предпринимательства "Еңбек" и поддержки и развития предпринимательства "Дорожной карты бизнеса – 2025";</w:t>
      </w:r>
    </w:p>
    <w:bookmarkEnd w:id="531"/>
    <w:bookmarkStart w:name="z574" w:id="532"/>
    <w:p>
      <w:pPr>
        <w:spacing w:after="0"/>
        <w:ind w:left="0"/>
        <w:jc w:val="both"/>
      </w:pPr>
      <w:r>
        <w:rPr>
          <w:rFonts w:ascii="Times New Roman"/>
          <w:b w:val="false"/>
          <w:i w:val="false"/>
          <w:color w:val="000000"/>
          <w:sz w:val="28"/>
        </w:rPr>
        <w:t xml:space="preserve">
      2) проводиться работы по координации хозяйствующих субъектов по строительству/модернизации сетей электро-, газоснабжения, связи (телефон, интернет) и другие для доведения объектов и услуг по СНП до параметров системы региональных стандартов; </w:t>
      </w:r>
    </w:p>
    <w:bookmarkEnd w:id="532"/>
    <w:bookmarkStart w:name="z575" w:id="533"/>
    <w:p>
      <w:pPr>
        <w:spacing w:after="0"/>
        <w:ind w:left="0"/>
        <w:jc w:val="both"/>
      </w:pPr>
      <w:r>
        <w:rPr>
          <w:rFonts w:ascii="Times New Roman"/>
          <w:b w:val="false"/>
          <w:i w:val="false"/>
          <w:color w:val="000000"/>
          <w:sz w:val="28"/>
        </w:rPr>
        <w:t>
      3) приниматься меры по дальнейшей реализации проекта "С дипломом в село!";</w:t>
      </w:r>
    </w:p>
    <w:bookmarkEnd w:id="533"/>
    <w:bookmarkStart w:name="z576" w:id="534"/>
    <w:p>
      <w:pPr>
        <w:spacing w:after="0"/>
        <w:ind w:left="0"/>
        <w:jc w:val="both"/>
      </w:pPr>
      <w:r>
        <w:rPr>
          <w:rFonts w:ascii="Times New Roman"/>
          <w:b w:val="false"/>
          <w:i w:val="false"/>
          <w:color w:val="000000"/>
          <w:sz w:val="28"/>
        </w:rPr>
        <w:t>
      4) совместно с Министерством индустрии и инфраструктурного развития Республики Казахстан приниматься комплекс мер по улучшению связности опорных СНП с другими населенными пунктами сельского кластера и районными центрами или имеющейся автомобильной дорогой (трассой) республиканского/областного значения.</w:t>
      </w:r>
    </w:p>
    <w:bookmarkEnd w:id="534"/>
    <w:bookmarkStart w:name="z577" w:id="535"/>
    <w:p>
      <w:pPr>
        <w:spacing w:after="0"/>
        <w:ind w:left="0"/>
        <w:jc w:val="both"/>
      </w:pPr>
      <w:r>
        <w:rPr>
          <w:rFonts w:ascii="Times New Roman"/>
          <w:b w:val="false"/>
          <w:i w:val="false"/>
          <w:color w:val="000000"/>
          <w:sz w:val="28"/>
        </w:rPr>
        <w:t xml:space="preserve">
      В опорных СНП акиматами областей на постоянной основе будут приниматься меры по содействию развития несельскохозяйственных видов деятельности (переработка сельскохозяйственной продукции, народные промыслы, сфера услуг и другие). Также будет продолжено обеспечение условий для устойчивого ведения сельскохозяйственного производства, повышения доходов сельского населения. </w:t>
      </w:r>
    </w:p>
    <w:bookmarkEnd w:id="535"/>
    <w:bookmarkStart w:name="z578" w:id="536"/>
    <w:p>
      <w:pPr>
        <w:spacing w:after="0"/>
        <w:ind w:left="0"/>
        <w:jc w:val="both"/>
      </w:pPr>
      <w:r>
        <w:rPr>
          <w:rFonts w:ascii="Times New Roman"/>
          <w:b w:val="false"/>
          <w:i w:val="false"/>
          <w:color w:val="000000"/>
          <w:sz w:val="28"/>
        </w:rPr>
        <w:t>
      В опорных СНП будут приняты дополнительные меры по развитию и созданию центров оказания государственных и коммерческих услуг.</w:t>
      </w:r>
    </w:p>
    <w:bookmarkEnd w:id="536"/>
    <w:bookmarkStart w:name="z579" w:id="537"/>
    <w:p>
      <w:pPr>
        <w:spacing w:after="0"/>
        <w:ind w:left="0"/>
        <w:jc w:val="both"/>
      </w:pPr>
      <w:r>
        <w:rPr>
          <w:rFonts w:ascii="Times New Roman"/>
          <w:b w:val="false"/>
          <w:i w:val="false"/>
          <w:color w:val="000000"/>
          <w:sz w:val="28"/>
        </w:rPr>
        <w:t xml:space="preserve">
      Развитие других СНП </w:t>
      </w:r>
    </w:p>
    <w:bookmarkEnd w:id="537"/>
    <w:bookmarkStart w:name="z580" w:id="538"/>
    <w:p>
      <w:pPr>
        <w:spacing w:after="0"/>
        <w:ind w:left="0"/>
        <w:jc w:val="both"/>
      </w:pPr>
      <w:r>
        <w:rPr>
          <w:rFonts w:ascii="Times New Roman"/>
          <w:b w:val="false"/>
          <w:i w:val="false"/>
          <w:color w:val="000000"/>
          <w:sz w:val="28"/>
        </w:rPr>
        <w:t>
      Развитие других СНП будет осуществляться в рамках действующих государственных программ и программ развития областей и районов.</w:t>
      </w:r>
    </w:p>
    <w:bookmarkEnd w:id="538"/>
    <w:bookmarkStart w:name="z581" w:id="539"/>
    <w:p>
      <w:pPr>
        <w:spacing w:after="0"/>
        <w:ind w:left="0"/>
        <w:jc w:val="both"/>
      </w:pPr>
      <w:r>
        <w:rPr>
          <w:rFonts w:ascii="Times New Roman"/>
          <w:b w:val="false"/>
          <w:i w:val="false"/>
          <w:color w:val="000000"/>
          <w:sz w:val="28"/>
        </w:rPr>
        <w:t>
      По данным СНП будут приниматься меры по поддержке и развитию действующих предприятий, объединению мелкотоварных производств в средние и крупные сельскохозяйственные предприятия, развитию малого бизнеса, доведению до нормативной обеспеченности объектами социальной инфраструктуры, поддержке в нормальном состоянии сельской инфраструктуры.</w:t>
      </w:r>
    </w:p>
    <w:bookmarkEnd w:id="539"/>
    <w:bookmarkStart w:name="z582" w:id="540"/>
    <w:p>
      <w:pPr>
        <w:spacing w:after="0"/>
        <w:ind w:left="0"/>
        <w:jc w:val="both"/>
      </w:pPr>
      <w:r>
        <w:rPr>
          <w:rFonts w:ascii="Times New Roman"/>
          <w:b w:val="false"/>
          <w:i w:val="false"/>
          <w:color w:val="000000"/>
          <w:sz w:val="28"/>
        </w:rPr>
        <w:t>
      Повышение кадрового потенциала сельской местности</w:t>
      </w:r>
    </w:p>
    <w:bookmarkEnd w:id="540"/>
    <w:bookmarkStart w:name="z583" w:id="541"/>
    <w:p>
      <w:pPr>
        <w:spacing w:after="0"/>
        <w:ind w:left="0"/>
        <w:jc w:val="both"/>
      </w:pPr>
      <w:r>
        <w:rPr>
          <w:rFonts w:ascii="Times New Roman"/>
          <w:b w:val="false"/>
          <w:i w:val="false"/>
          <w:color w:val="000000"/>
          <w:sz w:val="28"/>
        </w:rPr>
        <w:t>
      Повышение кадрового потенциала в сельской местности предусматривает государственную поддержку специалистов социальной сферы и АПК, прибывших для работы и проживания в сельской местности, в виде выплаты подъемного пособия и предоставления бюджетного кредита на приобретение или строительство жилья.</w:t>
      </w:r>
    </w:p>
    <w:bookmarkEnd w:id="541"/>
    <w:bookmarkStart w:name="z584" w:id="542"/>
    <w:p>
      <w:pPr>
        <w:spacing w:after="0"/>
        <w:ind w:left="0"/>
        <w:jc w:val="both"/>
      </w:pPr>
      <w:r>
        <w:rPr>
          <w:rFonts w:ascii="Times New Roman"/>
          <w:b w:val="false"/>
          <w:i w:val="false"/>
          <w:color w:val="000000"/>
          <w:sz w:val="28"/>
        </w:rPr>
        <w:t xml:space="preserve">
      Государственная поддержка данного направления будет продолжена в рамках действующего проекта "С дипломом в село!" и программ развития областей. </w:t>
      </w:r>
    </w:p>
    <w:bookmarkEnd w:id="542"/>
    <w:bookmarkStart w:name="z585" w:id="543"/>
    <w:p>
      <w:pPr>
        <w:spacing w:after="0"/>
        <w:ind w:left="0"/>
        <w:jc w:val="both"/>
      </w:pPr>
      <w:r>
        <w:rPr>
          <w:rFonts w:ascii="Times New Roman"/>
          <w:b w:val="false"/>
          <w:i w:val="false"/>
          <w:color w:val="000000"/>
          <w:sz w:val="28"/>
        </w:rPr>
        <w:t>
      Будет проработан вопрос расширения в установленном порядке контингента участников проекта "С дипломом в село" с возможным включением государственных служащих на сельском уровне в связи с внедрением 4-го уровня государственного бюджета.</w:t>
      </w:r>
    </w:p>
    <w:bookmarkEnd w:id="543"/>
    <w:bookmarkStart w:name="z586" w:id="544"/>
    <w:p>
      <w:pPr>
        <w:spacing w:after="0"/>
        <w:ind w:left="0"/>
        <w:jc w:val="both"/>
      </w:pPr>
      <w:r>
        <w:rPr>
          <w:rFonts w:ascii="Times New Roman"/>
          <w:b w:val="false"/>
          <w:i w:val="false"/>
          <w:color w:val="000000"/>
          <w:sz w:val="28"/>
        </w:rPr>
        <w:t>
      Развитие приграничных сельских территорий</w:t>
      </w:r>
    </w:p>
    <w:bookmarkEnd w:id="544"/>
    <w:bookmarkStart w:name="z587" w:id="545"/>
    <w:p>
      <w:pPr>
        <w:spacing w:after="0"/>
        <w:ind w:left="0"/>
        <w:jc w:val="both"/>
      </w:pPr>
      <w:r>
        <w:rPr>
          <w:rFonts w:ascii="Times New Roman"/>
          <w:b w:val="false"/>
          <w:i w:val="false"/>
          <w:color w:val="000000"/>
          <w:sz w:val="28"/>
        </w:rPr>
        <w:t>
      Достижение поставленной задачи будет осуществляться путем:</w:t>
      </w:r>
    </w:p>
    <w:bookmarkEnd w:id="545"/>
    <w:bookmarkStart w:name="z588" w:id="546"/>
    <w:p>
      <w:pPr>
        <w:spacing w:after="0"/>
        <w:ind w:left="0"/>
        <w:jc w:val="both"/>
      </w:pPr>
      <w:r>
        <w:rPr>
          <w:rFonts w:ascii="Times New Roman"/>
          <w:b w:val="false"/>
          <w:i w:val="false"/>
          <w:color w:val="000000"/>
          <w:sz w:val="28"/>
        </w:rPr>
        <w:t>
      1) повышения административно-территориальной значимости приграничных районов;</w:t>
      </w:r>
    </w:p>
    <w:bookmarkEnd w:id="546"/>
    <w:bookmarkStart w:name="z589" w:id="547"/>
    <w:p>
      <w:pPr>
        <w:spacing w:after="0"/>
        <w:ind w:left="0"/>
        <w:jc w:val="both"/>
      </w:pPr>
      <w:r>
        <w:rPr>
          <w:rFonts w:ascii="Times New Roman"/>
          <w:b w:val="false"/>
          <w:i w:val="false"/>
          <w:color w:val="000000"/>
          <w:sz w:val="28"/>
        </w:rPr>
        <w:t>
      2) развития и обустройства инфраструктуры пунктов приграничного сотрудничества;</w:t>
      </w:r>
    </w:p>
    <w:bookmarkEnd w:id="547"/>
    <w:bookmarkStart w:name="z590" w:id="548"/>
    <w:p>
      <w:pPr>
        <w:spacing w:after="0"/>
        <w:ind w:left="0"/>
        <w:jc w:val="both"/>
      </w:pPr>
      <w:r>
        <w:rPr>
          <w:rFonts w:ascii="Times New Roman"/>
          <w:b w:val="false"/>
          <w:i w:val="false"/>
          <w:color w:val="000000"/>
          <w:sz w:val="28"/>
        </w:rPr>
        <w:t>
      3) диверсификации экономики приграничных территорий и развития малого и среднего бизнеса.</w:t>
      </w:r>
    </w:p>
    <w:bookmarkEnd w:id="548"/>
    <w:bookmarkStart w:name="z591" w:id="549"/>
    <w:p>
      <w:pPr>
        <w:spacing w:after="0"/>
        <w:ind w:left="0"/>
        <w:jc w:val="both"/>
      </w:pPr>
      <w:r>
        <w:rPr>
          <w:rFonts w:ascii="Times New Roman"/>
          <w:b w:val="false"/>
          <w:i w:val="false"/>
          <w:color w:val="000000"/>
          <w:sz w:val="28"/>
        </w:rPr>
        <w:t>
      Реализация указанных направлений будет осуществляться в соответствии с государственными программами, программами развития территорий областей и районов путем развития инфраструктуры приграничного сотрудничества, осуществления диверсификации производства, стимулирования становления малого бизнеса, улучшения местного инвестиционного климата и развития социальной и инженерной инфраструктуры за счет бюджетных средств и привлечения внебюджетных источников.</w:t>
      </w:r>
    </w:p>
    <w:bookmarkEnd w:id="549"/>
    <w:bookmarkStart w:name="z592" w:id="550"/>
    <w:p>
      <w:pPr>
        <w:spacing w:after="0"/>
        <w:ind w:left="0"/>
        <w:jc w:val="both"/>
      </w:pPr>
      <w:r>
        <w:rPr>
          <w:rFonts w:ascii="Times New Roman"/>
          <w:b w:val="false"/>
          <w:i w:val="false"/>
          <w:color w:val="000000"/>
          <w:sz w:val="28"/>
        </w:rPr>
        <w:t>
      В целях повышения административно-территориальной значимости приграничных районов будут приняты меры по:</w:t>
      </w:r>
    </w:p>
    <w:bookmarkEnd w:id="550"/>
    <w:bookmarkStart w:name="z593" w:id="551"/>
    <w:p>
      <w:pPr>
        <w:spacing w:after="0"/>
        <w:ind w:left="0"/>
        <w:jc w:val="both"/>
      </w:pPr>
      <w:r>
        <w:rPr>
          <w:rFonts w:ascii="Times New Roman"/>
          <w:b w:val="false"/>
          <w:i w:val="false"/>
          <w:color w:val="000000"/>
          <w:sz w:val="28"/>
        </w:rPr>
        <w:t>
      1) приоритетному развитию приграничных районных центров и опорных СНП, расположенных на расстоянии до 50 км от Государственной границы;</w:t>
      </w:r>
    </w:p>
    <w:bookmarkEnd w:id="551"/>
    <w:bookmarkStart w:name="z594" w:id="552"/>
    <w:p>
      <w:pPr>
        <w:spacing w:after="0"/>
        <w:ind w:left="0"/>
        <w:jc w:val="both"/>
      </w:pPr>
      <w:r>
        <w:rPr>
          <w:rFonts w:ascii="Times New Roman"/>
          <w:b w:val="false"/>
          <w:i w:val="false"/>
          <w:color w:val="000000"/>
          <w:sz w:val="28"/>
        </w:rPr>
        <w:t>
      2) развитию транспортно-логистической инфраструктуры, увеличению грузопотоков через имеющиеся транспортные и транзитные коридоры;</w:t>
      </w:r>
    </w:p>
    <w:bookmarkEnd w:id="552"/>
    <w:bookmarkStart w:name="z595" w:id="553"/>
    <w:p>
      <w:pPr>
        <w:spacing w:after="0"/>
        <w:ind w:left="0"/>
        <w:jc w:val="both"/>
      </w:pPr>
      <w:r>
        <w:rPr>
          <w:rFonts w:ascii="Times New Roman"/>
          <w:b w:val="false"/>
          <w:i w:val="false"/>
          <w:color w:val="000000"/>
          <w:sz w:val="28"/>
        </w:rPr>
        <w:t>
      3) созданию совместных предприятий по строительству (реконструкции) и эксплуатации туристско-рекреационных объектов, туристской инфраструктуры, развитию и взаимодействию региональных и приграничных информационных систем в сфере туризма;</w:t>
      </w:r>
    </w:p>
    <w:bookmarkEnd w:id="553"/>
    <w:bookmarkStart w:name="z596" w:id="554"/>
    <w:p>
      <w:pPr>
        <w:spacing w:after="0"/>
        <w:ind w:left="0"/>
        <w:jc w:val="both"/>
      </w:pPr>
      <w:r>
        <w:rPr>
          <w:rFonts w:ascii="Times New Roman"/>
          <w:b w:val="false"/>
          <w:i w:val="false"/>
          <w:color w:val="000000"/>
          <w:sz w:val="28"/>
        </w:rPr>
        <w:t>
      4) развитию промышленности, экспортоориентированных и импортозамещающих производств, основанных на новых технологиях, расширению объемов торговли и экспорта, внедрению передового управленческого опыта.</w:t>
      </w:r>
    </w:p>
    <w:bookmarkEnd w:id="554"/>
    <w:bookmarkStart w:name="z597" w:id="555"/>
    <w:p>
      <w:pPr>
        <w:spacing w:after="0"/>
        <w:ind w:left="0"/>
        <w:jc w:val="both"/>
      </w:pPr>
      <w:r>
        <w:rPr>
          <w:rFonts w:ascii="Times New Roman"/>
          <w:b w:val="false"/>
          <w:i w:val="false"/>
          <w:color w:val="000000"/>
          <w:sz w:val="28"/>
        </w:rPr>
        <w:t xml:space="preserve">
      В рамках государственных программ развития образования и науки, здравоохранения, "Цифровой Казахстан", программ развития областей будут реализовываться дополнительные меры по повышению человеческого капитала населения, особенно молодежи, приграничных территорий. Это позволит молодежи сел приграничных территорий быть конкурентоспособными на рынках труда крупных городов. Специальные меры по сдерживанию оттока из приграничных территорий и тем более росту численности их населения не будут приниматься. При этом меры по текущей занятости будут решаться в рамках действующих программ предпринимательства и занятости населения. </w:t>
      </w:r>
    </w:p>
    <w:bookmarkEnd w:id="555"/>
    <w:bookmarkStart w:name="z598" w:id="556"/>
    <w:p>
      <w:pPr>
        <w:spacing w:after="0"/>
        <w:ind w:left="0"/>
        <w:jc w:val="both"/>
      </w:pPr>
      <w:r>
        <w:rPr>
          <w:rFonts w:ascii="Times New Roman"/>
          <w:b w:val="false"/>
          <w:i w:val="false"/>
          <w:color w:val="000000"/>
          <w:sz w:val="28"/>
        </w:rPr>
        <w:t>
      В целях развития и обустройства инфраструктуры пунктов приграничного сотрудничества будут приняты меры по:</w:t>
      </w:r>
    </w:p>
    <w:bookmarkEnd w:id="556"/>
    <w:bookmarkStart w:name="z599" w:id="557"/>
    <w:p>
      <w:pPr>
        <w:spacing w:after="0"/>
        <w:ind w:left="0"/>
        <w:jc w:val="both"/>
      </w:pPr>
      <w:r>
        <w:rPr>
          <w:rFonts w:ascii="Times New Roman"/>
          <w:b w:val="false"/>
          <w:i w:val="false"/>
          <w:color w:val="000000"/>
          <w:sz w:val="28"/>
        </w:rPr>
        <w:t>
      1) развитию таможенной и пограничной инфраструктуры, повышению уровня материально-технической оснащенности пограничных переходов, пунктов упрощенного пропуска, контрольно-пропускных и таможенных постов, санитарно-карантинного, ветеринарного, фитосанитарного и других органов контроля;</w:t>
      </w:r>
    </w:p>
    <w:bookmarkEnd w:id="557"/>
    <w:bookmarkStart w:name="z600" w:id="558"/>
    <w:p>
      <w:pPr>
        <w:spacing w:after="0"/>
        <w:ind w:left="0"/>
        <w:jc w:val="both"/>
      </w:pPr>
      <w:r>
        <w:rPr>
          <w:rFonts w:ascii="Times New Roman"/>
          <w:b w:val="false"/>
          <w:i w:val="false"/>
          <w:color w:val="000000"/>
          <w:sz w:val="28"/>
        </w:rPr>
        <w:t>
      2) совершенствованию процедур пограничного, таможенного, иммиграционного, экологического, фитосанитарного и иных видов контроля;</w:t>
      </w:r>
    </w:p>
    <w:bookmarkEnd w:id="558"/>
    <w:bookmarkStart w:name="z601" w:id="559"/>
    <w:p>
      <w:pPr>
        <w:spacing w:after="0"/>
        <w:ind w:left="0"/>
        <w:jc w:val="both"/>
      </w:pPr>
      <w:r>
        <w:rPr>
          <w:rFonts w:ascii="Times New Roman"/>
          <w:b w:val="false"/>
          <w:i w:val="false"/>
          <w:color w:val="000000"/>
          <w:sz w:val="28"/>
        </w:rPr>
        <w:t>
      3) совершенствованию технологической схемы организации пропуска через Государственную границу с целью увеличения их пропускной способности;</w:t>
      </w:r>
    </w:p>
    <w:bookmarkEnd w:id="559"/>
    <w:bookmarkStart w:name="z602" w:id="560"/>
    <w:p>
      <w:pPr>
        <w:spacing w:after="0"/>
        <w:ind w:left="0"/>
        <w:jc w:val="both"/>
      </w:pPr>
      <w:r>
        <w:rPr>
          <w:rFonts w:ascii="Times New Roman"/>
          <w:b w:val="false"/>
          <w:i w:val="false"/>
          <w:color w:val="000000"/>
          <w:sz w:val="28"/>
        </w:rPr>
        <w:t>
      4) созданию условий, способствующих сокращению сроков оформления экспортных и импортных операций, обустройству пунктов пропуска через Государственную границу системой электронного документооборота и автоматической идентификации, модернизации таможенных складов и терминалов.</w:t>
      </w:r>
    </w:p>
    <w:bookmarkEnd w:id="560"/>
    <w:bookmarkStart w:name="z603" w:id="561"/>
    <w:p>
      <w:pPr>
        <w:spacing w:after="0"/>
        <w:ind w:left="0"/>
        <w:jc w:val="both"/>
      </w:pPr>
      <w:r>
        <w:rPr>
          <w:rFonts w:ascii="Times New Roman"/>
          <w:b w:val="false"/>
          <w:i w:val="false"/>
          <w:color w:val="000000"/>
          <w:sz w:val="28"/>
        </w:rPr>
        <w:t>
      Диверсификация экономики приграничных территорий и развитие малого и среднего бизнеса будет осуществляться путем принятия мер по:</w:t>
      </w:r>
    </w:p>
    <w:bookmarkEnd w:id="561"/>
    <w:bookmarkStart w:name="z604" w:id="562"/>
    <w:p>
      <w:pPr>
        <w:spacing w:after="0"/>
        <w:ind w:left="0"/>
        <w:jc w:val="both"/>
      </w:pPr>
      <w:r>
        <w:rPr>
          <w:rFonts w:ascii="Times New Roman"/>
          <w:b w:val="false"/>
          <w:i w:val="false"/>
          <w:color w:val="000000"/>
          <w:sz w:val="28"/>
        </w:rPr>
        <w:t>
      1) вовлечению в экономический оборот имеющихся в приграничных территориях резервов и неиспользуемых хозяйственных активов (простаивающих производств, выведенных из оборота и другие), полезных ископаемых и эффективного использования имеющейся инженерной и транспортной инфраструктуры;</w:t>
      </w:r>
    </w:p>
    <w:bookmarkEnd w:id="562"/>
    <w:bookmarkStart w:name="z605" w:id="563"/>
    <w:p>
      <w:pPr>
        <w:spacing w:after="0"/>
        <w:ind w:left="0"/>
        <w:jc w:val="both"/>
      </w:pPr>
      <w:r>
        <w:rPr>
          <w:rFonts w:ascii="Times New Roman"/>
          <w:b w:val="false"/>
          <w:i w:val="false"/>
          <w:color w:val="000000"/>
          <w:sz w:val="28"/>
        </w:rPr>
        <w:t>
      2) вовлечению в экономический оборот имеющихся в регионах неиспользуемых земель сельскохозяйственного назначения (пашни, в том числе поливные, пастбища, сенокосы, многолетние насаждения, залежи);</w:t>
      </w:r>
    </w:p>
    <w:bookmarkEnd w:id="563"/>
    <w:bookmarkStart w:name="z606" w:id="564"/>
    <w:p>
      <w:pPr>
        <w:spacing w:after="0"/>
        <w:ind w:left="0"/>
        <w:jc w:val="both"/>
      </w:pPr>
      <w:r>
        <w:rPr>
          <w:rFonts w:ascii="Times New Roman"/>
          <w:b w:val="false"/>
          <w:i w:val="false"/>
          <w:color w:val="000000"/>
          <w:sz w:val="28"/>
        </w:rPr>
        <w:t>
      3) реализации проектов в сфере животноводства и растениеводства, направленных на рост производства сельскохозяйственной продукции, организацию ее заготовки и хранения;</w:t>
      </w:r>
    </w:p>
    <w:bookmarkEnd w:id="564"/>
    <w:bookmarkStart w:name="z607" w:id="565"/>
    <w:p>
      <w:pPr>
        <w:spacing w:after="0"/>
        <w:ind w:left="0"/>
        <w:jc w:val="both"/>
      </w:pPr>
      <w:r>
        <w:rPr>
          <w:rFonts w:ascii="Times New Roman"/>
          <w:b w:val="false"/>
          <w:i w:val="false"/>
          <w:color w:val="000000"/>
          <w:sz w:val="28"/>
        </w:rPr>
        <w:t>
      4) установлению межрегиональных взаимовыгодных связей между хозяйствующими субъектами приграничных территорий, заключению договоров в целях привлечения инвестиций в сферу промышленной и сельскохозяйственной кооперации, строительства, финансов, обмена технологиями и другие сферы, не противоречащие законодательству и режимам приграничных территорий сопредельных государств;</w:t>
      </w:r>
    </w:p>
    <w:bookmarkEnd w:id="565"/>
    <w:bookmarkStart w:name="z608" w:id="566"/>
    <w:p>
      <w:pPr>
        <w:spacing w:after="0"/>
        <w:ind w:left="0"/>
        <w:jc w:val="both"/>
      </w:pPr>
      <w:r>
        <w:rPr>
          <w:rFonts w:ascii="Times New Roman"/>
          <w:b w:val="false"/>
          <w:i w:val="false"/>
          <w:color w:val="000000"/>
          <w:sz w:val="28"/>
        </w:rPr>
        <w:t>
      5) развитию приграничной торговли, малого и среднего бизнеса путем использования передовых технологий, современных машин и оборудования сопредельных стран.</w:t>
      </w:r>
    </w:p>
    <w:bookmarkEnd w:id="566"/>
    <w:bookmarkStart w:name="z609" w:id="567"/>
    <w:p>
      <w:pPr>
        <w:spacing w:after="0"/>
        <w:ind w:left="0"/>
        <w:jc w:val="both"/>
      </w:pPr>
      <w:r>
        <w:rPr>
          <w:rFonts w:ascii="Times New Roman"/>
          <w:b w:val="false"/>
          <w:i w:val="false"/>
          <w:color w:val="000000"/>
          <w:sz w:val="28"/>
        </w:rPr>
        <w:t xml:space="preserve">
      В целом данные меры позволят организовать дополнительные возможности для занятости населения (привлечь население для работы в сфере строительства, обслуживания населения, организации туризма), а также обеспечить условия для повышения транзитно-транспортного потенциала страны и привлечения инвестиций, в том числе на принципах ГЧП. </w:t>
      </w:r>
    </w:p>
    <w:bookmarkEnd w:id="567"/>
    <w:bookmarkStart w:name="z610" w:id="568"/>
    <w:p>
      <w:pPr>
        <w:spacing w:after="0"/>
        <w:ind w:left="0"/>
        <w:jc w:val="both"/>
      </w:pPr>
      <w:r>
        <w:rPr>
          <w:rFonts w:ascii="Times New Roman"/>
          <w:b w:val="false"/>
          <w:i w:val="false"/>
          <w:color w:val="000000"/>
          <w:sz w:val="28"/>
        </w:rPr>
        <w:t xml:space="preserve">
      </w:t>
      </w:r>
      <w:r>
        <w:rPr>
          <w:rFonts w:ascii="Times New Roman"/>
          <w:b/>
          <w:i w:val="false"/>
          <w:color w:val="000000"/>
          <w:sz w:val="28"/>
        </w:rPr>
        <w:t>6. Необходимые ресурсы</w:t>
      </w:r>
    </w:p>
    <w:bookmarkEnd w:id="568"/>
    <w:bookmarkStart w:name="z611" w:id="569"/>
    <w:p>
      <w:pPr>
        <w:spacing w:after="0"/>
        <w:ind w:left="0"/>
        <w:jc w:val="both"/>
      </w:pPr>
      <w:r>
        <w:rPr>
          <w:rFonts w:ascii="Times New Roman"/>
          <w:b w:val="false"/>
          <w:i w:val="false"/>
          <w:color w:val="000000"/>
          <w:sz w:val="28"/>
        </w:rPr>
        <w:t xml:space="preserve">
      Финансирование Государственной программы будет осуществляться за счет и в пределах средств республиканского и местных бюджетов, а также иных источников, не запрещенных законодательством Республики Казахстан. </w:t>
      </w:r>
    </w:p>
    <w:bookmarkEnd w:id="569"/>
    <w:bookmarkStart w:name="z612" w:id="570"/>
    <w:p>
      <w:pPr>
        <w:spacing w:after="0"/>
        <w:ind w:left="0"/>
        <w:jc w:val="both"/>
      </w:pPr>
      <w:r>
        <w:rPr>
          <w:rFonts w:ascii="Times New Roman"/>
          <w:b w:val="false"/>
          <w:i w:val="false"/>
          <w:color w:val="000000"/>
          <w:sz w:val="28"/>
        </w:rPr>
        <w:t>
      млн. тенге</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2025 год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3" w:id="571"/>
    <w:p>
      <w:pPr>
        <w:spacing w:after="0"/>
        <w:ind w:left="0"/>
        <w:jc w:val="both"/>
      </w:pPr>
      <w:r>
        <w:rPr>
          <w:rFonts w:ascii="Times New Roman"/>
          <w:b w:val="false"/>
          <w:i w:val="false"/>
          <w:color w:val="000000"/>
          <w:sz w:val="28"/>
        </w:rPr>
        <w:t>
       *Объемы средств будут уточняться по мере утверждения и уточнения республиканского и местных бюджетов на соответствующие финансовые годы в соответствии с законодательством Республики Казахстан.</w:t>
      </w:r>
    </w:p>
    <w:bookmarkEnd w:id="5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регионов на 2020 - 2025 годы</w:t>
            </w:r>
          </w:p>
        </w:tc>
      </w:tr>
    </w:tbl>
    <w:bookmarkStart w:name="z615" w:id="572"/>
    <w:p>
      <w:pPr>
        <w:spacing w:after="0"/>
        <w:ind w:left="0"/>
        <w:jc w:val="left"/>
      </w:pPr>
      <w:r>
        <w:rPr>
          <w:rFonts w:ascii="Times New Roman"/>
          <w:b/>
          <w:i w:val="false"/>
          <w:color w:val="000000"/>
        </w:rPr>
        <w:t xml:space="preserve"> Система региональных стандартов для городских населенных пунктов</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объектов и услуг (благ)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Базовая мощность объектов и показатели качества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подлежащего контингента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73"/>
          <w:p>
            <w:pPr>
              <w:spacing w:after="20"/>
              <w:ind w:left="20"/>
              <w:jc w:val="both"/>
            </w:pPr>
            <w:r>
              <w:rPr>
                <w:rFonts w:ascii="Times New Roman"/>
                <w:b w:val="false"/>
                <w:i w:val="false"/>
                <w:color w:val="000000"/>
                <w:sz w:val="20"/>
              </w:rPr>
              <w:t>
 130 мест на 1 тыс. чел.;</w:t>
            </w:r>
          </w:p>
          <w:bookmarkEnd w:id="573"/>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подлежащего контингента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74"/>
          <w:p>
            <w:pPr>
              <w:spacing w:after="20"/>
              <w:ind w:left="20"/>
              <w:jc w:val="both"/>
            </w:pPr>
            <w:r>
              <w:rPr>
                <w:rFonts w:ascii="Times New Roman"/>
                <w:b w:val="false"/>
                <w:i w:val="false"/>
                <w:color w:val="000000"/>
                <w:sz w:val="20"/>
              </w:rPr>
              <w:t>
30 мест на 1 тыс. чел.;</w:t>
            </w:r>
          </w:p>
          <w:bookmarkEnd w:id="574"/>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направленные на досуг, развитие и отдых детей различных возрастов**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кружкам и секциям для развития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и (или) их структурные подразделения, оказывающие амбулаторно-поликлиническую, стационарную и скорую медицинскую помощь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текущей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круглосуточных аптек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75"/>
          <w:p>
            <w:pPr>
              <w:spacing w:after="20"/>
              <w:ind w:left="20"/>
              <w:jc w:val="both"/>
            </w:pPr>
            <w:r>
              <w:rPr>
                <w:rFonts w:ascii="Times New Roman"/>
                <w:b w:val="false"/>
                <w:i w:val="false"/>
                <w:color w:val="000000"/>
                <w:sz w:val="20"/>
              </w:rPr>
              <w:t>
1 библиотека на 20 тыс. человек;</w:t>
            </w:r>
          </w:p>
          <w:bookmarkEnd w:id="575"/>
          <w:p>
            <w:pPr>
              <w:spacing w:after="20"/>
              <w:ind w:left="20"/>
              <w:jc w:val="both"/>
            </w:pPr>
            <w:r>
              <w:rPr>
                <w:rFonts w:ascii="Times New Roman"/>
                <w:b w:val="false"/>
                <w:i w:val="false"/>
                <w:color w:val="000000"/>
                <w:sz w:val="20"/>
              </w:rPr>
              <w:t>
4000 единиц хранения на 2 читательских места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центры (Комьюнити центр) - помещения для досуга населения, клубы по интересам, семейные и детские клубы, помещения для проведения собраний жителей**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r>
              <w:rPr>
                <w:rFonts w:ascii="Times New Roman"/>
                <w:b w:val="false"/>
                <w:i w:val="false"/>
                <w:color w:val="000000"/>
                <w:vertAlign w:val="superscript"/>
              </w:rPr>
              <w:t>2</w:t>
            </w:r>
            <w:r>
              <w:rPr>
                <w:rFonts w:ascii="Times New Roman"/>
                <w:b w:val="false"/>
                <w:i w:val="false"/>
                <w:color w:val="000000"/>
                <w:sz w:val="20"/>
              </w:rPr>
              <w:t xml:space="preserve"> общей площади (игровые комнаты с наличием wi-fi зоны и компьютерной техникой не менее 3 сотрудников (психолог, специалист по работе с детьми, обслуживающий персонал))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кинотеатр из расчета не менее 35 мест на 1 тыс.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2</w:t>
            </w:r>
            <w:r>
              <w:rPr>
                <w:rFonts w:ascii="Times New Roman"/>
                <w:b w:val="false"/>
                <w:i w:val="false"/>
                <w:color w:val="000000"/>
                <w:sz w:val="20"/>
              </w:rPr>
              <w:t xml:space="preserve"> на 1 тыс. человек (наличие футбольного, волейбольного и баскетбольного полей)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 и водоотведение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76"/>
          <w:p>
            <w:pPr>
              <w:spacing w:after="20"/>
              <w:ind w:left="20"/>
              <w:jc w:val="both"/>
            </w:pPr>
            <w:r>
              <w:rPr>
                <w:rFonts w:ascii="Times New Roman"/>
                <w:b w:val="false"/>
                <w:i w:val="false"/>
                <w:color w:val="000000"/>
                <w:sz w:val="20"/>
              </w:rPr>
              <w:t>
в настоящее время охват населения централизованным водоснабжением составил 94,5%, очисткой сточных вод - 68,7%;</w:t>
            </w:r>
          </w:p>
          <w:bookmarkEnd w:id="576"/>
          <w:p>
            <w:pPr>
              <w:spacing w:after="20"/>
              <w:ind w:left="20"/>
              <w:jc w:val="both"/>
            </w:pPr>
            <w:r>
              <w:rPr>
                <w:rFonts w:ascii="Times New Roman"/>
                <w:b w:val="false"/>
                <w:i w:val="false"/>
                <w:color w:val="000000"/>
                <w:sz w:val="20"/>
              </w:rPr>
              <w:t>
</w:t>
            </w:r>
            <w:r>
              <w:rPr>
                <w:rFonts w:ascii="Times New Roman"/>
                <w:b w:val="false"/>
                <w:i w:val="false"/>
                <w:color w:val="000000"/>
                <w:sz w:val="20"/>
              </w:rPr>
              <w:t>к 2025 году планируется 100% обеспечение населения централизованным водоснабжением, очисткой сточных вод - 85%;</w:t>
            </w:r>
          </w:p>
          <w:p>
            <w:pPr>
              <w:spacing w:after="20"/>
              <w:ind w:left="20"/>
              <w:jc w:val="both"/>
            </w:pPr>
            <w:r>
              <w:rPr>
                <w:rFonts w:ascii="Times New Roman"/>
                <w:b w:val="false"/>
                <w:i w:val="false"/>
                <w:color w:val="000000"/>
                <w:sz w:val="20"/>
              </w:rPr>
              <w:t>
периодичность отбора проб воды в местах расположения водозаборных сооружений централизованных систем водоснабжения и перед поступлением питьевой воды в распределительную сеть устанавливается органами государственного санитарно-эпидемиологического 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зависимости от местных условий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Жилье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77"/>
          <w:p>
            <w:pPr>
              <w:spacing w:after="20"/>
              <w:ind w:left="20"/>
              <w:jc w:val="both"/>
            </w:pPr>
            <w:r>
              <w:rPr>
                <w:rFonts w:ascii="Times New Roman"/>
                <w:b w:val="false"/>
                <w:i w:val="false"/>
                <w:color w:val="000000"/>
                <w:sz w:val="20"/>
              </w:rPr>
              <w:t>
на 1 января 2018 года норма жилья на 1 человека составила 21,6 м</w:t>
            </w:r>
            <w:r>
              <w:rPr>
                <w:rFonts w:ascii="Times New Roman"/>
                <w:b w:val="false"/>
                <w:i w:val="false"/>
                <w:color w:val="000000"/>
                <w:vertAlign w:val="superscript"/>
              </w:rPr>
              <w:t>2</w:t>
            </w:r>
            <w:r>
              <w:rPr>
                <w:rFonts w:ascii="Times New Roman"/>
                <w:b w:val="false"/>
                <w:i w:val="false"/>
                <w:color w:val="000000"/>
                <w:sz w:val="20"/>
              </w:rPr>
              <w:t>.;</w:t>
            </w:r>
          </w:p>
          <w:bookmarkEnd w:id="577"/>
          <w:p>
            <w:pPr>
              <w:spacing w:after="20"/>
              <w:ind w:left="20"/>
              <w:jc w:val="both"/>
            </w:pPr>
            <w:r>
              <w:rPr>
                <w:rFonts w:ascii="Times New Roman"/>
                <w:b w:val="false"/>
                <w:i w:val="false"/>
                <w:color w:val="000000"/>
                <w:sz w:val="20"/>
              </w:rPr>
              <w:t>
к 2030 году норма жилья на 1 человека должна быть 30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областного/республиканского значения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I,II, III технической категории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дороги и дорожное освещение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внутренних дорог должны быть с твердым покрытием и освещены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78"/>
          <w:p>
            <w:pPr>
              <w:spacing w:after="20"/>
              <w:ind w:left="20"/>
              <w:jc w:val="both"/>
            </w:pPr>
            <w:r>
              <w:rPr>
                <w:rFonts w:ascii="Times New Roman"/>
                <w:b w:val="false"/>
                <w:i w:val="false"/>
                <w:color w:val="000000"/>
                <w:sz w:val="20"/>
              </w:rPr>
              <w:t>
разветвленная сеть доступного общественного транспорта (автобус, электротранспорт, такси);</w:t>
            </w:r>
          </w:p>
          <w:bookmarkEnd w:id="578"/>
          <w:p>
            <w:pPr>
              <w:spacing w:after="20"/>
              <w:ind w:left="20"/>
              <w:jc w:val="both"/>
            </w:pPr>
            <w:r>
              <w:rPr>
                <w:rFonts w:ascii="Times New Roman"/>
                <w:b w:val="false"/>
                <w:i w:val="false"/>
                <w:color w:val="000000"/>
                <w:sz w:val="20"/>
              </w:rPr>
              <w:t>
увеличение доли населения, пользующегося общественным транспортом до 85% к 2025 году.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и необходимости организации регулярных перевозок пассажиров и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79"/>
          <w:p>
            <w:pPr>
              <w:spacing w:after="20"/>
              <w:ind w:left="20"/>
              <w:jc w:val="both"/>
            </w:pPr>
            <w:r>
              <w:rPr>
                <w:rFonts w:ascii="Times New Roman"/>
                <w:b w:val="false"/>
                <w:i w:val="false"/>
                <w:color w:val="000000"/>
                <w:sz w:val="20"/>
              </w:rPr>
              <w:t xml:space="preserve">
пассажиропоток - более 500 отправлений пассажиров в сутки, капитальное здание с залом ожидания вместимостью свыше 75 человек и билетными кассами, пункты медицинского освидетельствования водителей и оказания первичной медико-санитарной помощи, камеры хранения, перрон для посадки и высадки пассажиров, площадки для стоянки автобусов, посты для осмотра автобусов, диспетчерские пункты и комната матери и ребенка, расположенные на территории не менее 5 тысяч квадратных метров. </w:t>
            </w:r>
          </w:p>
          <w:bookmarkEnd w:id="579"/>
          <w:p>
            <w:pPr>
              <w:spacing w:after="20"/>
              <w:ind w:left="20"/>
              <w:jc w:val="both"/>
            </w:pPr>
            <w:r>
              <w:rPr>
                <w:rFonts w:ascii="Times New Roman"/>
                <w:b w:val="false"/>
                <w:i w:val="false"/>
                <w:color w:val="000000"/>
                <w:sz w:val="20"/>
              </w:rPr>
              <w:t>
1 автовокзал рассчитан на количество населения более 500 тыс. человек.</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потребности населения и необходимости организации регулярных перевозок пассажиров 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пассажиропоток - от 100 до 500 отправлений пассажиров в сутки, капитальное здание с залом ожидания вместимостью до 75 человек и билетными кассами, камеры хранения, перрон для посадки и высадки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 площадки для стоянки автобусов, диспетчерские пункты, расположенные на территории не менее 2,5 тысяч квадратных метров. 1 автостанция рассчитана на количество населения от 300 тыс. до 500 тыс.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вокзал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80"/>
          <w:p>
            <w:pPr>
              <w:spacing w:after="20"/>
              <w:ind w:left="20"/>
              <w:jc w:val="both"/>
            </w:pPr>
            <w:r>
              <w:rPr>
                <w:rFonts w:ascii="Times New Roman"/>
                <w:b w:val="false"/>
                <w:i w:val="false"/>
                <w:color w:val="000000"/>
                <w:sz w:val="20"/>
              </w:rPr>
              <w:t>
для городов республиканского значения наличие железнодорожного вокзала согласно классу "Внеклассный";</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для городов областного значения наличие железнодорожного вокзала согласно классу "1", "2";</w:t>
            </w:r>
          </w:p>
          <w:p>
            <w:pPr>
              <w:spacing w:after="20"/>
              <w:ind w:left="20"/>
              <w:jc w:val="both"/>
            </w:pPr>
            <w:r>
              <w:rPr>
                <w:rFonts w:ascii="Times New Roman"/>
                <w:b w:val="false"/>
                <w:i w:val="false"/>
                <w:color w:val="000000"/>
                <w:sz w:val="20"/>
              </w:rPr>
              <w:t>
для городов районного значения наличие железнодорожного вокзала согласно классу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81"/>
          <w:p>
            <w:pPr>
              <w:spacing w:after="20"/>
              <w:ind w:left="20"/>
              <w:jc w:val="both"/>
            </w:pPr>
            <w:r>
              <w:rPr>
                <w:rFonts w:ascii="Times New Roman"/>
                <w:b w:val="false"/>
                <w:i w:val="false"/>
                <w:color w:val="000000"/>
                <w:sz w:val="20"/>
              </w:rPr>
              <w:t>
для городов республиканского значения наличие аэропорта международного уровня категории 2,3 (ИКАО);</w:t>
            </w:r>
          </w:p>
          <w:bookmarkEnd w:id="581"/>
          <w:p>
            <w:pPr>
              <w:spacing w:after="20"/>
              <w:ind w:left="20"/>
              <w:jc w:val="both"/>
            </w:pPr>
            <w:r>
              <w:rPr>
                <w:rFonts w:ascii="Times New Roman"/>
                <w:b w:val="false"/>
                <w:i w:val="false"/>
                <w:color w:val="000000"/>
                <w:sz w:val="20"/>
              </w:rPr>
              <w:t>
</w:t>
            </w:r>
            <w:r>
              <w:rPr>
                <w:rFonts w:ascii="Times New Roman"/>
                <w:b w:val="false"/>
                <w:i w:val="false"/>
                <w:color w:val="000000"/>
                <w:sz w:val="20"/>
              </w:rPr>
              <w:t>для городов областного значения наличие аэропорта международного уровня категории 1 (ИКАО);</w:t>
            </w:r>
          </w:p>
          <w:p>
            <w:pPr>
              <w:spacing w:after="20"/>
              <w:ind w:left="20"/>
              <w:jc w:val="both"/>
            </w:pPr>
            <w:r>
              <w:rPr>
                <w:rFonts w:ascii="Times New Roman"/>
                <w:b w:val="false"/>
                <w:i w:val="false"/>
                <w:color w:val="000000"/>
                <w:sz w:val="20"/>
              </w:rPr>
              <w:t>
для городов районного значения наличие аэропорта некатегорированного.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не менее 10 тыс.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Остановочные павильоны общественного транспорта и их пешеходная доступность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остановочных павильонов общественного транспорта в зависимости от местных (погодных) условий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Велосипедная инфраструктура (включающая в себя велосипедные дорожки, пункты проката, велостоянки)**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велосипедной инфраструктуры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игр и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 общей площади жилого квартала (микрорайона)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Скверы/бульвары/сады для отдыха жителей ("зеленые пространства")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зеленых насаждений для каждого жителя в радиусе 300 метров (1,25 га, но не менее 10% от площади селитебной зоны города)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Площадки для выгула и дрессировки домашних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городов республиканского, областного значения - не менее 400-600 м</w:t>
            </w:r>
            <w:r>
              <w:rPr>
                <w:rFonts w:ascii="Times New Roman"/>
                <w:b w:val="false"/>
                <w:i w:val="false"/>
                <w:color w:val="000000"/>
                <w:vertAlign w:val="superscript"/>
              </w:rPr>
              <w:t>2</w:t>
            </w:r>
            <w:r>
              <w:rPr>
                <w:rFonts w:ascii="Times New Roman"/>
                <w:b w:val="false"/>
                <w:i w:val="false"/>
                <w:color w:val="000000"/>
                <w:sz w:val="20"/>
              </w:rPr>
              <w:t xml:space="preserve"> общей площади (наличие приспособленных территорий для выгула и дрессировки домашних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(общественные)**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82"/>
          <w:p>
            <w:pPr>
              <w:spacing w:after="20"/>
              <w:ind w:left="20"/>
              <w:jc w:val="both"/>
            </w:pPr>
            <w:r>
              <w:rPr>
                <w:rFonts w:ascii="Times New Roman"/>
                <w:b w:val="false"/>
                <w:i w:val="false"/>
                <w:color w:val="000000"/>
                <w:sz w:val="20"/>
              </w:rPr>
              <w:t>
для городов республиканского значения - не менее 30% от зарегистрированных транспортных средств;</w:t>
            </w:r>
          </w:p>
          <w:bookmarkEnd w:id="582"/>
          <w:p>
            <w:pPr>
              <w:spacing w:after="20"/>
              <w:ind w:left="20"/>
              <w:jc w:val="both"/>
            </w:pPr>
            <w:r>
              <w:rPr>
                <w:rFonts w:ascii="Times New Roman"/>
                <w:b w:val="false"/>
                <w:i w:val="false"/>
                <w:color w:val="000000"/>
                <w:sz w:val="20"/>
              </w:rPr>
              <w:t>
для городов областного значения - не менее 20% от зарегистрированных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83"/>
          <w:p>
            <w:pPr>
              <w:spacing w:after="20"/>
              <w:ind w:left="20"/>
              <w:jc w:val="both"/>
            </w:pPr>
            <w:r>
              <w:rPr>
                <w:rFonts w:ascii="Times New Roman"/>
                <w:b w:val="false"/>
                <w:i w:val="false"/>
                <w:color w:val="000000"/>
                <w:sz w:val="20"/>
              </w:rPr>
              <w:t>
для городов республиканского значения - не менее 20% от зарегистрированных транспортных средств;</w:t>
            </w:r>
          </w:p>
          <w:bookmarkEnd w:id="583"/>
          <w:p>
            <w:pPr>
              <w:spacing w:after="20"/>
              <w:ind w:left="20"/>
              <w:jc w:val="both"/>
            </w:pPr>
            <w:r>
              <w:rPr>
                <w:rFonts w:ascii="Times New Roman"/>
                <w:b w:val="false"/>
                <w:i w:val="false"/>
                <w:color w:val="000000"/>
                <w:sz w:val="20"/>
              </w:rPr>
              <w:t>
для городов областного значения - не менее 10% от зарегистрированных транспортных средств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ГАЗС**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84"/>
          <w:p>
            <w:pPr>
              <w:spacing w:after="20"/>
              <w:ind w:left="20"/>
              <w:jc w:val="both"/>
            </w:pPr>
            <w:r>
              <w:rPr>
                <w:rFonts w:ascii="Times New Roman"/>
                <w:b w:val="false"/>
                <w:i w:val="false"/>
                <w:color w:val="000000"/>
                <w:sz w:val="20"/>
              </w:rPr>
              <w:t>
наличие АЗС, ГАЗС с учетом безопасного расположения;</w:t>
            </w:r>
          </w:p>
          <w:bookmarkEnd w:id="584"/>
          <w:p>
            <w:pPr>
              <w:spacing w:after="20"/>
              <w:ind w:left="20"/>
              <w:jc w:val="both"/>
            </w:pPr>
            <w:r>
              <w:rPr>
                <w:rFonts w:ascii="Times New Roman"/>
                <w:b w:val="false"/>
                <w:i w:val="false"/>
                <w:color w:val="000000"/>
                <w:sz w:val="20"/>
              </w:rPr>
              <w:t>
для городов республиканского значения наличие заправки для электромашин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автомойки**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СТО, автомойки в не жилых массивах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85"/>
          <w:p>
            <w:pPr>
              <w:spacing w:after="20"/>
              <w:ind w:left="20"/>
              <w:jc w:val="both"/>
            </w:pPr>
            <w:r>
              <w:rPr>
                <w:rFonts w:ascii="Times New Roman"/>
                <w:b w:val="false"/>
                <w:i w:val="false"/>
                <w:color w:val="000000"/>
                <w:sz w:val="20"/>
              </w:rPr>
              <w:t xml:space="preserve">
Доступность услуг связи: </w:t>
            </w:r>
          </w:p>
          <w:bookmarkEnd w:id="585"/>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телефонная связь</w:t>
            </w:r>
          </w:p>
          <w:p>
            <w:pPr>
              <w:spacing w:after="20"/>
              <w:ind w:left="20"/>
              <w:jc w:val="both"/>
            </w:pPr>
            <w:r>
              <w:rPr>
                <w:rFonts w:ascii="Times New Roman"/>
                <w:b w:val="false"/>
                <w:i w:val="false"/>
                <w:color w:val="000000"/>
                <w:sz w:val="20"/>
              </w:rPr>
              <w:t>
широкополосный доступ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86"/>
          <w:p>
            <w:pPr>
              <w:spacing w:after="20"/>
              <w:ind w:left="20"/>
              <w:jc w:val="both"/>
            </w:pPr>
            <w:r>
              <w:rPr>
                <w:rFonts w:ascii="Times New Roman"/>
                <w:b w:val="false"/>
                <w:i w:val="false"/>
                <w:color w:val="000000"/>
                <w:sz w:val="20"/>
              </w:rPr>
              <w:t>
Телефонная связь - фиксированные проводные линии связи и беспроводные технологии - 2G, 3G, 4G;</w:t>
            </w:r>
          </w:p>
          <w:bookmarkEnd w:id="586"/>
          <w:p>
            <w:pPr>
              <w:spacing w:after="20"/>
              <w:ind w:left="20"/>
              <w:jc w:val="both"/>
            </w:pPr>
            <w:r>
              <w:rPr>
                <w:rFonts w:ascii="Times New Roman"/>
                <w:b w:val="false"/>
                <w:i w:val="false"/>
                <w:color w:val="000000"/>
                <w:sz w:val="20"/>
              </w:rPr>
              <w:t xml:space="preserve">
Широкополосный доступ к сети Интернет - по технологиям ADSL, FTTН, 3G, 4G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Wi-Fi зона с открытым доступом**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Wi-Fi зоны с открытым доступом (места, имеющий обеспечение бесплатным, беспроводным интернетом в общественном транспорте, торговых центрах, на автобусных остановках)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 на 20-40 тыс. чел. (наличие операционного зала, административных помещений, зал для ожидания, банкомат)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некоммерческого акционерного общества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87"/>
          <w:p>
            <w:pPr>
              <w:spacing w:after="20"/>
              <w:ind w:left="20"/>
              <w:jc w:val="both"/>
            </w:pPr>
            <w:r>
              <w:rPr>
                <w:rFonts w:ascii="Times New Roman"/>
                <w:b w:val="false"/>
                <w:i w:val="false"/>
                <w:color w:val="000000"/>
                <w:sz w:val="20"/>
              </w:rPr>
              <w:t>
наличие НАО ГК "Правительство для граждан"</w:t>
            </w:r>
          </w:p>
          <w:bookmarkEnd w:id="58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обслуживания предпринимателей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услугами ЦОП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пункт полиции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88"/>
          <w:p>
            <w:pPr>
              <w:spacing w:after="20"/>
              <w:ind w:left="20"/>
              <w:jc w:val="both"/>
            </w:pPr>
            <w:r>
              <w:rPr>
                <w:rFonts w:ascii="Times New Roman"/>
                <w:b w:val="false"/>
                <w:i w:val="false"/>
                <w:color w:val="000000"/>
                <w:sz w:val="20"/>
              </w:rPr>
              <w:t>
УПП является официальным помещением (зданием) ОВД, предназначенным для организации деятельности участковых инспекторов и их помощников.</w:t>
            </w:r>
          </w:p>
          <w:bookmarkEnd w:id="588"/>
          <w:p>
            <w:pPr>
              <w:spacing w:after="20"/>
              <w:ind w:left="20"/>
              <w:jc w:val="both"/>
            </w:pPr>
            <w:r>
              <w:rPr>
                <w:rFonts w:ascii="Times New Roman"/>
                <w:b w:val="false"/>
                <w:i w:val="false"/>
                <w:color w:val="000000"/>
                <w:sz w:val="20"/>
              </w:rPr>
              <w:t>
</w:t>
            </w:r>
            <w:r>
              <w:rPr>
                <w:rFonts w:ascii="Times New Roman"/>
                <w:b w:val="false"/>
                <w:i w:val="false"/>
                <w:color w:val="000000"/>
                <w:sz w:val="20"/>
              </w:rPr>
              <w:t>УПП состоит из рабочих кабинетов для участковых инспекторов, их помощников из расчета 7,5 квадратных метров на одного сотрудника, комнаты приема граждан и работы с общественностью, помещения для доставленных, комнаты отдыха (отдельно), санитарного узла.</w:t>
            </w:r>
          </w:p>
          <w:p>
            <w:pPr>
              <w:spacing w:after="20"/>
              <w:ind w:left="20"/>
              <w:jc w:val="both"/>
            </w:pPr>
            <w:r>
              <w:rPr>
                <w:rFonts w:ascii="Times New Roman"/>
                <w:b w:val="false"/>
                <w:i w:val="false"/>
                <w:color w:val="000000"/>
                <w:sz w:val="20"/>
              </w:rPr>
              <w:t>
УПП создается в отдельно стоящем здании, а при размещении в одном здании с предприятиями, организациями или в жилых домах должно иметь, отдельный вход. При этом, по возможности, рекомендуется УПП располагать в центре административного участка (микрорайона).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подразделений противопожарной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численности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времени следования первого пожарного подразделения к месту вызова не более 10 минут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отделения**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отделений банка и банкоматов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консультации/нотариус**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практикующих адвокатов, нотариальной конторы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2-3 рабочих мест (наличие объекта по пошиву, ремонту одежды и ремонту обуви)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городов республиканского, областного значения - объект мощностью не менее 50 кг белья в смену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бани**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Общественные туалеты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общественных туалетов не менее 10 приборов или биотуалет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должно быть не менее 100 мест (наличие столовой, кафе, объектов быстрого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Фудмаркеты**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небольшого крытого базара, где можно купить свежие фрукты, овощи, хлебобулочные, молочные и мясные продукты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89"/>
          <w:p>
            <w:pPr>
              <w:spacing w:after="20"/>
              <w:ind w:left="20"/>
              <w:jc w:val="both"/>
            </w:pPr>
            <w:r>
              <w:rPr>
                <w:rFonts w:ascii="Times New Roman"/>
                <w:b w:val="false"/>
                <w:i w:val="false"/>
                <w:color w:val="000000"/>
                <w:sz w:val="20"/>
              </w:rPr>
              <w:t>
для городов республиканского значения- не менее 1000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bookmarkEnd w:id="589"/>
          <w:p>
            <w:pPr>
              <w:spacing w:after="20"/>
              <w:ind w:left="20"/>
              <w:jc w:val="both"/>
            </w:pPr>
            <w:r>
              <w:rPr>
                <w:rFonts w:ascii="Times New Roman"/>
                <w:b w:val="false"/>
                <w:i w:val="false"/>
                <w:color w:val="000000"/>
                <w:sz w:val="20"/>
              </w:rPr>
              <w:t>
</w:t>
            </w:r>
            <w:r>
              <w:rPr>
                <w:rFonts w:ascii="Times New Roman"/>
                <w:b w:val="false"/>
                <w:i w:val="false"/>
                <w:color w:val="000000"/>
                <w:sz w:val="20"/>
              </w:rPr>
              <w:t>для городов областного значения - не менее 500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p>
            <w:pPr>
              <w:spacing w:after="20"/>
              <w:ind w:left="20"/>
              <w:jc w:val="both"/>
            </w:pPr>
            <w:r>
              <w:rPr>
                <w:rFonts w:ascii="Times New Roman"/>
                <w:b w:val="false"/>
                <w:i w:val="false"/>
                <w:color w:val="000000"/>
                <w:sz w:val="20"/>
              </w:rPr>
              <w:t>
для городов районного значения - не менее 300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промышленных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90"/>
          <w:p>
            <w:pPr>
              <w:spacing w:after="20"/>
              <w:ind w:left="20"/>
              <w:jc w:val="both"/>
            </w:pPr>
            <w:r>
              <w:rPr>
                <w:rFonts w:ascii="Times New Roman"/>
                <w:b w:val="false"/>
                <w:i w:val="false"/>
                <w:color w:val="000000"/>
                <w:sz w:val="20"/>
              </w:rPr>
              <w:t>
для городов республиканского значения- не менее 800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для городов областного значения - не менее 400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p>
            <w:pPr>
              <w:spacing w:after="20"/>
              <w:ind w:left="20"/>
              <w:jc w:val="both"/>
            </w:pPr>
            <w:r>
              <w:rPr>
                <w:rFonts w:ascii="Times New Roman"/>
                <w:b w:val="false"/>
                <w:i w:val="false"/>
                <w:color w:val="000000"/>
                <w:sz w:val="20"/>
              </w:rPr>
              <w:t>
для городов районного значения - не менее 200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Торговые павильоны для ведения уличной торговли (овощные, цветочные, газетные)**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торговых киосков, оборудованных для уличной торговли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кулинарии**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91"/>
          <w:p>
            <w:pPr>
              <w:spacing w:after="20"/>
              <w:ind w:left="20"/>
              <w:jc w:val="both"/>
            </w:pPr>
            <w:r>
              <w:rPr>
                <w:rFonts w:ascii="Times New Roman"/>
                <w:b w:val="false"/>
                <w:i w:val="false"/>
                <w:color w:val="000000"/>
                <w:sz w:val="20"/>
              </w:rPr>
              <w:t>
не менее 50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bookmarkEnd w:id="591"/>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92"/>
          <w:p>
            <w:pPr>
              <w:spacing w:after="20"/>
              <w:ind w:left="20"/>
              <w:jc w:val="both"/>
            </w:pPr>
            <w:r>
              <w:rPr>
                <w:rFonts w:ascii="Times New Roman"/>
                <w:b w:val="false"/>
                <w:i w:val="false"/>
                <w:color w:val="000000"/>
                <w:sz w:val="20"/>
              </w:rPr>
              <w:t>
для городов республиканского и областного значения - вместимостью не менее 10 номеров;</w:t>
            </w:r>
          </w:p>
          <w:bookmarkEnd w:id="592"/>
          <w:p>
            <w:pPr>
              <w:spacing w:after="20"/>
              <w:ind w:left="20"/>
              <w:jc w:val="both"/>
            </w:pPr>
            <w:r>
              <w:rPr>
                <w:rFonts w:ascii="Times New Roman"/>
                <w:b w:val="false"/>
                <w:i w:val="false"/>
                <w:color w:val="000000"/>
                <w:sz w:val="20"/>
              </w:rPr>
              <w:t>
для малых городов, курортных, туристических и спортивных зон - вместимостью не менее 6 номеров;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93"/>
          <w:p>
            <w:pPr>
              <w:spacing w:after="20"/>
              <w:ind w:left="20"/>
              <w:jc w:val="both"/>
            </w:pPr>
            <w:r>
              <w:rPr>
                <w:rFonts w:ascii="Times New Roman"/>
                <w:b w:val="false"/>
                <w:i w:val="false"/>
                <w:color w:val="000000"/>
                <w:sz w:val="20"/>
              </w:rPr>
              <w:t>
Сбор, переработка и утилизация твердых бытовых отходов:</w:t>
            </w:r>
          </w:p>
          <w:bookmarkEnd w:id="593"/>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контейнеров для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мусоросортировочных комплексов;</w:t>
            </w:r>
          </w:p>
          <w:p>
            <w:pPr>
              <w:spacing w:after="20"/>
              <w:ind w:left="20"/>
              <w:jc w:val="both"/>
            </w:pPr>
            <w:r>
              <w:rPr>
                <w:rFonts w:ascii="Times New Roman"/>
                <w:b w:val="false"/>
                <w:i w:val="false"/>
                <w:color w:val="000000"/>
                <w:sz w:val="20"/>
              </w:rPr>
              <w:t>
</w:t>
            </w:r>
            <w:r>
              <w:rPr>
                <w:rFonts w:ascii="Times New Roman"/>
                <w:b w:val="false"/>
                <w:i w:val="false"/>
                <w:color w:val="000000"/>
                <w:sz w:val="20"/>
              </w:rPr>
              <w:t>- выделение земельных участков под пункты приема вторичного сырья и их установка;</w:t>
            </w:r>
          </w:p>
          <w:p>
            <w:pPr>
              <w:spacing w:after="20"/>
              <w:ind w:left="20"/>
              <w:jc w:val="both"/>
            </w:pPr>
            <w:r>
              <w:rPr>
                <w:rFonts w:ascii="Times New Roman"/>
                <w:b w:val="false"/>
                <w:i w:val="false"/>
                <w:color w:val="000000"/>
                <w:sz w:val="20"/>
              </w:rPr>
              <w:t>
- строительство полигонов для размещения ТБО и выделение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населения/наполняемости полигонов ТБО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94"/>
          <w:p>
            <w:pPr>
              <w:spacing w:after="20"/>
              <w:ind w:left="20"/>
              <w:jc w:val="both"/>
            </w:pPr>
            <w:r>
              <w:rPr>
                <w:rFonts w:ascii="Times New Roman"/>
                <w:b w:val="false"/>
                <w:i w:val="false"/>
                <w:color w:val="000000"/>
                <w:sz w:val="20"/>
              </w:rPr>
              <w:t>
Охват населения области, города республиканского значения, столицы услугами по сбору и транспортировке отходов в 2018 году составил 72 %, доля переработки - ТБО 11,51%.</w:t>
            </w:r>
          </w:p>
          <w:bookmarkEnd w:id="594"/>
          <w:p>
            <w:pPr>
              <w:spacing w:after="20"/>
              <w:ind w:left="20"/>
              <w:jc w:val="both"/>
            </w:pPr>
            <w:r>
              <w:rPr>
                <w:rFonts w:ascii="Times New Roman"/>
                <w:b w:val="false"/>
                <w:i w:val="false"/>
                <w:color w:val="000000"/>
                <w:sz w:val="20"/>
              </w:rPr>
              <w:t>
</w:t>
            </w:r>
            <w:r>
              <w:rPr>
                <w:rFonts w:ascii="Times New Roman"/>
                <w:b w:val="false"/>
                <w:i w:val="false"/>
                <w:color w:val="000000"/>
                <w:sz w:val="20"/>
              </w:rPr>
              <w:t>Согласно Концепции по переходу Казахстана к "зеленой" экономике к 2030 году население должно быть обеспечено 100% вывозом ТБО, к 2030 году необходимо довести долю переработки отходов до 40%;</w:t>
            </w:r>
          </w:p>
          <w:p>
            <w:pPr>
              <w:spacing w:after="20"/>
              <w:ind w:left="20"/>
              <w:jc w:val="both"/>
            </w:pPr>
            <w:r>
              <w:rPr>
                <w:rFonts w:ascii="Times New Roman"/>
                <w:b w:val="false"/>
                <w:i w:val="false"/>
                <w:color w:val="000000"/>
                <w:sz w:val="20"/>
              </w:rPr>
              <w:t>
к 2030 году 95% полигонов ТБО должно соответствовать экологическим требованиям и санитарным правилам.</w:t>
            </w:r>
          </w:p>
        </w:tc>
      </w:tr>
    </w:tbl>
    <w:p>
      <w:pPr>
        <w:spacing w:after="0"/>
        <w:ind w:left="0"/>
        <w:jc w:val="left"/>
      </w:pPr>
      <w:r>
        <w:br/>
      </w:r>
      <w:r>
        <w:rPr>
          <w:rFonts w:ascii="Times New Roman"/>
          <w:b w:val="false"/>
          <w:i w:val="false"/>
          <w:color w:val="000000"/>
          <w:sz w:val="28"/>
        </w:rPr>
        <w:t>
</w:t>
      </w:r>
    </w:p>
    <w:bookmarkStart w:name="z649" w:id="595"/>
    <w:p>
      <w:pPr>
        <w:spacing w:after="0"/>
        <w:ind w:left="0"/>
        <w:jc w:val="both"/>
      </w:pPr>
      <w:r>
        <w:rPr>
          <w:rFonts w:ascii="Times New Roman"/>
          <w:b w:val="false"/>
          <w:i w:val="false"/>
          <w:color w:val="000000"/>
          <w:sz w:val="28"/>
        </w:rPr>
        <w:t>
      Примечание:</w:t>
      </w:r>
    </w:p>
    <w:bookmarkEnd w:id="595"/>
    <w:bookmarkStart w:name="z650" w:id="596"/>
    <w:p>
      <w:pPr>
        <w:spacing w:after="0"/>
        <w:ind w:left="0"/>
        <w:jc w:val="both"/>
      </w:pPr>
      <w:r>
        <w:rPr>
          <w:rFonts w:ascii="Times New Roman"/>
          <w:b w:val="false"/>
          <w:i w:val="false"/>
          <w:color w:val="000000"/>
          <w:sz w:val="28"/>
        </w:rPr>
        <w:t>
      Перечень объектов и услуг (благ) для городских населенных пунктов рассчитан на 1 планировочный сектор (10 тысяч человек);</w:t>
      </w:r>
    </w:p>
    <w:bookmarkEnd w:id="596"/>
    <w:bookmarkStart w:name="z651" w:id="597"/>
    <w:p>
      <w:pPr>
        <w:spacing w:after="0"/>
        <w:ind w:left="0"/>
        <w:jc w:val="both"/>
      </w:pPr>
      <w:r>
        <w:rPr>
          <w:rFonts w:ascii="Times New Roman"/>
          <w:b w:val="false"/>
          <w:i w:val="false"/>
          <w:color w:val="000000"/>
          <w:sz w:val="28"/>
        </w:rPr>
        <w:t>
      * 1 объект в расчете до 10 планировочных секторов;</w:t>
      </w:r>
    </w:p>
    <w:bookmarkEnd w:id="597"/>
    <w:bookmarkStart w:name="z652" w:id="598"/>
    <w:p>
      <w:pPr>
        <w:spacing w:after="0"/>
        <w:ind w:left="0"/>
        <w:jc w:val="both"/>
      </w:pPr>
      <w:r>
        <w:rPr>
          <w:rFonts w:ascii="Times New Roman"/>
          <w:b w:val="false"/>
          <w:i w:val="false"/>
          <w:color w:val="000000"/>
          <w:sz w:val="28"/>
        </w:rPr>
        <w:t>
      **перечень рекомендуемых объектов и услуг.</w:t>
      </w:r>
    </w:p>
    <w:bookmarkEnd w:id="5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3" w:id="599"/>
    <w:p>
      <w:pPr>
        <w:spacing w:after="0"/>
        <w:ind w:left="0"/>
        <w:jc w:val="left"/>
      </w:pPr>
      <w:r>
        <w:rPr>
          <w:rFonts w:ascii="Times New Roman"/>
          <w:b/>
          <w:i w:val="false"/>
          <w:color w:val="000000"/>
        </w:rPr>
        <w:t xml:space="preserve"> Система региональных стандартов для районных центров</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объектов и услуг (благ)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Базовая мощность объектов и показатели качества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школы с пришкольным интернатом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подлежащего контингента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00"/>
          <w:p>
            <w:pPr>
              <w:spacing w:after="20"/>
              <w:ind w:left="20"/>
              <w:jc w:val="both"/>
            </w:pPr>
            <w:r>
              <w:rPr>
                <w:rFonts w:ascii="Times New Roman"/>
                <w:b w:val="false"/>
                <w:i w:val="false"/>
                <w:color w:val="000000"/>
                <w:sz w:val="20"/>
              </w:rPr>
              <w:t>
130 мест на 1 тыс. чел.;</w:t>
            </w:r>
          </w:p>
          <w:bookmarkEnd w:id="600"/>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подлежащего контингента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01"/>
          <w:p>
            <w:pPr>
              <w:spacing w:after="20"/>
              <w:ind w:left="20"/>
              <w:jc w:val="both"/>
            </w:pPr>
            <w:r>
              <w:rPr>
                <w:rFonts w:ascii="Times New Roman"/>
                <w:b w:val="false"/>
                <w:i w:val="false"/>
                <w:color w:val="000000"/>
                <w:sz w:val="20"/>
              </w:rPr>
              <w:t xml:space="preserve">
30 мест на 1 тыс. чел.; </w:t>
            </w:r>
          </w:p>
          <w:bookmarkEnd w:id="601"/>
          <w:p>
            <w:pPr>
              <w:spacing w:after="20"/>
              <w:ind w:left="20"/>
              <w:jc w:val="both"/>
            </w:pPr>
            <w:r>
              <w:rPr>
                <w:rFonts w:ascii="Times New Roman"/>
                <w:b w:val="false"/>
                <w:i w:val="false"/>
                <w:color w:val="000000"/>
                <w:sz w:val="20"/>
              </w:rPr>
              <w:t>
</w:t>
            </w:r>
            <w:r>
              <w:rPr>
                <w:rFonts w:ascii="Times New Roman"/>
                <w:b w:val="false"/>
                <w:i w:val="false"/>
                <w:color w:val="000000"/>
                <w:sz w:val="20"/>
              </w:rPr>
              <w:t>миницентр при численности населения менее 1 тыс. чел.;</w:t>
            </w:r>
          </w:p>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дополнительного образования, направленные на досуг, развитие и отдых детей различных возрастов*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к кружкам и секциям для развития детей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02"/>
          <w:p>
            <w:pPr>
              <w:spacing w:after="20"/>
              <w:ind w:left="20"/>
              <w:jc w:val="both"/>
            </w:pPr>
            <w:r>
              <w:rPr>
                <w:rFonts w:ascii="Times New Roman"/>
                <w:b w:val="false"/>
                <w:i w:val="false"/>
                <w:color w:val="000000"/>
                <w:sz w:val="20"/>
              </w:rPr>
              <w:t>
организации здравоохранения:</w:t>
            </w:r>
          </w:p>
          <w:bookmarkEnd w:id="602"/>
          <w:p>
            <w:pPr>
              <w:spacing w:after="20"/>
              <w:ind w:left="20"/>
              <w:jc w:val="both"/>
            </w:pPr>
            <w:r>
              <w:rPr>
                <w:rFonts w:ascii="Times New Roman"/>
                <w:b w:val="false"/>
                <w:i w:val="false"/>
                <w:color w:val="000000"/>
                <w:sz w:val="20"/>
              </w:rPr>
              <w:t>
</w:t>
            </w:r>
            <w:r>
              <w:rPr>
                <w:rFonts w:ascii="Times New Roman"/>
                <w:b w:val="false"/>
                <w:i w:val="false"/>
                <w:color w:val="000000"/>
                <w:sz w:val="20"/>
              </w:rPr>
              <w:t>районная больница,</w:t>
            </w:r>
          </w:p>
          <w:p>
            <w:pPr>
              <w:spacing w:after="20"/>
              <w:ind w:left="20"/>
              <w:jc w:val="both"/>
            </w:pPr>
            <w:r>
              <w:rPr>
                <w:rFonts w:ascii="Times New Roman"/>
                <w:b w:val="false"/>
                <w:i w:val="false"/>
                <w:color w:val="000000"/>
                <w:sz w:val="20"/>
              </w:rPr>
              <w:t>
поликлиника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текущей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круглосуточной аптеки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3"/>
          <w:p>
            <w:pPr>
              <w:spacing w:after="20"/>
              <w:ind w:left="20"/>
              <w:jc w:val="both"/>
            </w:pPr>
            <w:r>
              <w:rPr>
                <w:rFonts w:ascii="Times New Roman"/>
                <w:b w:val="false"/>
                <w:i w:val="false"/>
                <w:color w:val="000000"/>
                <w:sz w:val="20"/>
              </w:rPr>
              <w:t>
1 библиотека на 10 тыс. человек населения и 4500 единиц хранения на 3 читательских мест;</w:t>
            </w:r>
          </w:p>
          <w:bookmarkEnd w:id="603"/>
          <w:p>
            <w:pPr>
              <w:spacing w:after="20"/>
              <w:ind w:left="20"/>
              <w:jc w:val="both"/>
            </w:pPr>
            <w:r>
              <w:rPr>
                <w:rFonts w:ascii="Times New Roman"/>
                <w:b w:val="false"/>
                <w:i w:val="false"/>
                <w:color w:val="000000"/>
                <w:sz w:val="20"/>
              </w:rPr>
              <w:t>
</w:t>
            </w:r>
            <w:r>
              <w:rPr>
                <w:rFonts w:ascii="Times New Roman"/>
                <w:b w:val="false"/>
                <w:i w:val="false"/>
                <w:color w:val="000000"/>
                <w:sz w:val="20"/>
              </w:rPr>
              <w:t>центральная библиотека с дополнительным фондом 500 единиц хранения на 0,3 читательских мест;</w:t>
            </w:r>
          </w:p>
          <w:p>
            <w:pPr>
              <w:spacing w:after="20"/>
              <w:ind w:left="20"/>
              <w:jc w:val="both"/>
            </w:pPr>
            <w:r>
              <w:rPr>
                <w:rFonts w:ascii="Times New Roman"/>
                <w:b w:val="false"/>
                <w:i w:val="false"/>
                <w:color w:val="000000"/>
                <w:sz w:val="20"/>
              </w:rPr>
              <w:t>
передвижной пункт выдачи литературы на уровне библиотеки районного центра;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культурно-досуговая организация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4"/>
          <w:p>
            <w:pPr>
              <w:spacing w:after="20"/>
              <w:ind w:left="20"/>
              <w:jc w:val="both"/>
            </w:pPr>
            <w:r>
              <w:rPr>
                <w:rFonts w:ascii="Times New Roman"/>
                <w:b w:val="false"/>
                <w:i w:val="false"/>
                <w:color w:val="000000"/>
                <w:sz w:val="20"/>
              </w:rPr>
              <w:t>
Стационарный культурно-досуговый комплекс:</w:t>
            </w:r>
          </w:p>
          <w:bookmarkEnd w:id="604"/>
          <w:p>
            <w:pPr>
              <w:spacing w:after="20"/>
              <w:ind w:left="20"/>
              <w:jc w:val="both"/>
            </w:pPr>
            <w:r>
              <w:rPr>
                <w:rFonts w:ascii="Times New Roman"/>
                <w:b w:val="false"/>
                <w:i w:val="false"/>
                <w:color w:val="000000"/>
                <w:sz w:val="20"/>
              </w:rPr>
              <w:t>
</w:t>
            </w:r>
            <w:r>
              <w:rPr>
                <w:rFonts w:ascii="Times New Roman"/>
                <w:b w:val="false"/>
                <w:i w:val="false"/>
                <w:color w:val="000000"/>
                <w:sz w:val="20"/>
              </w:rPr>
              <w:t>190-230 мест на 1000 человек при численности населения 2000-5000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140-190 мест на 1000 человек при численности населения свыше 5000 человек;</w:t>
            </w:r>
          </w:p>
          <w:p>
            <w:pPr>
              <w:spacing w:after="20"/>
              <w:ind w:left="20"/>
              <w:jc w:val="both"/>
            </w:pPr>
            <w:r>
              <w:rPr>
                <w:rFonts w:ascii="Times New Roman"/>
                <w:b w:val="false"/>
                <w:i w:val="false"/>
                <w:color w:val="000000"/>
                <w:sz w:val="20"/>
              </w:rPr>
              <w:t>
</w:t>
            </w:r>
            <w:r>
              <w:rPr>
                <w:rFonts w:ascii="Times New Roman"/>
                <w:b w:val="false"/>
                <w:i w:val="false"/>
                <w:color w:val="000000"/>
                <w:sz w:val="20"/>
              </w:rPr>
              <w:t>обеспечение площадей для оказания социальных и коммерческих услуг (Комьюнити центр)*</w:t>
            </w:r>
          </w:p>
          <w:p>
            <w:pPr>
              <w:spacing w:after="20"/>
              <w:ind w:left="20"/>
              <w:jc w:val="both"/>
            </w:pPr>
            <w:r>
              <w:rPr>
                <w:rFonts w:ascii="Times New Roman"/>
                <w:b w:val="false"/>
                <w:i w:val="false"/>
                <w:color w:val="000000"/>
                <w:sz w:val="20"/>
              </w:rPr>
              <w:t>
компьютерный центр с доступом к интернету (многофункциональное устройство)*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 или кинозал*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кинотеатр из расчета 35 мест на 1000 человек населения при численности населения более 3000 человек или кинозал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2</w:t>
            </w:r>
            <w:r>
              <w:rPr>
                <w:rFonts w:ascii="Times New Roman"/>
                <w:b w:val="false"/>
                <w:i w:val="false"/>
                <w:color w:val="000000"/>
                <w:sz w:val="20"/>
              </w:rPr>
              <w:t xml:space="preserve"> на 1000 чел. (наличие футбольного, волейбольного и баскетбольного полей)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5"/>
          <w:p>
            <w:pPr>
              <w:spacing w:after="20"/>
              <w:ind w:left="20"/>
              <w:jc w:val="both"/>
            </w:pPr>
            <w:r>
              <w:rPr>
                <w:rFonts w:ascii="Times New Roman"/>
                <w:b w:val="false"/>
                <w:i w:val="false"/>
                <w:color w:val="000000"/>
                <w:sz w:val="20"/>
              </w:rPr>
              <w:t>
системы водоотведения в населенных пунктах свыше 10 тыс. человек должны быть полностью обеспечены централизованным водоснабжением;</w:t>
            </w:r>
          </w:p>
          <w:bookmarkEnd w:id="605"/>
          <w:p>
            <w:pPr>
              <w:spacing w:after="20"/>
              <w:ind w:left="20"/>
              <w:jc w:val="both"/>
            </w:pPr>
            <w:r>
              <w:rPr>
                <w:rFonts w:ascii="Times New Roman"/>
                <w:b w:val="false"/>
                <w:i w:val="false"/>
                <w:color w:val="000000"/>
                <w:sz w:val="20"/>
              </w:rPr>
              <w:t>
периодичность отбора проб воды в местах расположения водозаборных сооружений централизованных систем водоснабжения и перед поступлением питьевой воды в распределительную сеть устанавливается органами государственного санитарно-эпидемиологического 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местных условий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до областного центра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с твердым покрытием до областного центра должна быть 100% в хорошем и удовлетворительном состоянии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дороги и дорожное освещение*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50% внутренних дорог должны быть с твердым покрытием и освещены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пешеходные дорожки*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дорожной инфраструктуры (дорога с твердым покрытием) обязательная установка пешеходных дорожек согласно утвержденной схеме их расположения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автостанция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потребности населения и необходимости организации регулярных перевозок пассажиров и багажа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пассажиропоток - от 100 до 500 отправлений пассажиров в сутки, капитальное здание с залом ожидания вместимостью до 75 человек и билетными кассами, камеры хранения, перрон для посадки и высадки пассажиров, площадки для стоянки автобусов, диспетчерские пункты, расположенные на территории не менее 2,5 тысяч квадратных метров.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потребности населения и необходимости организации регулярных перевозок пассажиров и багажа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обслуживания пассажиров организуется в населенных пунктах, не имеющих автовокзалов или автостанций, с обустроенным участком придорожной полосы со строением, предназначенным для приобретения проездных документов (билетов), ожидания пассажирами прибытия и посадки-высадки на автобусы, с суточным отправлением до 100 пассажиров и вместимостью до 10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транспорт*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населения к общественному транспорту (автобус, такси, микроавтобус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заправочная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АЗС с учетом безопасного расположения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6"/>
          <w:p>
            <w:pPr>
              <w:spacing w:after="20"/>
              <w:ind w:left="20"/>
              <w:jc w:val="both"/>
            </w:pPr>
            <w:r>
              <w:rPr>
                <w:rFonts w:ascii="Times New Roman"/>
                <w:b w:val="false"/>
                <w:i w:val="false"/>
                <w:color w:val="000000"/>
                <w:sz w:val="20"/>
              </w:rPr>
              <w:t>
доступность услуг связи:</w:t>
            </w:r>
          </w:p>
          <w:bookmarkEnd w:id="606"/>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телефонная связь</w:t>
            </w:r>
          </w:p>
          <w:p>
            <w:pPr>
              <w:spacing w:after="20"/>
              <w:ind w:left="20"/>
              <w:jc w:val="both"/>
            </w:pPr>
            <w:r>
              <w:rPr>
                <w:rFonts w:ascii="Times New Roman"/>
                <w:b w:val="false"/>
                <w:i w:val="false"/>
                <w:color w:val="000000"/>
                <w:sz w:val="20"/>
              </w:rPr>
              <w:t>
широкополосный доступ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07"/>
          <w:p>
            <w:pPr>
              <w:spacing w:after="20"/>
              <w:ind w:left="20"/>
              <w:jc w:val="both"/>
            </w:pPr>
            <w:r>
              <w:rPr>
                <w:rFonts w:ascii="Times New Roman"/>
                <w:b w:val="false"/>
                <w:i w:val="false"/>
                <w:color w:val="000000"/>
                <w:sz w:val="20"/>
              </w:rPr>
              <w:t>
Телефонная связь - фиксированные проводные линии связи и беспроводные технологии - 2G, 4G;</w:t>
            </w:r>
          </w:p>
          <w:bookmarkEnd w:id="607"/>
          <w:p>
            <w:pPr>
              <w:spacing w:after="20"/>
              <w:ind w:left="20"/>
              <w:jc w:val="both"/>
            </w:pPr>
            <w:r>
              <w:rPr>
                <w:rFonts w:ascii="Times New Roman"/>
                <w:b w:val="false"/>
                <w:i w:val="false"/>
                <w:color w:val="000000"/>
                <w:sz w:val="20"/>
              </w:rPr>
              <w:t xml:space="preserve">
Широкополосный доступ к сети интернет - по технологиям ADSL, 3G, 4G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 при численности населения от 2-20 тыс. чел.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некоммерческого акционерного общества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филиала НАО ГК "Правительство для граждан"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поддержки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услугами ЦПП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пункт полиции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08"/>
          <w:p>
            <w:pPr>
              <w:spacing w:after="20"/>
              <w:ind w:left="20"/>
              <w:jc w:val="both"/>
            </w:pPr>
            <w:r>
              <w:rPr>
                <w:rFonts w:ascii="Times New Roman"/>
                <w:b w:val="false"/>
                <w:i w:val="false"/>
                <w:color w:val="000000"/>
                <w:sz w:val="20"/>
              </w:rPr>
              <w:t>
УПП является официальным помещением (зданием) ОВД, предназначенным для организации деятельности участковых инспекторов и их помощников.</w:t>
            </w:r>
          </w:p>
          <w:bookmarkEnd w:id="608"/>
          <w:p>
            <w:pPr>
              <w:spacing w:after="20"/>
              <w:ind w:left="20"/>
              <w:jc w:val="both"/>
            </w:pPr>
            <w:r>
              <w:rPr>
                <w:rFonts w:ascii="Times New Roman"/>
                <w:b w:val="false"/>
                <w:i w:val="false"/>
                <w:color w:val="000000"/>
                <w:sz w:val="20"/>
              </w:rPr>
              <w:t>
</w:t>
            </w:r>
            <w:r>
              <w:rPr>
                <w:rFonts w:ascii="Times New Roman"/>
                <w:b w:val="false"/>
                <w:i w:val="false"/>
                <w:color w:val="000000"/>
                <w:sz w:val="20"/>
              </w:rPr>
              <w:t>УПП состоит из рабочих кабинетов для участковых инспекторов, их помощников из расчета 7,5 квадратных метров на одного сотрудника, комнаты приема граждан и работы с общественностью, помещения для доставленных, комнаты отдыха (отдельно), санитарного узла.</w:t>
            </w:r>
          </w:p>
          <w:p>
            <w:pPr>
              <w:spacing w:after="20"/>
              <w:ind w:left="20"/>
              <w:jc w:val="both"/>
            </w:pPr>
            <w:r>
              <w:rPr>
                <w:rFonts w:ascii="Times New Roman"/>
                <w:b w:val="false"/>
                <w:i w:val="false"/>
                <w:color w:val="000000"/>
                <w:sz w:val="20"/>
              </w:rPr>
              <w:t>
УПП создается в отдельно стоящем здании, а при размещении в одном здании с предприятиями, организациями или в жилых домах должно иметь, отдельный вход. При этом, по возможности, рекомендуется УПП располагать в центре административного участка (микрорайона).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подразделений противопожарной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численности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времени следования первого пожарного подразделения к месту вызова не более 10 минут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филиалы банков второго уровня, а также организации, осуществляющие отдельные виды банковских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отделений банка и банкоматов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нотариальной конторы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питание*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должно быть не менее 50 мест (наличие столовой, кафе, объектов быстрого питания)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баня*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мест в зависимости от численности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09"/>
          <w:p>
            <w:pPr>
              <w:spacing w:after="20"/>
              <w:ind w:left="20"/>
              <w:jc w:val="both"/>
            </w:pPr>
            <w:r>
              <w:rPr>
                <w:rFonts w:ascii="Times New Roman"/>
                <w:b w:val="false"/>
                <w:i w:val="false"/>
                <w:color w:val="000000"/>
                <w:sz w:val="20"/>
              </w:rPr>
              <w:t>
не менее 300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bookmarkEnd w:id="609"/>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промышленных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0"/>
          <w:p>
            <w:pPr>
              <w:spacing w:after="20"/>
              <w:ind w:left="20"/>
              <w:jc w:val="both"/>
            </w:pPr>
            <w:r>
              <w:rPr>
                <w:rFonts w:ascii="Times New Roman"/>
                <w:b w:val="false"/>
                <w:i w:val="false"/>
                <w:color w:val="000000"/>
                <w:sz w:val="20"/>
              </w:rPr>
              <w:t>
Сбор, переработка и утилизация твердых бытовых отходов:</w:t>
            </w:r>
          </w:p>
          <w:bookmarkEnd w:id="610"/>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контейнеров для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контейнеров для металлических золошлаковых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выделение земельных участков под площадки временного хранения отходов, </w:t>
            </w:r>
          </w:p>
          <w:p>
            <w:pPr>
              <w:spacing w:after="20"/>
              <w:ind w:left="20"/>
              <w:jc w:val="both"/>
            </w:pPr>
            <w:r>
              <w:rPr>
                <w:rFonts w:ascii="Times New Roman"/>
                <w:b w:val="false"/>
                <w:i w:val="false"/>
                <w:color w:val="000000"/>
                <w:sz w:val="20"/>
              </w:rPr>
              <w:t>
</w:t>
            </w:r>
            <w:r>
              <w:rPr>
                <w:rFonts w:ascii="Times New Roman"/>
                <w:b w:val="false"/>
                <w:i w:val="false"/>
                <w:color w:val="000000"/>
                <w:sz w:val="20"/>
              </w:rPr>
              <w:t>- выделение земельных участков под мусоросортировочных комплексов ТБО и их установка;</w:t>
            </w:r>
          </w:p>
          <w:p>
            <w:pPr>
              <w:spacing w:after="20"/>
              <w:ind w:left="20"/>
              <w:jc w:val="both"/>
            </w:pPr>
            <w:r>
              <w:rPr>
                <w:rFonts w:ascii="Times New Roman"/>
                <w:b w:val="false"/>
                <w:i w:val="false"/>
                <w:color w:val="000000"/>
                <w:sz w:val="20"/>
              </w:rPr>
              <w:t>
</w:t>
            </w:r>
            <w:r>
              <w:rPr>
                <w:rFonts w:ascii="Times New Roman"/>
                <w:b w:val="false"/>
                <w:i w:val="false"/>
                <w:color w:val="000000"/>
                <w:sz w:val="20"/>
              </w:rPr>
              <w:t>- выделение земельных участков под пункты приема вторсырья и их установка;</w:t>
            </w:r>
          </w:p>
          <w:p>
            <w:pPr>
              <w:spacing w:after="20"/>
              <w:ind w:left="20"/>
              <w:jc w:val="both"/>
            </w:pPr>
            <w:r>
              <w:rPr>
                <w:rFonts w:ascii="Times New Roman"/>
                <w:b w:val="false"/>
                <w:i w:val="false"/>
                <w:color w:val="000000"/>
                <w:sz w:val="20"/>
              </w:rPr>
              <w:t>
- строительство полигонов для размещения ТБО и выделение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11"/>
          <w:p>
            <w:pPr>
              <w:spacing w:after="20"/>
              <w:ind w:left="20"/>
              <w:jc w:val="both"/>
            </w:pPr>
            <w:r>
              <w:rPr>
                <w:rFonts w:ascii="Times New Roman"/>
                <w:b w:val="false"/>
                <w:i w:val="false"/>
                <w:color w:val="000000"/>
                <w:sz w:val="20"/>
              </w:rPr>
              <w:t>
Согласно Концепции по переходу Казахстана к "зеленой" экономике к 2030 году население должно быть обеспечено 100% вывозом ТБО, к 2030 году необходимо довести долю переработки отходов до 40%;</w:t>
            </w:r>
          </w:p>
          <w:bookmarkEnd w:id="611"/>
          <w:p>
            <w:pPr>
              <w:spacing w:after="20"/>
              <w:ind w:left="20"/>
              <w:jc w:val="both"/>
            </w:pPr>
            <w:r>
              <w:rPr>
                <w:rFonts w:ascii="Times New Roman"/>
                <w:b w:val="false"/>
                <w:i w:val="false"/>
                <w:color w:val="000000"/>
                <w:sz w:val="20"/>
              </w:rPr>
              <w:t>
к 2030 году 95% полигонов ТБО должны соответствовать экологическим требованиям и санитарным правилам.</w:t>
            </w:r>
          </w:p>
        </w:tc>
      </w:tr>
    </w:tbl>
    <w:bookmarkStart w:name="z679" w:id="612"/>
    <w:p>
      <w:pPr>
        <w:spacing w:after="0"/>
        <w:ind w:left="0"/>
        <w:jc w:val="both"/>
      </w:pPr>
      <w:r>
        <w:rPr>
          <w:rFonts w:ascii="Times New Roman"/>
          <w:b w:val="false"/>
          <w:i w:val="false"/>
          <w:color w:val="000000"/>
          <w:sz w:val="28"/>
        </w:rPr>
        <w:t>
      Примечание:</w:t>
      </w:r>
    </w:p>
    <w:bookmarkEnd w:id="612"/>
    <w:bookmarkStart w:name="z680" w:id="613"/>
    <w:p>
      <w:pPr>
        <w:spacing w:after="0"/>
        <w:ind w:left="0"/>
        <w:jc w:val="both"/>
      </w:pPr>
      <w:r>
        <w:rPr>
          <w:rFonts w:ascii="Times New Roman"/>
          <w:b w:val="false"/>
          <w:i w:val="false"/>
          <w:color w:val="000000"/>
          <w:sz w:val="28"/>
        </w:rPr>
        <w:t>
      *перечень рекомендуемых объектов и услуг</w:t>
      </w:r>
    </w:p>
    <w:bookmarkEnd w:id="6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1" w:id="614"/>
    <w:p>
      <w:pPr>
        <w:spacing w:after="0"/>
        <w:ind w:left="0"/>
        <w:jc w:val="left"/>
      </w:pPr>
      <w:r>
        <w:rPr>
          <w:rFonts w:ascii="Times New Roman"/>
          <w:b/>
          <w:i w:val="false"/>
          <w:color w:val="000000"/>
        </w:rPr>
        <w:t xml:space="preserve"> Система региональных стандартов для центров сельских округов, в т.ч. опорных сельских населенных пунктов</w:t>
      </w:r>
    </w:p>
    <w:bookmarkEnd w:id="6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объектов и услуг (благ)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Базовая мощность объектов и показатели качества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общеобразовательная школа (не малокомплектная) с подвозом детей из близлежащих сел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подлежащего контингента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15"/>
          <w:p>
            <w:pPr>
              <w:spacing w:after="20"/>
              <w:ind w:left="20"/>
              <w:jc w:val="both"/>
            </w:pPr>
            <w:r>
              <w:rPr>
                <w:rFonts w:ascii="Times New Roman"/>
                <w:b w:val="false"/>
                <w:i w:val="false"/>
                <w:color w:val="000000"/>
                <w:sz w:val="20"/>
              </w:rPr>
              <w:t>
130 мест на 1 тыс. чел.;</w:t>
            </w:r>
          </w:p>
          <w:bookmarkEnd w:id="615"/>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16"/>
          <w:p>
            <w:pPr>
              <w:spacing w:after="20"/>
              <w:ind w:left="20"/>
              <w:jc w:val="both"/>
            </w:pPr>
            <w:r>
              <w:rPr>
                <w:rFonts w:ascii="Times New Roman"/>
                <w:b w:val="false"/>
                <w:i w:val="false"/>
                <w:color w:val="000000"/>
                <w:sz w:val="20"/>
              </w:rPr>
              <w:t>
дошкольная организация образования</w:t>
            </w:r>
          </w:p>
          <w:bookmarkEnd w:id="616"/>
          <w:p>
            <w:pPr>
              <w:spacing w:after="20"/>
              <w:ind w:left="20"/>
              <w:jc w:val="both"/>
            </w:pPr>
            <w:r>
              <w:rPr>
                <w:rFonts w:ascii="Times New Roman"/>
                <w:b w:val="false"/>
                <w:i w:val="false"/>
                <w:color w:val="000000"/>
                <w:sz w:val="20"/>
              </w:rPr>
              <w:t>
(ДДО или миницентр)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подлежащего контингента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17"/>
          <w:p>
            <w:pPr>
              <w:spacing w:after="20"/>
              <w:ind w:left="20"/>
              <w:jc w:val="both"/>
            </w:pPr>
            <w:r>
              <w:rPr>
                <w:rFonts w:ascii="Times New Roman"/>
                <w:b w:val="false"/>
                <w:i w:val="false"/>
                <w:color w:val="000000"/>
                <w:sz w:val="20"/>
              </w:rPr>
              <w:t>
30 мест на 1 тыс. чел.;</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миницентр при численности населения менее 1 тыс. чел.;</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p>
            <w:pPr>
              <w:spacing w:after="20"/>
              <w:ind w:left="20"/>
              <w:jc w:val="both"/>
            </w:pPr>
            <w:r>
              <w:rPr>
                <w:rFonts w:ascii="Times New Roman"/>
                <w:b w:val="false"/>
                <w:i w:val="false"/>
                <w:color w:val="000000"/>
                <w:sz w:val="20"/>
              </w:rPr>
              <w:t>
Ежегодно составляют акт обследования технического состояния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18"/>
          <w:p>
            <w:pPr>
              <w:spacing w:after="20"/>
              <w:ind w:left="20"/>
              <w:jc w:val="both"/>
            </w:pPr>
            <w:r>
              <w:rPr>
                <w:rFonts w:ascii="Times New Roman"/>
                <w:b w:val="false"/>
                <w:i w:val="false"/>
                <w:color w:val="000000"/>
                <w:sz w:val="20"/>
              </w:rPr>
              <w:t xml:space="preserve">
организации здравоохранения: </w:t>
            </w:r>
          </w:p>
          <w:bookmarkEnd w:id="618"/>
          <w:p>
            <w:pPr>
              <w:spacing w:after="20"/>
              <w:ind w:left="20"/>
              <w:jc w:val="both"/>
            </w:pPr>
            <w:r>
              <w:rPr>
                <w:rFonts w:ascii="Times New Roman"/>
                <w:b w:val="false"/>
                <w:i w:val="false"/>
                <w:color w:val="000000"/>
                <w:sz w:val="20"/>
              </w:rPr>
              <w:t>
врачебная амбулатория (ВА) или фельдшерско-акушерский пункт (ФАП)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текущей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библиотека при численности населения более 1 тыс. чел. - 5-6 читательских мест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культурно-досуговый комплекс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19"/>
          <w:p>
            <w:pPr>
              <w:spacing w:after="20"/>
              <w:ind w:left="20"/>
              <w:jc w:val="both"/>
            </w:pPr>
            <w:r>
              <w:rPr>
                <w:rFonts w:ascii="Times New Roman"/>
                <w:b w:val="false"/>
                <w:i w:val="false"/>
                <w:color w:val="000000"/>
                <w:sz w:val="20"/>
              </w:rPr>
              <w:t>
стационарный культурно-досуговый комплекс при численности населения более 1 тыс. человек;</w:t>
            </w:r>
          </w:p>
          <w:bookmarkEnd w:id="619"/>
          <w:p>
            <w:pPr>
              <w:spacing w:after="20"/>
              <w:ind w:left="20"/>
              <w:jc w:val="both"/>
            </w:pPr>
            <w:r>
              <w:rPr>
                <w:rFonts w:ascii="Times New Roman"/>
                <w:b w:val="false"/>
                <w:i w:val="false"/>
                <w:color w:val="000000"/>
                <w:sz w:val="20"/>
              </w:rPr>
              <w:t>
передвижной культурно-досуговый комплекс при численности населения менее 1 тыс.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залы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м</w:t>
            </w:r>
            <w:r>
              <w:rPr>
                <w:rFonts w:ascii="Times New Roman"/>
                <w:b w:val="false"/>
                <w:i w:val="false"/>
                <w:color w:val="000000"/>
                <w:vertAlign w:val="superscript"/>
              </w:rPr>
              <w:t>2</w:t>
            </w:r>
            <w:r>
              <w:rPr>
                <w:rFonts w:ascii="Times New Roman"/>
                <w:b w:val="false"/>
                <w:i w:val="false"/>
                <w:color w:val="000000"/>
                <w:sz w:val="20"/>
              </w:rPr>
              <w:t xml:space="preserve"> на 1 тыс. чел (наличие футбольного, волейбольного и баскетбольного полей)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20"/>
          <w:p>
            <w:pPr>
              <w:spacing w:after="20"/>
              <w:ind w:left="20"/>
              <w:jc w:val="both"/>
            </w:pPr>
            <w:r>
              <w:rPr>
                <w:rFonts w:ascii="Times New Roman"/>
                <w:b w:val="false"/>
                <w:i w:val="false"/>
                <w:color w:val="000000"/>
                <w:sz w:val="20"/>
              </w:rPr>
              <w:t>
в селах свыше 1000 человек по согласованию с населением проводить полную централизованную систему с подведением сетей до границ потребителей;</w:t>
            </w:r>
          </w:p>
          <w:bookmarkEnd w:id="620"/>
          <w:p>
            <w:pPr>
              <w:spacing w:after="20"/>
              <w:ind w:left="20"/>
              <w:jc w:val="both"/>
            </w:pPr>
            <w:r>
              <w:rPr>
                <w:rFonts w:ascii="Times New Roman"/>
                <w:b w:val="false"/>
                <w:i w:val="false"/>
                <w:color w:val="000000"/>
                <w:sz w:val="20"/>
              </w:rPr>
              <w:t>
периодичность отбора проб воды в местах расположения водозаборных сооружений централизованных систем водоснабжения и перед поступлением питьевой воды в распределительную сеть устанавливается органами государственного санитарно-эпидемиологического 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местных условий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дорога до районного центра с твердым покрытием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21"/>
          <w:p>
            <w:pPr>
              <w:spacing w:after="20"/>
              <w:ind w:left="20"/>
              <w:jc w:val="both"/>
            </w:pPr>
            <w:r>
              <w:rPr>
                <w:rFonts w:ascii="Times New Roman"/>
                <w:b w:val="false"/>
                <w:i w:val="false"/>
                <w:color w:val="000000"/>
                <w:sz w:val="20"/>
              </w:rPr>
              <w:t>
дорога с твердым покрытием до районного центра должна быть 100% в удовлетворительном состоянии;</w:t>
            </w:r>
          </w:p>
          <w:bookmarkEnd w:id="621"/>
          <w:p>
            <w:pPr>
              <w:spacing w:after="20"/>
              <w:ind w:left="20"/>
              <w:jc w:val="both"/>
            </w:pPr>
            <w:r>
              <w:rPr>
                <w:rFonts w:ascii="Times New Roman"/>
                <w:b w:val="false"/>
                <w:i w:val="false"/>
                <w:color w:val="000000"/>
                <w:sz w:val="20"/>
              </w:rPr>
              <w:t>
время в пути: от центра сельского округа до районного центра должно составлять 60-120 минут*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дороги и дорожное освещение*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 внутренних дорог должны быть с твердым покрытием и освещены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автостанция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потребности населения и необходимости организации регулярных перевозок пассажиров и багажа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пассажиропоток - от 100 до 500 отправлений пассажиров в сутки, капитальное здание с залом ожидания вместимостью до 75 человек и билетными кассами, камеры хранения, перрон для посадки и высадки пассажиров, площадки для стоянки автобусов, диспетчерские пункты, расположенные на территории не менее 2,5 тысяч квадратных метров.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потребности населения и необходимости организации регулярных перевозок пассажиров и багажа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22"/>
          <w:p>
            <w:pPr>
              <w:spacing w:after="20"/>
              <w:ind w:left="20"/>
              <w:jc w:val="both"/>
            </w:pPr>
            <w:r>
              <w:rPr>
                <w:rFonts w:ascii="Times New Roman"/>
                <w:b w:val="false"/>
                <w:i w:val="false"/>
                <w:color w:val="000000"/>
                <w:sz w:val="20"/>
              </w:rPr>
              <w:t xml:space="preserve">
пункт обслуживания пассажиров организуется в населенных пунктах, не имеющих автовокзалов или автостанций, с обустроенным участком придорожной </w:t>
            </w:r>
          </w:p>
          <w:bookmarkEnd w:id="622"/>
          <w:p>
            <w:pPr>
              <w:spacing w:after="20"/>
              <w:ind w:left="20"/>
              <w:jc w:val="both"/>
            </w:pPr>
            <w:r>
              <w:rPr>
                <w:rFonts w:ascii="Times New Roman"/>
                <w:b w:val="false"/>
                <w:i w:val="false"/>
                <w:color w:val="000000"/>
                <w:sz w:val="20"/>
              </w:rPr>
              <w:t>
полосы со строением, предназначенным для приобретения проездных документов (билетов), ожидания пассажирами прибытия и посадки-высадки на автобусы, с суточным отправлением до 100 пассажиров и вместимостью до 10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23"/>
          <w:p>
            <w:pPr>
              <w:spacing w:after="20"/>
              <w:ind w:left="20"/>
              <w:jc w:val="both"/>
            </w:pPr>
            <w:r>
              <w:rPr>
                <w:rFonts w:ascii="Times New Roman"/>
                <w:b w:val="false"/>
                <w:i w:val="false"/>
                <w:color w:val="000000"/>
                <w:sz w:val="20"/>
              </w:rPr>
              <w:t xml:space="preserve">
доступность услуг связи: </w:t>
            </w:r>
          </w:p>
          <w:bookmarkEnd w:id="623"/>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телефонная связь</w:t>
            </w:r>
          </w:p>
          <w:p>
            <w:pPr>
              <w:spacing w:after="20"/>
              <w:ind w:left="20"/>
              <w:jc w:val="both"/>
            </w:pPr>
            <w:r>
              <w:rPr>
                <w:rFonts w:ascii="Times New Roman"/>
                <w:b w:val="false"/>
                <w:i w:val="false"/>
                <w:color w:val="000000"/>
                <w:sz w:val="20"/>
              </w:rPr>
              <w:t>
доступ к сети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24"/>
          <w:p>
            <w:pPr>
              <w:spacing w:after="20"/>
              <w:ind w:left="20"/>
              <w:jc w:val="both"/>
            </w:pPr>
            <w:r>
              <w:rPr>
                <w:rFonts w:ascii="Times New Roman"/>
                <w:b w:val="false"/>
                <w:i w:val="false"/>
                <w:color w:val="000000"/>
                <w:sz w:val="20"/>
              </w:rPr>
              <w:t>
в зависимости от численности населения</w:t>
            </w:r>
          </w:p>
          <w:bookmarkEnd w:id="624"/>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25"/>
          <w:p>
            <w:pPr>
              <w:spacing w:after="20"/>
              <w:ind w:left="20"/>
              <w:jc w:val="both"/>
            </w:pPr>
            <w:r>
              <w:rPr>
                <w:rFonts w:ascii="Times New Roman"/>
                <w:b w:val="false"/>
                <w:i w:val="false"/>
                <w:color w:val="000000"/>
                <w:sz w:val="20"/>
              </w:rPr>
              <w:t>
Телефонная связь - фиксированные проводные линии связи и беспроводные технологии - 2G;</w:t>
            </w:r>
          </w:p>
          <w:bookmarkEnd w:id="625"/>
          <w:p>
            <w:pPr>
              <w:spacing w:after="20"/>
              <w:ind w:left="20"/>
              <w:jc w:val="both"/>
            </w:pPr>
            <w:r>
              <w:rPr>
                <w:rFonts w:ascii="Times New Roman"/>
                <w:b w:val="false"/>
                <w:i w:val="false"/>
                <w:color w:val="000000"/>
                <w:sz w:val="20"/>
              </w:rPr>
              <w:t>
Доступ к сети Интернет - по технологии CDMA/EVDO</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 при численности населения не менее 2 тыс.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специалистов некоммерческого акционерного общества "Государственная корпорация "Правительство для граждан"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Посещение специалистов филиала НАО ГК "Правительство для граждан"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государственных услуг для центров сельских округов, находящихся в 30 км и более от районного центра, по утвержденному местным исполнительным органом района графику, но не реже одного раза в месяц</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мобильные центры поддержки предпринимательства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услугами ЦПП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самообслуживания в здании акимата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консультаций для населения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участковый пункт полиции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26"/>
          <w:p>
            <w:pPr>
              <w:spacing w:after="20"/>
              <w:ind w:left="20"/>
              <w:jc w:val="both"/>
            </w:pPr>
            <w:r>
              <w:rPr>
                <w:rFonts w:ascii="Times New Roman"/>
                <w:b w:val="false"/>
                <w:i w:val="false"/>
                <w:color w:val="000000"/>
                <w:sz w:val="20"/>
              </w:rPr>
              <w:t>
УПП является официальным помещением (зданием) ОВД, предназначенным для организации деятельности участковых инспекторов и их помощников.</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УПП состоит из рабочих кабинетов для участковых инспекторов, их помощников из расчета 7,5 квадратных метров на одного сотрудника, комнаты приема граждан и работы с общественностью, помещения для доставленных, комнаты отдыха (отдельно), санитарного узла.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УПП создается в отдельно стоящем здании, а при размещении в одном здании с предприятиями, организациями или в жилых домах должно иметь отдельный вход.</w:t>
            </w:r>
          </w:p>
          <w:p>
            <w:pPr>
              <w:spacing w:after="20"/>
              <w:ind w:left="20"/>
              <w:jc w:val="both"/>
            </w:pPr>
            <w:r>
              <w:rPr>
                <w:rFonts w:ascii="Times New Roman"/>
                <w:b w:val="false"/>
                <w:i w:val="false"/>
                <w:color w:val="000000"/>
                <w:sz w:val="20"/>
              </w:rPr>
              <w:t>
При этом, по возможности, рекомендуется УПП располагать в центре административного участка (микрорайона).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подразделений противопожарной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численностью населения более 5 тыс. человек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времени следования первого пожарного подразделения к месту вызова не более 20 минут. Противопожарную защиту целесообразно обеспечить исходя из условия, что одним созданным пожарным подразделением будет обеспечиваться безопасность нескольких населенных пунктов в радиусе 20 километров при оптимальном его географическом расположении.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постов или добровольных пожарных формирований, создаваемых местными исполнительными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численностью населения менее 5 тыс. человек </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продовольственных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27"/>
          <w:p>
            <w:pPr>
              <w:spacing w:after="20"/>
              <w:ind w:left="20"/>
              <w:jc w:val="both"/>
            </w:pPr>
            <w:r>
              <w:rPr>
                <w:rFonts w:ascii="Times New Roman"/>
                <w:b w:val="false"/>
                <w:i w:val="false"/>
                <w:color w:val="000000"/>
                <w:sz w:val="20"/>
              </w:rPr>
              <w:t>
не менее 100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bookmarkEnd w:id="627"/>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промышленных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28"/>
          <w:p>
            <w:pPr>
              <w:spacing w:after="20"/>
              <w:ind w:left="20"/>
              <w:jc w:val="both"/>
            </w:pPr>
            <w:r>
              <w:rPr>
                <w:rFonts w:ascii="Times New Roman"/>
                <w:b w:val="false"/>
                <w:i w:val="false"/>
                <w:color w:val="000000"/>
                <w:sz w:val="20"/>
              </w:rPr>
              <w:t>
не менее 50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bookmarkEnd w:id="628"/>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29"/>
          <w:p>
            <w:pPr>
              <w:spacing w:after="20"/>
              <w:ind w:left="20"/>
              <w:jc w:val="both"/>
            </w:pPr>
            <w:r>
              <w:rPr>
                <w:rFonts w:ascii="Times New Roman"/>
                <w:b w:val="false"/>
                <w:i w:val="false"/>
                <w:color w:val="000000"/>
                <w:sz w:val="20"/>
              </w:rPr>
              <w:t>
Сбор, переработка и утилизация твердых бытовых отходов:</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контейнеров для раздельного сбора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контейнеров для металлических золошлаковых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установка мусоросортировочных комплексов ТБО;</w:t>
            </w:r>
          </w:p>
          <w:p>
            <w:pPr>
              <w:spacing w:after="20"/>
              <w:ind w:left="20"/>
              <w:jc w:val="both"/>
            </w:pPr>
            <w:r>
              <w:rPr>
                <w:rFonts w:ascii="Times New Roman"/>
                <w:b w:val="false"/>
                <w:i w:val="false"/>
                <w:color w:val="000000"/>
                <w:sz w:val="20"/>
              </w:rPr>
              <w:t>
</w:t>
            </w:r>
            <w:r>
              <w:rPr>
                <w:rFonts w:ascii="Times New Roman"/>
                <w:b w:val="false"/>
                <w:i w:val="false"/>
                <w:color w:val="000000"/>
                <w:sz w:val="20"/>
              </w:rPr>
              <w:t>- выделение земельных участков под пункты приема вторсырья и площадок временного хранения отходов;</w:t>
            </w:r>
          </w:p>
          <w:p>
            <w:pPr>
              <w:spacing w:after="20"/>
              <w:ind w:left="20"/>
              <w:jc w:val="both"/>
            </w:pPr>
            <w:r>
              <w:rPr>
                <w:rFonts w:ascii="Times New Roman"/>
                <w:b w:val="false"/>
                <w:i w:val="false"/>
                <w:color w:val="000000"/>
                <w:sz w:val="20"/>
              </w:rPr>
              <w:t>
- строительство полигонов для размещения ТБО и выделение земельных участков.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30"/>
          <w:p>
            <w:pPr>
              <w:spacing w:after="20"/>
              <w:ind w:left="20"/>
              <w:jc w:val="both"/>
            </w:pPr>
            <w:r>
              <w:rPr>
                <w:rFonts w:ascii="Times New Roman"/>
                <w:b w:val="false"/>
                <w:i w:val="false"/>
                <w:color w:val="000000"/>
                <w:sz w:val="20"/>
              </w:rPr>
              <w:t>
Согласно Концепции по переходу Казахстана к "зеленой" экономике к 2030 году население должно быть обеспечено 100% вывозом ТБО, к 2030 году необходимо довести долю переработки отходов до 40%;</w:t>
            </w:r>
          </w:p>
          <w:bookmarkEnd w:id="630"/>
          <w:p>
            <w:pPr>
              <w:spacing w:after="20"/>
              <w:ind w:left="20"/>
              <w:jc w:val="both"/>
            </w:pPr>
            <w:r>
              <w:rPr>
                <w:rFonts w:ascii="Times New Roman"/>
                <w:b w:val="false"/>
                <w:i w:val="false"/>
                <w:color w:val="000000"/>
                <w:sz w:val="20"/>
              </w:rPr>
              <w:t>
к 2030 году 95% полигонов ТБО должны соответствовать экологическим требованиям и санитарным правилам.</w:t>
            </w:r>
          </w:p>
        </w:tc>
      </w:tr>
    </w:tbl>
    <w:bookmarkStart w:name="z707" w:id="631"/>
    <w:p>
      <w:pPr>
        <w:spacing w:after="0"/>
        <w:ind w:left="0"/>
        <w:jc w:val="both"/>
      </w:pPr>
      <w:r>
        <w:rPr>
          <w:rFonts w:ascii="Times New Roman"/>
          <w:b w:val="false"/>
          <w:i w:val="false"/>
          <w:color w:val="000000"/>
          <w:sz w:val="28"/>
        </w:rPr>
        <w:t>
      Примечание:</w:t>
      </w:r>
    </w:p>
    <w:bookmarkEnd w:id="631"/>
    <w:bookmarkStart w:name="z708" w:id="632"/>
    <w:p>
      <w:pPr>
        <w:spacing w:after="0"/>
        <w:ind w:left="0"/>
        <w:jc w:val="both"/>
      </w:pPr>
      <w:r>
        <w:rPr>
          <w:rFonts w:ascii="Times New Roman"/>
          <w:b w:val="false"/>
          <w:i w:val="false"/>
          <w:color w:val="000000"/>
          <w:sz w:val="28"/>
        </w:rPr>
        <w:t>
      *перечень рекомендуемых объектов и услуг</w:t>
      </w:r>
    </w:p>
    <w:bookmarkEnd w:id="6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09" w:id="633"/>
    <w:p>
      <w:pPr>
        <w:spacing w:after="0"/>
        <w:ind w:left="0"/>
        <w:jc w:val="left"/>
      </w:pPr>
      <w:r>
        <w:rPr>
          <w:rFonts w:ascii="Times New Roman"/>
          <w:b/>
          <w:i w:val="false"/>
          <w:color w:val="000000"/>
        </w:rPr>
        <w:t xml:space="preserve"> Система региональных стандартов для остальных сельских населенных пунктов</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объектов и услуг (благ)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Базовая мощность объектов и показатели качества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школа, основная школа, средняя школа и (или) бесплатный подвоз обучающихся до ближайшей школы и обратно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учащихся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34"/>
          <w:p>
            <w:pPr>
              <w:spacing w:after="20"/>
              <w:ind w:left="20"/>
              <w:jc w:val="both"/>
            </w:pPr>
            <w:r>
              <w:rPr>
                <w:rFonts w:ascii="Times New Roman"/>
                <w:b w:val="false"/>
                <w:i w:val="false"/>
                <w:color w:val="000000"/>
                <w:sz w:val="20"/>
              </w:rPr>
              <w:t>
130 мест на 1 тыс. чел.;</w:t>
            </w:r>
          </w:p>
          <w:bookmarkEnd w:id="634"/>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35"/>
          <w:p>
            <w:pPr>
              <w:spacing w:after="20"/>
              <w:ind w:left="20"/>
              <w:jc w:val="both"/>
            </w:pPr>
            <w:r>
              <w:rPr>
                <w:rFonts w:ascii="Times New Roman"/>
                <w:b w:val="false"/>
                <w:i w:val="false"/>
                <w:color w:val="000000"/>
                <w:sz w:val="20"/>
              </w:rPr>
              <w:t>
дошкольная организация образования</w:t>
            </w:r>
          </w:p>
          <w:bookmarkEnd w:id="635"/>
          <w:p>
            <w:pPr>
              <w:spacing w:after="20"/>
              <w:ind w:left="20"/>
              <w:jc w:val="both"/>
            </w:pPr>
            <w:r>
              <w:rPr>
                <w:rFonts w:ascii="Times New Roman"/>
                <w:b w:val="false"/>
                <w:i w:val="false"/>
                <w:color w:val="000000"/>
                <w:sz w:val="20"/>
              </w:rPr>
              <w:t>
(миницентр)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подлежащего контингента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миницентра в соответствии с утвержденными строительными, санитарно-гигиеническими нормами и правилами, приказами центрального уполномоченного органа в сфере образования и науки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36"/>
          <w:p>
            <w:pPr>
              <w:spacing w:after="20"/>
              <w:ind w:left="20"/>
              <w:jc w:val="both"/>
            </w:pPr>
            <w:r>
              <w:rPr>
                <w:rFonts w:ascii="Times New Roman"/>
                <w:b w:val="false"/>
                <w:i w:val="false"/>
                <w:color w:val="000000"/>
                <w:sz w:val="20"/>
              </w:rPr>
              <w:t>
организации здравоохранения:</w:t>
            </w:r>
          </w:p>
          <w:bookmarkEnd w:id="636"/>
          <w:p>
            <w:pPr>
              <w:spacing w:after="20"/>
              <w:ind w:left="20"/>
              <w:jc w:val="both"/>
            </w:pPr>
            <w:r>
              <w:rPr>
                <w:rFonts w:ascii="Times New Roman"/>
                <w:b w:val="false"/>
                <w:i w:val="false"/>
                <w:color w:val="000000"/>
                <w:sz w:val="20"/>
              </w:rPr>
              <w:t>
фельдшерско-акушерский пункт (ФАП) или медицинский пункт (МП)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 и текущей потребности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утвержденными строительными, санитарно-гигиеническими нормами и правилами, приказами центрального уполномоченного органа в сфере здравоохранения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аптечный киоск*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аптечного киоска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электроснабжения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централизованное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численности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37"/>
          <w:p>
            <w:pPr>
              <w:spacing w:after="20"/>
              <w:ind w:left="20"/>
              <w:jc w:val="both"/>
            </w:pPr>
            <w:r>
              <w:rPr>
                <w:rFonts w:ascii="Times New Roman"/>
                <w:b w:val="false"/>
                <w:i w:val="false"/>
                <w:color w:val="000000"/>
                <w:sz w:val="20"/>
              </w:rPr>
              <w:t>
в селах от 200 до 500 человек, по согласованию с населением проводить упрощенную систему водоснабжения (централизация только главных улиц с установкой водоразборных колонок, подключение к централизованной системе социально важных объектов);</w:t>
            </w:r>
          </w:p>
          <w:bookmarkEnd w:id="637"/>
          <w:p>
            <w:pPr>
              <w:spacing w:after="20"/>
              <w:ind w:left="20"/>
              <w:jc w:val="both"/>
            </w:pPr>
            <w:r>
              <w:rPr>
                <w:rFonts w:ascii="Times New Roman"/>
                <w:b w:val="false"/>
                <w:i w:val="false"/>
                <w:color w:val="000000"/>
                <w:sz w:val="20"/>
              </w:rPr>
              <w:t>
</w:t>
            </w:r>
            <w:r>
              <w:rPr>
                <w:rFonts w:ascii="Times New Roman"/>
                <w:b w:val="false"/>
                <w:i w:val="false"/>
                <w:color w:val="000000"/>
                <w:sz w:val="20"/>
              </w:rPr>
              <w:t>в селах от 500 до 1000 человек по согласованию с населением проводить централизованную систему (с водоразборными колонками) с возможностью подведения сетей до границ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в селах свыше 1000 человек по согласованию с населением проводить полную централизованную систему с подведением сетей до границ потребителей;</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комплексный блок-модуль очистки воды при численности населения менее 200 человек;</w:t>
            </w:r>
          </w:p>
          <w:p>
            <w:pPr>
              <w:spacing w:after="20"/>
              <w:ind w:left="20"/>
              <w:jc w:val="both"/>
            </w:pPr>
            <w:r>
              <w:rPr>
                <w:rFonts w:ascii="Times New Roman"/>
                <w:b w:val="false"/>
                <w:i w:val="false"/>
                <w:color w:val="000000"/>
                <w:sz w:val="20"/>
              </w:rPr>
              <w:t>
периодичность отбора проб воды в местах расположения водозаборных сооружений централизованных систем водоснабжения и перед поступлением питьевой воды в распределительную сеть устанавливается органами государственного санитарно-эпидемиологического надзора.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дорога до центра сельского округа с твердым покрытием; грунтовая дорога внутри села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38"/>
          <w:p>
            <w:pPr>
              <w:spacing w:after="20"/>
              <w:ind w:left="20"/>
              <w:jc w:val="both"/>
            </w:pPr>
            <w:r>
              <w:rPr>
                <w:rFonts w:ascii="Times New Roman"/>
                <w:b w:val="false"/>
                <w:i w:val="false"/>
                <w:color w:val="000000"/>
                <w:sz w:val="20"/>
              </w:rPr>
              <w:t>
в зависимости от местных условий с учетом круглогодичной доступности и нагрузки интенсивности движения автотранспорта, особенно грузового;</w:t>
            </w:r>
          </w:p>
          <w:bookmarkEnd w:id="638"/>
          <w:p>
            <w:pPr>
              <w:spacing w:after="20"/>
              <w:ind w:left="20"/>
              <w:jc w:val="both"/>
            </w:pPr>
            <w:r>
              <w:rPr>
                <w:rFonts w:ascii="Times New Roman"/>
                <w:b w:val="false"/>
                <w:i w:val="false"/>
                <w:color w:val="000000"/>
                <w:sz w:val="20"/>
              </w:rPr>
              <w:t>
время в пути: от села до центра сельского округа должно составлять до 30-45 минут*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обслуживания пассажиров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согласно потребности населения и необходимости организации регулярных перевозок пассажиров и багажа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обслуживания пассажиров организуется в населенных пунктах, не имеющих автовокзалов или автостанций, с обустроенным участком придорожной полосы со строением, предназначенным для приобретения проездных документов (билетов), ожидания пассажирами прибытия и посадки-высадки на автобусы, с суточным отправлением до 100 пассажиров и вместимостью до 10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39"/>
          <w:p>
            <w:pPr>
              <w:spacing w:after="20"/>
              <w:ind w:left="20"/>
              <w:jc w:val="both"/>
            </w:pPr>
            <w:r>
              <w:rPr>
                <w:rFonts w:ascii="Times New Roman"/>
                <w:b w:val="false"/>
                <w:i w:val="false"/>
                <w:color w:val="000000"/>
                <w:sz w:val="20"/>
              </w:rPr>
              <w:t xml:space="preserve">
доступность услуг связи: </w:t>
            </w:r>
          </w:p>
          <w:bookmarkEnd w:id="639"/>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телефонная связь</w:t>
            </w:r>
          </w:p>
          <w:p>
            <w:pPr>
              <w:spacing w:after="20"/>
              <w:ind w:left="20"/>
              <w:jc w:val="both"/>
            </w:pPr>
            <w:r>
              <w:rPr>
                <w:rFonts w:ascii="Times New Roman"/>
                <w:b w:val="false"/>
                <w:i w:val="false"/>
                <w:color w:val="000000"/>
                <w:sz w:val="20"/>
              </w:rPr>
              <w:t xml:space="preserve">
доступ к сети интернет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40"/>
          <w:p>
            <w:pPr>
              <w:spacing w:after="20"/>
              <w:ind w:left="20"/>
              <w:jc w:val="both"/>
            </w:pPr>
            <w:r>
              <w:rPr>
                <w:rFonts w:ascii="Times New Roman"/>
                <w:b w:val="false"/>
                <w:i w:val="false"/>
                <w:color w:val="000000"/>
                <w:sz w:val="20"/>
              </w:rPr>
              <w:t>
в зависимости от численности населения</w:t>
            </w:r>
          </w:p>
          <w:bookmarkEnd w:id="640"/>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41"/>
          <w:p>
            <w:pPr>
              <w:spacing w:after="20"/>
              <w:ind w:left="20"/>
              <w:jc w:val="both"/>
            </w:pPr>
            <w:r>
              <w:rPr>
                <w:rFonts w:ascii="Times New Roman"/>
                <w:b w:val="false"/>
                <w:i w:val="false"/>
                <w:color w:val="000000"/>
                <w:sz w:val="20"/>
              </w:rPr>
              <w:t>
Телефонная связь - фиксированные проводные линии связи и беспроводные технологии - 2G (при численности населения более 500 человек);</w:t>
            </w:r>
          </w:p>
          <w:bookmarkEnd w:id="641"/>
          <w:p>
            <w:pPr>
              <w:spacing w:after="20"/>
              <w:ind w:left="20"/>
              <w:jc w:val="both"/>
            </w:pPr>
            <w:r>
              <w:rPr>
                <w:rFonts w:ascii="Times New Roman"/>
                <w:b w:val="false"/>
                <w:i w:val="false"/>
                <w:color w:val="000000"/>
                <w:sz w:val="20"/>
              </w:rPr>
              <w:t xml:space="preserve">
Доступ к сети интернет - посредством спутниковой связи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подразделений противопожарной службы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численностью населения более 5 тыс.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времени следования первого пожарного подразделения к месту вызова не более 20 минут. Противопожарную защиту целесообразно обеспечить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пожарных постов или добровольных пожарных формирований, создаваемых местными исполнительными органами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численностью населения менее 5 тыс. человек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исходя из условия, что одним созданным пожарным подразделением будет обеспечиваться безопасность нескольких населенных пунктов в радиусе 20 километров при оптимальном его географическом расположении.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смешанных товаров*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потребности населения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42"/>
          <w:p>
            <w:pPr>
              <w:spacing w:after="20"/>
              <w:ind w:left="20"/>
              <w:jc w:val="both"/>
            </w:pPr>
            <w:r>
              <w:rPr>
                <w:rFonts w:ascii="Times New Roman"/>
                <w:b w:val="false"/>
                <w:i w:val="false"/>
                <w:color w:val="000000"/>
                <w:sz w:val="20"/>
              </w:rPr>
              <w:t>
не менее 50 м</w:t>
            </w:r>
            <w:r>
              <w:rPr>
                <w:rFonts w:ascii="Times New Roman"/>
                <w:b w:val="false"/>
                <w:i w:val="false"/>
                <w:color w:val="000000"/>
                <w:vertAlign w:val="superscript"/>
              </w:rPr>
              <w:t>2</w:t>
            </w:r>
            <w:r>
              <w:rPr>
                <w:rFonts w:ascii="Times New Roman"/>
                <w:b w:val="false"/>
                <w:i w:val="false"/>
                <w:color w:val="000000"/>
                <w:sz w:val="20"/>
              </w:rPr>
              <w:t xml:space="preserve"> общей торговой площади.</w:t>
            </w:r>
          </w:p>
          <w:bookmarkEnd w:id="642"/>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43"/>
          <w:p>
            <w:pPr>
              <w:spacing w:after="20"/>
              <w:ind w:left="20"/>
              <w:jc w:val="both"/>
            </w:pPr>
            <w:r>
              <w:rPr>
                <w:rFonts w:ascii="Times New Roman"/>
                <w:b w:val="false"/>
                <w:i w:val="false"/>
                <w:color w:val="000000"/>
                <w:sz w:val="20"/>
              </w:rPr>
              <w:t>
Сбор, переработка и утилизация твердых бытовых отходов:</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 выделение земельных участков под пункты приема вторсырья и их установка;</w:t>
            </w:r>
          </w:p>
          <w:p>
            <w:pPr>
              <w:spacing w:after="20"/>
              <w:ind w:left="20"/>
              <w:jc w:val="both"/>
            </w:pPr>
            <w:r>
              <w:rPr>
                <w:rFonts w:ascii="Times New Roman"/>
                <w:b w:val="false"/>
                <w:i w:val="false"/>
                <w:color w:val="000000"/>
                <w:sz w:val="20"/>
              </w:rPr>
              <w:t>
- установка перевалочных пунктов (площадок для временного складирования ТБО для последующего вывоза)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44"/>
          <w:p>
            <w:pPr>
              <w:spacing w:after="20"/>
              <w:ind w:left="20"/>
              <w:jc w:val="both"/>
            </w:pPr>
            <w:r>
              <w:rPr>
                <w:rFonts w:ascii="Times New Roman"/>
                <w:b w:val="false"/>
                <w:i w:val="false"/>
                <w:color w:val="000000"/>
                <w:sz w:val="20"/>
              </w:rPr>
              <w:t>
в зависимости от численности населения</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в радиусе 50 км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Концепции по переходу Казахстана к "зеленой" экономике к 2030 году население должно быть обеспечено 100% вывозом ТБО, к 2030 году необходимо довести долю переработки отходов до 40%.</w:t>
            </w:r>
          </w:p>
        </w:tc>
      </w:tr>
    </w:tbl>
    <w:bookmarkStart w:name="z727" w:id="645"/>
    <w:p>
      <w:pPr>
        <w:spacing w:after="0"/>
        <w:ind w:left="0"/>
        <w:jc w:val="both"/>
      </w:pPr>
      <w:r>
        <w:rPr>
          <w:rFonts w:ascii="Times New Roman"/>
          <w:b w:val="false"/>
          <w:i w:val="false"/>
          <w:color w:val="000000"/>
          <w:sz w:val="28"/>
        </w:rPr>
        <w:t>
      Примечание:</w:t>
      </w:r>
    </w:p>
    <w:bookmarkEnd w:id="645"/>
    <w:bookmarkStart w:name="z728" w:id="646"/>
    <w:p>
      <w:pPr>
        <w:spacing w:after="0"/>
        <w:ind w:left="0"/>
        <w:jc w:val="both"/>
      </w:pPr>
      <w:r>
        <w:rPr>
          <w:rFonts w:ascii="Times New Roman"/>
          <w:b w:val="false"/>
          <w:i w:val="false"/>
          <w:color w:val="000000"/>
          <w:sz w:val="28"/>
        </w:rPr>
        <w:t>
      *перечень рекомендуемых объектов и услуг</w:t>
      </w:r>
    </w:p>
    <w:bookmarkEnd w:id="6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Государственной программе развития</w:t>
            </w:r>
            <w:r>
              <w:br/>
            </w:r>
            <w:r>
              <w:rPr>
                <w:rFonts w:ascii="Times New Roman"/>
                <w:b w:val="false"/>
                <w:i w:val="false"/>
                <w:color w:val="000000"/>
                <w:sz w:val="20"/>
              </w:rPr>
              <w:t>регионов на 2020 - 2025 годы</w:t>
            </w:r>
          </w:p>
        </w:tc>
      </w:tr>
    </w:tbl>
    <w:bookmarkStart w:name="z730" w:id="647"/>
    <w:p>
      <w:pPr>
        <w:spacing w:after="0"/>
        <w:ind w:left="0"/>
        <w:jc w:val="left"/>
      </w:pPr>
      <w:r>
        <w:rPr>
          <w:rFonts w:ascii="Times New Roman"/>
          <w:b/>
          <w:i w:val="false"/>
          <w:color w:val="000000"/>
        </w:rPr>
        <w:t xml:space="preserve"> Состав функциональных городских районов</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Центры ФГР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населенного пункта в составе ФГР (население, тыс.чел.) (на 01.01.2019г.)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г.Акколь (13,7), с. Косшы (34,3), с. Коянды (19,5), с.Караоткель (20,5), с.Талапкер (13,8), с.Акмол (11,5), с.Жибек Жолы (6,3), с.Кабанбай Батыра (6,3), с.Каражар (5,4), с.Ыбырай Алтынсарина (3,3), а.Бозайгыр (3,0), с.Софиевка (3,1), с.Кажымукан (2,9), с.Кызылсуат (2,7), с.Арайлы (2,4), с.Тайтобе (2,1), с.Нур-Есиль (2,2), с. имени Р.Кошкарбаева (1,7), с.Кызылжар (1,2), с.Тонкерис (1,2), с.Волгодоновка (1,1), с.Ынтымак (1,0), с.Шубары (1,1), ст.Тонкерис (0,9), с.Аккайын (0,7) с.Жалтырколь (0,7), с.Отемис (0,5), с.Ключи (0,5), с.Костомар (0,4), ст.Бабатай (0,3), с.Раздольное (0,4), с. Койгельды (0,3), с.Жанажол (0,3), ст. Разъезд 42 (0,2), с.Нура (0,2), с.Преображенка (0,1), с.Жайнак (0,1), с.Каратомар (0,1), с.Сарыадыр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г.Есик (33), г.Талгар (42,9), г.Каскелен (64,5), г.Капшагай (45,5), с.Ават (6,9). с.Кайрат (0,7), с.Акши (5,3), с.Казатком (0,6), с.Сазы (0,06), с.Байтерек (14,8), с.Алга (1,7), с.Койшибек (1,7), с.Балтабай (3,7), с.Акбастау (1,7), с.Актогай (0,7), с.Бирлик (1,2), с.Енбек (1,2), с.Куш (0,3), с.Орнек (0,6), с.Болек (5,5), с.Аймен (1,6), с.Карасай (2,1), с.Байдибек бия (Маловодное) (11,8), с.Жанашар (4,2), с.Базаркельды (1,0), с.Космос (2,6), с.Каракемер (5,8), с.Сатай (0,4). с.Талдыбулак (1,3), с.Кызылжар (4,6), с.Алмалы (3,2), с.Коктобе (4,3), с.Толе би (3,1), с.Кырбалтабай (1,8), с.Акжал (0,3), с.Екпинди (0,5), с.Кайнар (0,2), с.Шалкар (0,2), с.Кайназар (5,3), с.Азат (4,5), с.Орикти (Красный Восток) (13,0), с.Рахат (2,6), с.Саймасай (4,2), с.Амангельды (2,2), с.Ташкенсаз (3,8), с.Баяндай (1,2), с.Кульжинское (0,5), с.Тургень (14,2), с.Таутургень (0,8), с.Сарыбай би (2,9), с.Енбекшиарал (1,4), с.Кайназар (3,4), с.Карасай (0,6), с.Кызылсок (0,2), с.Каргалы (30,7), с.Мынбаево (5,4), с.Балгабек Кыдырбекулы (2,9), с.Узынагаш (39,4), с.Жанакурылыс (4,4), с.Ынтымак (2,9), с.Умбеталы Карибаева (3,8), с.Касымбек (3,2), с.Шолаккаргалы (1,2), с.Жапек батыр (9,1), с.Коккайнар (4,0), с.Мухаметжан Туймебаев (15,8), с. Толе би (1,2), с.Али (1,5), с.Байсерке (18,8), с.Жанадаур (3,1), с.Жанаталап (1,5), с.Коктерек (0,8), с.Ынтымак (4,8), с.Енбек (0,7), с.Жетыген (20,6), с.Кайрат (0,3), с.Куйган (1,2), с.Жана Арна (1,0), с. КазЦИК (13,5), с.Комсомол (3,3), с.Карой (6,3), с.Косозен (3,0), с.Нургиса Тлендиева (2,6), с.Междуреченское (8,9), с.Екпинды (3,0), с.Жаугашты (1,5), с.Боралдай (33,1), с.Коянкус (3,0), с.Чапаево (10,4), с.Карасу (0,6), с.Отеген батыр (15,2), с.Покровка (7,2), с.Коктобе (0,02), с.Айтей (7,2), с.Енбекши (3,4), с.Кумарал (1,1), с.Сауыншы (0,3), с.Уштерек (1,6), Разъезд 71 (0,5), с.Аксенгир (0,8), с.Береке (6,0), с. Ельтай (2,3), с.Жармухамбет (1,2), с.Исаево (1,9), с.Каратобе (0,7), с.Кокозек (2,4), с.Коктоган (0,4), с.Батан (3,0), с.Жамбыл (4,8), с.Кошмамбет (5,8), с.Улан (3,2), с.Жандосово (7,2), с.Кайрат (0,2), с.Шалкар (4,1) с.Иргели (13,8), Кемертоган (3,2), с.Коксай (12,8), с.Жынгылды (0,05), с.Кольащы (4,7), с.Куркудык (0,04), с.Турар (4,7), ст.Шамалган (24,7), с.Бекболат Ашекеева (5,4), с.Кайнар (2,0), с.Сауыншы (0,4), с.Абай (11,7), с.Булакты (5,5), с.Долан (2,4), с.Кумтоган (0,2), с.Кыргауылды (8,0), с.Райымбек (6,9), с.Жанатурмыс (5,2), с.Алмалыбак (5,1), с.Жалпаксай (7,5), с.Кольди (1,8), с.Мерей (2,0), с.Айкым (0,03), с.Шамалган (Ушконыр) (20,2), с. Кызылкайрат (7,7), с. Алмалык (1,2), с.Алтындан (0,2), с.Амангельды (1,2), с.Байбулак (0,5), с.Береке (0,7), с.Орман (0,08), с.Рыскулово (3,5), с.Чимбулак (0,9), с.Белбулак (9,4), с.Бирлик (3,5), с.Талдыбулак (6,1), с.Бесағаш (22,5), с.Акбулак (0,2), с.Бескайнар (1,9), с. Котырбулак (0,09), с. Гульдала (10,3), с.Киши Байсерке (2,1), с.Жана Куат (3,6), с.Еркин (4,1), с. Достык (0,2), с.Еламан (1,0), с.Жалкамыс (3,3), с.Жанаарна (0,3), с.Жаналык (3,4), с.Коктал (2,3), с.Кайнар (1,0), с.Даулет (2,6), с.Сактан (0,2), с.Теренкара (0,4), с. Кендала (8,2), с. Акдала (1,0), с.Актас (1,2), с.Енбекши (1,9), с.Нура (4,9), с.Каратоган (0,4), с.Остемир (2,0), с.Туганбай (2,3), с. Панфилово (11,1), с.Аркабай (0,9), с.Каменское плато (0,2), с. Карабулак (4,4), с.Кызылту (5,8), с.Тонкерис (2,5), с.Тузусай (0,4), с.Туздыбастау (18,3), с.Заречное (5,7), с.Арна (1,1), раз.Боктер (0,02), раз.Кулантобе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Ленгер (24,0), с.Темирлан (14,7), с.Аксу (2,6), с.Карабулак (46,5), с.Манкент (30,9), с.Чубарсу (8,4).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г.Хромтау (26,5), г.Алга (20,4), с.Сарыжар (Хлебодаровка) (4,7), с.Бестамак (3,6), с.Маржанбулак (1,9), с.Нурбулак (Шибаевка) (0,5), с.Жеруйык (0,2), Бесқоспа (0,4), Қаракудык (1), Коктогай (0,4), с.Тыккайын (0,3), Қарахобда (0,6), Токмансай (0,4), Каратаусай (0,5), Қурмансай (0,3), ст.Жазык (0,3), Табантал (0,4), Тассай (0,5).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ФГР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с.Атамекен (41,3), с.Баскудык (33,8), с.Мангистау (31,3), с.Кызылтюбе (30,4), с.Даулет (29,6), с.Акшукыр (10,6), с.Батыр (7,9), с.Умирзак (4,6), с.Баянды (5,7), с.Сайын Шапагатулы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Атырау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с.Томарлы (10,0), с.Тасқала (6,0), с.Еркинкала (5,9), с.Акжар (4,3), с.Жанаталап (3,9), с.Ракуша (3,9), с.Курмангазы (3,1), с.Атырау (3,0), с.Аксай (2,6), с.Амангелды (2,1), с.Дамба (1,4), с.Бесикти (1,3), с.Талгайран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Караганда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г.Темиртау (186,2), г.Сарань (52,0), г.Абай (58,6), с.Доскей (4,5), с.Дубовка (4,1), с.Уштобе (3,3), с.Кокпекты (2,8), с.Новоузенка (1,8), с.Тогызкудук (1,1), с.Курминское (1,1), с.Байкадам (0,9), с.Заречное (0,8), с.Каракудук (0,7), с.Сарытобе (0,6), с.Курлус (0,5), с.Новостройка (0,5), с.Жумабек (0,4), с.Сокурское (0,3), с.Трудовое (0,3).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Кокшетау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г.Щучинск (46,8), с.Красный Яр (12), с.Шагалы (2,1), п.Алексеевка (1,6), с.Акколь (1,2), с.Конысбай (0,9), с.Симферополь (0,8), ст.Чаглинка (0,6), с.Садовое (0,6), с.Васильковка (0,5), с.Акадыр (0,5), п.Гранитный (0,5), с.Еликти (0,6), с.Заречное (0,4), с.Ивановка (0,3), с.Кызылтан (0,3), с.Казахстан (0,2), с.Ескенежал (0,2), с.Булак (0,2), с.Донгул-Агаш (0,2), ст.Жаман-Ащи (0,1), с.Кызыл Жулдыз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Костанай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г.Рудный (130,1), п.Затобольск (24,6), с.Заречное (7,0), с.Мичуринское (2,8), с.Жамбыл (2,3), с.Октябрьское (1,8), с. Садовое (1,3), с.Алтынсарино (1,2), с.Майколь (1,0), с.Алтын дала (0,9), с.Абай (0,6), с.Шеминовское (0,6), с.Талапкер (0,6), с.Осиновка (0,5), с.Ждановка (0,5), с.Молокановка (0,5), с.Лиманное (0,4), с.Новоселовка (0,4), с.Енбек (0,4), с.Жуковка (0,3), с.Арман (0,3), с. Рязановка (0,2), с.Рыбное (0,3), с.Шоккарагай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Кызылорда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с.Ж.Маханбетов (6,4), с.Кызылжарма (8,0), с.Караозек (2,5), с.Карауылтобе (2,4), с.Абай (2,4), с.Талсуат (2,2), с.Баймурат батыр (1,5), с.Досан (1,0), ст.Караозек (0,7), с.Айнаколь (0,6), с.Калгандария (0,1), с.Кубас (0,1), с.Талдыарал (0,7), с.Бирказан (0,3), с. Ирколь (0,08).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г.Аксу (43,2), п.Ленински (10,3), с.Кенжеколь (6,9), с.Павлодарское (6,4), с.Красноармейка (2,6), с.Жетекши (2,3), с.Жолкудук (1,7), с.Мойылды (1,5), с.Заря (1,3), с.Госплемстанция (1,3), с.Новочерноярка (1,3), с.Алгабас (1,2), с.Мичурино (1,2), с.Байдала (0,8), с.Шакат (0,8), с.Айнаколь (0,6), с.Черноярка (0,6), с.Зангар (0,5), ст.Спутник (0,4), с.Сычевка (0,4), с.Бирлик (0,4), с.Долгое (0,3), с.Коктас (0,2), с.Коряковка (0,2), с.Жертумсык (0,2), с.Заозерное (0,2).с.Подстепное (0,2), с.Карабай (0,1), с.Сынтас (0,1), ст.Красноармейка (0,1), с.Шанды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Петропавловск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с.Якорь (2,0), с.Прибрежное (1,7), с.Байтерек (1,6), с.Асаново (1,3), с.Новокаменка (1,1), с.Белое (0,9), с.Большая Малышка (0,9), с.Пресновка (0,9), с.Тепличное (0,6), с.Подгорное (0,5), с.Березовка (0,5), с.Пеньково (1,1), с.Петерфельд (1,6), с.Бесколь (12,5), с.Соколовка (2,5), с.Краснознаменное (0,7), с.Покровка (1,0).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с.Озерки (2,5), с.Приречное (1,8), с.Чекоман (1,7), с.Мукур (1,6), с.Прииртышское (1,1), с.Достык (0,4), с.Жаркын (0,8), с.Стеклянка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Талдыкорган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г.Текели (32), с. Алдабергеново (4,1), с. Жаналык (0,43), с. Жастар (0,77), с. Карабулак (13,1), с. Абай (1,0), с. Матая Баисова (1,5), с. Ешкиолмес (1,1), с. Оркусак (0,46), с. Шымыр (2,1), а. Бактыбай Жолбарысулы (7,2), с. Ельтай (2,3), с. Отенай (0,4), с. Кокжазык (1,6), с. Боктерли (0,2), с.Тенлик (0,2), с. Сырымбет (2,0), с. Жетысу (1,6), с. Екпинди (0,5), с. Жендик (0,2), с.Каражиде (1,2), с.Сарыбулак (0,4), с. Балпык би (13,3), с. Акшатоган (1,0), с. Теректы (1,3), с. Каратал (0,5), с. Мамбет (2,1), с.Жамбыл (1,1), с. Енбекшиказах (1,0), с. Мукры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Тараз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с.Сарыкемер (31,0), с.Асса (12,0), с.Жалпак-Тобе (9,8), а.Бурыл (9,05), а.Туймекент (7,2), с.Красная Звезда (6,2), с.Гродеково (5,5), с.Пригородное (5,5), а.Байзак (5,1), с.Талас (4,5), с.Айшабиби (4,5), а.Кумжота (3,9), с.Шайкорык (3,5), с.Турксиб (3,6), а.Коктал (3,5), с.Кызылкайнар (3,4), с.Бесагаш (3,0), а.Жетыбай (2,9), с.Бектобе (2,9), с.Акбулым (2,8), с.Кенес (2,5), а.Мадимар (2,6), с.Мырзатай (2,3), с.Орнек (2,3), с.Каракемер (2,2), с.Кокбастау (2,3), с.Ульгули (2,1), с.Костобе (2,0), с.Дихан (2,0), с.Жасоркен (1,9), с.Ерназар (1,7), с.Кызылшарык (1,6), с.Бесжилдык (1,5), а.Акжар (1,3), с.Бирлесу-Енбек (1,4), с.Ашыбулак (1,3), с.Тастобе (1,3), с.Абай (1,2), с.Дихан (1,3), а.Жакаш (1,1), ст.Талас (1,1), с.Кусак (1,0), а.Шахан (0,9), с.Шайдана (0,9), а.Аймантобе (0,8), с.Тегистик (0,8), с.Карасу (0,8), с.Шокай (0,8) , а.Кумтиын (0,8), с.Аккия (0,8), ст.Акчулак (0,7), а.Байтерек (0,7), а. Базарбай (0,7), с.Каратау (0,7), с.Кызылдихан (0,7), а.Сенкибай (0,8), с.Кокозек (0,7), с.Енбек (0,6), с.Капал (0,6), с.Сарыбарак (0,6), с.Жанатурмыс (0,6), с.Коныртобе (0,5), с.Жамбыл (0,5), ст.Шайкорык (0,5), а.Ботамойнак (0,5), с.Рахат (0,5), с.Тогызтарау (0,5), а.Женис (0,5), с.Жанасаз (0,4), а.Жибекжолы (0,4), с.Костобе (0,4), а.Тегистик (0,4), с.Торткул (0,3), с.Танты (0,3), с.Жанаоткель (0,25), с.Кемел (0,3), ст.Жума (0,3), ст.Учбулак (0,2), с.Актобе (0,2), с.Аулиеколь (0,2), уч.Колькайнар (0,1), рзд.Кайнар (0,1), с.Сенгирбай (0,1), с.Кумсуат (0,1), с.Торегельды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Туркестан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г.Кентау (69,5), c.30 лет Казахстана (8,2), с.Бершинтобе (1,0), с.Шага (1,5), с.Шоктас (0,2), с.Енбекши дихан (2,4), с.Шойтобе (0,7), с.Орангай (5,1), с.Бостандык (1,4), с.Коскорган (1,7), с.Карашык (8,3), с.Кумтиын (2,0), с.Каратобе (0,1), с.Ески Икан (16,4), с.Шорнак (3,5), с.Аша (4,1), с.Космезгил (5,3), с.32 разъезд (0,1), с.Теке (3,5), с.С.Кожанов (0,8), с.Нуртас (1,8), с.Жалантос (0,3), с.Жуйнек (6,0), с.Шыпан (2,1), с.Шекербулак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г.Усть-Каменогорск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п.Глубокое (9,6), п.Белоусовка (9,3), п.Касым Кайсенова (6,0), с.Меновное (5,1), с.Опытное поле (4,7), Прапорщиково (3,4), с.Ахмирово (2,3), с.Hово-Ахмирово (2,1), с.Бобровка (2,1), с.Айыртау (2,1), с.Сагыр (1,9), с.Тарханка (1,8), с.Уварово (1,7), с.Ушаново (1,6), с.Прогресс (1,6), с.Мамай батыр (Васильевка) (1,5), с.Винное (1,4), с.Герасимовка (1,4), с.Солнечное (1,2), с.Hово-Явленка (1,1), с.Степное (1,1), с.Саратовка (1,0), с.Алмасай (0,9), с.Самсоновка (0,6), с.Hово-Одесское (0,6), с.Украинка (0,6), с.Казачье (0,4), с.Феклистовка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Уральск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с.Подстепное (8,7), с.Мичуринское (6,0), с.Дарьинское (5,6), п.Круглоозерный (5,4), с.Достык (4,5), с.Новая Жизнь (3,5), с.Трекино (3,0), с.Махамбет (2,4), с.Желаево (2,3), с.Щапово (1,7), с.Белес (1,6), с.Серебряково (1,6), с.Асан (1,5), с.Маштаково (1,4), с.Новенькое (1,4), с.Володарское (1,2), с.Аксуат (1,2), с.Пойма (0,9), с.Макарово (0,7), с.Меловые горки (0,7), с.Лесопитомник (0,7), с.Чувашинское (0,7), с.Жамбыл (0,6), с.Магистральное (0,6), с.Жайык (0,5), с.Садовое (0,5), с.Октябрьское (0,5), с.Юбилейное (0,5), с.Озерное (0,4), с.Зеленое (0,4), с.Тукпай (0,3), с.Факел (0,3), с.Айтиево (0,2), с.Мирное (0,1), с.Горбуново (0,1), с.Жайык (0,5), с.Суттигинди (0,03), с.Ливкино (0,006).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 xml:space="preserve">развития регионов на 2020 - 2025 годы </w:t>
            </w:r>
          </w:p>
        </w:tc>
      </w:tr>
    </w:tbl>
    <w:bookmarkStart w:name="z732" w:id="648"/>
    <w:p>
      <w:pPr>
        <w:spacing w:after="0"/>
        <w:ind w:left="0"/>
        <w:jc w:val="left"/>
      </w:pPr>
      <w:r>
        <w:rPr>
          <w:rFonts w:ascii="Times New Roman"/>
          <w:b/>
          <w:i w:val="false"/>
          <w:color w:val="000000"/>
        </w:rPr>
        <w:t xml:space="preserve"> Перечень моно- и малых городов</w:t>
      </w:r>
      <w:r>
        <w:br/>
      </w:r>
      <w:r>
        <w:rPr>
          <w:rFonts w:ascii="Times New Roman"/>
          <w:b/>
          <w:i w:val="false"/>
          <w:color w:val="000000"/>
        </w:rPr>
        <w:t>Республики Казахстан</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на 1 янв. 2019 года, тыс. чел.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Специализация (расположение)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 экономического развития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ФГР находится (+)/не находится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Акколь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переработка сельхозпродукции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Атбасар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Державинск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экономической специализации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Есиль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Ерейментау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 промышленность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Макинск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обрабатывающая промышленность (вдоль магистральных путей сообщения)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Степняк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Щучинск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рекреация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Степногорск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и обрабатывающая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Алга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сельхозпродукции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Жем</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Кандыагаш</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узел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Шалкар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49"/>
          <w:p>
            <w:pPr>
              <w:spacing w:after="20"/>
              <w:ind w:left="20"/>
              <w:jc w:val="both"/>
            </w:pPr>
            <w:r>
              <w:rPr>
                <w:rFonts w:ascii="Times New Roman"/>
                <w:b w:val="false"/>
                <w:i w:val="false"/>
                <w:color w:val="000000"/>
                <w:sz w:val="20"/>
              </w:rPr>
              <w:t>
транспортный</w:t>
            </w:r>
          </w:p>
          <w:bookmarkEnd w:id="649"/>
          <w:p>
            <w:pPr>
              <w:spacing w:after="20"/>
              <w:ind w:left="20"/>
              <w:jc w:val="both"/>
            </w:pPr>
            <w:r>
              <w:rPr>
                <w:rFonts w:ascii="Times New Roman"/>
                <w:b w:val="false"/>
                <w:i w:val="false"/>
                <w:color w:val="000000"/>
                <w:sz w:val="20"/>
              </w:rPr>
              <w:t>
узел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Эмба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50"/>
          <w:p>
            <w:pPr>
              <w:spacing w:after="20"/>
              <w:ind w:left="20"/>
              <w:jc w:val="both"/>
            </w:pPr>
            <w:r>
              <w:rPr>
                <w:rFonts w:ascii="Times New Roman"/>
                <w:b w:val="false"/>
                <w:i w:val="false"/>
                <w:color w:val="000000"/>
                <w:sz w:val="20"/>
              </w:rPr>
              <w:t>
транспортный</w:t>
            </w:r>
          </w:p>
          <w:bookmarkEnd w:id="650"/>
          <w:p>
            <w:pPr>
              <w:spacing w:after="20"/>
              <w:ind w:left="20"/>
              <w:jc w:val="both"/>
            </w:pPr>
            <w:r>
              <w:rPr>
                <w:rFonts w:ascii="Times New Roman"/>
                <w:b w:val="false"/>
                <w:i w:val="false"/>
                <w:color w:val="000000"/>
                <w:sz w:val="20"/>
              </w:rPr>
              <w:t>
узел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Хромтау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51"/>
          <w:p>
            <w:pPr>
              <w:spacing w:after="20"/>
              <w:ind w:left="20"/>
              <w:jc w:val="both"/>
            </w:pPr>
            <w:r>
              <w:rPr>
                <w:rFonts w:ascii="Times New Roman"/>
                <w:b w:val="false"/>
                <w:i w:val="false"/>
                <w:color w:val="000000"/>
                <w:sz w:val="20"/>
              </w:rPr>
              <w:t>
горнодобывающая и обрабатывающая</w:t>
            </w:r>
          </w:p>
          <w:bookmarkEnd w:id="651"/>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Есик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Жаркент</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52"/>
          <w:p>
            <w:pPr>
              <w:spacing w:after="20"/>
              <w:ind w:left="20"/>
              <w:jc w:val="both"/>
            </w:pPr>
            <w:r>
              <w:rPr>
                <w:rFonts w:ascii="Times New Roman"/>
                <w:b w:val="false"/>
                <w:i w:val="false"/>
                <w:color w:val="000000"/>
                <w:sz w:val="20"/>
              </w:rPr>
              <w:t>
переработка</w:t>
            </w:r>
          </w:p>
          <w:bookmarkEnd w:id="652"/>
          <w:p>
            <w:pPr>
              <w:spacing w:after="20"/>
              <w:ind w:left="20"/>
              <w:jc w:val="both"/>
            </w:pPr>
            <w:r>
              <w:rPr>
                <w:rFonts w:ascii="Times New Roman"/>
                <w:b w:val="false"/>
                <w:i w:val="false"/>
                <w:color w:val="000000"/>
                <w:sz w:val="20"/>
              </w:rPr>
              <w:t>
сельхозпродукции (приграничье)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Каскелен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53"/>
          <w:p>
            <w:pPr>
              <w:spacing w:after="20"/>
              <w:ind w:left="20"/>
              <w:jc w:val="both"/>
            </w:pPr>
            <w:r>
              <w:rPr>
                <w:rFonts w:ascii="Times New Roman"/>
                <w:b w:val="false"/>
                <w:i w:val="false"/>
                <w:color w:val="000000"/>
                <w:sz w:val="20"/>
              </w:rPr>
              <w:t>
переработка</w:t>
            </w:r>
          </w:p>
          <w:bookmarkEnd w:id="653"/>
          <w:p>
            <w:pPr>
              <w:spacing w:after="20"/>
              <w:ind w:left="20"/>
              <w:jc w:val="both"/>
            </w:pPr>
            <w:r>
              <w:rPr>
                <w:rFonts w:ascii="Times New Roman"/>
                <w:b w:val="false"/>
                <w:i w:val="false"/>
                <w:color w:val="000000"/>
                <w:sz w:val="20"/>
              </w:rPr>
              <w:t>
сельхозпродукции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Капшагай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Сарканд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54"/>
          <w:p>
            <w:pPr>
              <w:spacing w:after="20"/>
              <w:ind w:left="20"/>
              <w:jc w:val="both"/>
            </w:pPr>
            <w:r>
              <w:rPr>
                <w:rFonts w:ascii="Times New Roman"/>
                <w:b w:val="false"/>
                <w:i w:val="false"/>
                <w:color w:val="000000"/>
                <w:sz w:val="20"/>
              </w:rPr>
              <w:t>
переработка</w:t>
            </w:r>
          </w:p>
          <w:bookmarkEnd w:id="6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сельхозпродукции </w:t>
            </w:r>
          </w:p>
          <w:p>
            <w:pPr>
              <w:spacing w:after="20"/>
              <w:ind w:left="20"/>
              <w:jc w:val="both"/>
            </w:pPr>
            <w:r>
              <w:rPr>
                <w:rFonts w:ascii="Times New Roman"/>
                <w:b w:val="false"/>
                <w:i w:val="false"/>
                <w:color w:val="000000"/>
                <w:sz w:val="20"/>
              </w:rPr>
              <w:t>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Талгар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55"/>
          <w:p>
            <w:pPr>
              <w:spacing w:after="20"/>
              <w:ind w:left="20"/>
              <w:jc w:val="both"/>
            </w:pPr>
            <w:r>
              <w:rPr>
                <w:rFonts w:ascii="Times New Roman"/>
                <w:b w:val="false"/>
                <w:i w:val="false"/>
                <w:color w:val="000000"/>
                <w:sz w:val="20"/>
              </w:rPr>
              <w:t>
переработка</w:t>
            </w:r>
          </w:p>
          <w:bookmarkEnd w:id="655"/>
          <w:p>
            <w:pPr>
              <w:spacing w:after="20"/>
              <w:ind w:left="20"/>
              <w:jc w:val="both"/>
            </w:pPr>
            <w:r>
              <w:rPr>
                <w:rFonts w:ascii="Times New Roman"/>
                <w:b w:val="false"/>
                <w:i w:val="false"/>
                <w:color w:val="000000"/>
                <w:sz w:val="20"/>
              </w:rPr>
              <w:t>
сельхозпродукции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Ушарал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56"/>
          <w:p>
            <w:pPr>
              <w:spacing w:after="20"/>
              <w:ind w:left="20"/>
              <w:jc w:val="both"/>
            </w:pPr>
            <w:r>
              <w:rPr>
                <w:rFonts w:ascii="Times New Roman"/>
                <w:b w:val="false"/>
                <w:i w:val="false"/>
                <w:color w:val="000000"/>
                <w:sz w:val="20"/>
              </w:rPr>
              <w:t>
переработка</w:t>
            </w:r>
          </w:p>
          <w:bookmarkEnd w:id="656"/>
          <w:p>
            <w:pPr>
              <w:spacing w:after="20"/>
              <w:ind w:left="20"/>
              <w:jc w:val="both"/>
            </w:pPr>
            <w:r>
              <w:rPr>
                <w:rFonts w:ascii="Times New Roman"/>
                <w:b w:val="false"/>
                <w:i w:val="false"/>
                <w:color w:val="000000"/>
                <w:sz w:val="20"/>
              </w:rPr>
              <w:t>
сельхозпродукции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Уштобе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657"/>
          <w:p>
            <w:pPr>
              <w:spacing w:after="20"/>
              <w:ind w:left="20"/>
              <w:jc w:val="both"/>
            </w:pPr>
            <w:r>
              <w:rPr>
                <w:rFonts w:ascii="Times New Roman"/>
                <w:b w:val="false"/>
                <w:i w:val="false"/>
                <w:color w:val="000000"/>
                <w:sz w:val="20"/>
              </w:rPr>
              <w:t>
переработка</w:t>
            </w:r>
          </w:p>
          <w:bookmarkEnd w:id="6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сельхозпродукции </w:t>
            </w:r>
          </w:p>
          <w:p>
            <w:pPr>
              <w:spacing w:after="20"/>
              <w:ind w:left="20"/>
              <w:jc w:val="both"/>
            </w:pPr>
            <w:r>
              <w:rPr>
                <w:rFonts w:ascii="Times New Roman"/>
                <w:b w:val="false"/>
                <w:i w:val="false"/>
                <w:color w:val="000000"/>
                <w:sz w:val="20"/>
              </w:rPr>
              <w:t>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Текели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58"/>
          <w:p>
            <w:pPr>
              <w:spacing w:after="20"/>
              <w:ind w:left="20"/>
              <w:jc w:val="both"/>
            </w:pPr>
            <w:r>
              <w:rPr>
                <w:rFonts w:ascii="Times New Roman"/>
                <w:b w:val="false"/>
                <w:i w:val="false"/>
                <w:color w:val="000000"/>
                <w:sz w:val="20"/>
              </w:rPr>
              <w:t>
горнодобывающая и обрабатывающая</w:t>
            </w:r>
          </w:p>
          <w:bookmarkEnd w:id="658"/>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Кульсары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59"/>
          <w:p>
            <w:pPr>
              <w:spacing w:after="20"/>
              <w:ind w:left="20"/>
              <w:jc w:val="both"/>
            </w:pPr>
            <w:r>
              <w:rPr>
                <w:rFonts w:ascii="Times New Roman"/>
                <w:b w:val="false"/>
                <w:i w:val="false"/>
                <w:color w:val="000000"/>
                <w:sz w:val="20"/>
              </w:rPr>
              <w:t>
обрабатывающая</w:t>
            </w:r>
          </w:p>
          <w:bookmarkEnd w:id="659"/>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Аягоз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60"/>
          <w:p>
            <w:pPr>
              <w:spacing w:after="20"/>
              <w:ind w:left="20"/>
              <w:jc w:val="both"/>
            </w:pPr>
            <w:r>
              <w:rPr>
                <w:rFonts w:ascii="Times New Roman"/>
                <w:b w:val="false"/>
                <w:i w:val="false"/>
                <w:color w:val="000000"/>
                <w:sz w:val="20"/>
              </w:rPr>
              <w:t>
транспортный</w:t>
            </w:r>
          </w:p>
          <w:bookmarkEnd w:id="660"/>
          <w:p>
            <w:pPr>
              <w:spacing w:after="20"/>
              <w:ind w:left="20"/>
              <w:jc w:val="both"/>
            </w:pPr>
            <w:r>
              <w:rPr>
                <w:rFonts w:ascii="Times New Roman"/>
                <w:b w:val="false"/>
                <w:i w:val="false"/>
                <w:color w:val="000000"/>
                <w:sz w:val="20"/>
              </w:rPr>
              <w:t>
узел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Зайсан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61"/>
          <w:p>
            <w:pPr>
              <w:spacing w:after="20"/>
              <w:ind w:left="20"/>
              <w:jc w:val="both"/>
            </w:pPr>
            <w:r>
              <w:rPr>
                <w:rFonts w:ascii="Times New Roman"/>
                <w:b w:val="false"/>
                <w:i w:val="false"/>
                <w:color w:val="000000"/>
                <w:sz w:val="20"/>
              </w:rPr>
              <w:t>
переработка</w:t>
            </w:r>
          </w:p>
          <w:bookmarkEnd w:id="661"/>
          <w:p>
            <w:pPr>
              <w:spacing w:after="20"/>
              <w:ind w:left="20"/>
              <w:jc w:val="both"/>
            </w:pPr>
            <w:r>
              <w:rPr>
                <w:rFonts w:ascii="Times New Roman"/>
                <w:b w:val="false"/>
                <w:i w:val="false"/>
                <w:color w:val="000000"/>
                <w:sz w:val="20"/>
              </w:rPr>
              <w:t>
сельхозпродукции (приграничье)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662"/>
          <w:p>
            <w:pPr>
              <w:spacing w:after="20"/>
              <w:ind w:left="20"/>
              <w:jc w:val="both"/>
            </w:pPr>
            <w:r>
              <w:rPr>
                <w:rFonts w:ascii="Times New Roman"/>
                <w:b w:val="false"/>
                <w:i w:val="false"/>
                <w:color w:val="000000"/>
                <w:sz w:val="20"/>
              </w:rPr>
              <w:t>
транспортный</w:t>
            </w:r>
          </w:p>
          <w:bookmarkEnd w:id="662"/>
          <w:p>
            <w:pPr>
              <w:spacing w:after="20"/>
              <w:ind w:left="20"/>
              <w:jc w:val="both"/>
            </w:pPr>
            <w:r>
              <w:rPr>
                <w:rFonts w:ascii="Times New Roman"/>
                <w:b w:val="false"/>
                <w:i w:val="false"/>
                <w:color w:val="000000"/>
                <w:sz w:val="20"/>
              </w:rPr>
              <w:t>
узел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Шемонаиха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663"/>
          <w:p>
            <w:pPr>
              <w:spacing w:after="20"/>
              <w:ind w:left="20"/>
              <w:jc w:val="both"/>
            </w:pPr>
            <w:r>
              <w:rPr>
                <w:rFonts w:ascii="Times New Roman"/>
                <w:b w:val="false"/>
                <w:i w:val="false"/>
                <w:color w:val="000000"/>
                <w:sz w:val="20"/>
              </w:rPr>
              <w:t>
переработка</w:t>
            </w:r>
          </w:p>
          <w:bookmarkEnd w:id="663"/>
          <w:p>
            <w:pPr>
              <w:spacing w:after="20"/>
              <w:ind w:left="20"/>
              <w:jc w:val="both"/>
            </w:pPr>
            <w:r>
              <w:rPr>
                <w:rFonts w:ascii="Times New Roman"/>
                <w:b w:val="false"/>
                <w:i w:val="false"/>
                <w:color w:val="000000"/>
                <w:sz w:val="20"/>
              </w:rPr>
              <w:t>
сельхозпродукции (приграничье)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Алтай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664"/>
          <w:p>
            <w:pPr>
              <w:spacing w:after="20"/>
              <w:ind w:left="20"/>
              <w:jc w:val="both"/>
            </w:pPr>
            <w:r>
              <w:rPr>
                <w:rFonts w:ascii="Times New Roman"/>
                <w:b w:val="false"/>
                <w:i w:val="false"/>
                <w:color w:val="000000"/>
                <w:sz w:val="20"/>
              </w:rPr>
              <w:t>
горнодобывающая и обрабатывающая</w:t>
            </w:r>
          </w:p>
          <w:bookmarkEnd w:id="664"/>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Курчатов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Риддер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Серебрянск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экономической специализации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665"/>
          <w:p>
            <w:pPr>
              <w:spacing w:after="20"/>
              <w:ind w:left="20"/>
              <w:jc w:val="both"/>
            </w:pPr>
            <w:r>
              <w:rPr>
                <w:rFonts w:ascii="Times New Roman"/>
                <w:b w:val="false"/>
                <w:i w:val="false"/>
                <w:color w:val="000000"/>
                <w:sz w:val="20"/>
              </w:rPr>
              <w:t>
транспортный</w:t>
            </w:r>
          </w:p>
          <w:bookmarkEnd w:id="665"/>
          <w:p>
            <w:pPr>
              <w:spacing w:after="20"/>
              <w:ind w:left="20"/>
              <w:jc w:val="both"/>
            </w:pPr>
            <w:r>
              <w:rPr>
                <w:rFonts w:ascii="Times New Roman"/>
                <w:b w:val="false"/>
                <w:i w:val="false"/>
                <w:color w:val="000000"/>
                <w:sz w:val="20"/>
              </w:rPr>
              <w:t>
узел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Жанатас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66"/>
          <w:p>
            <w:pPr>
              <w:spacing w:after="20"/>
              <w:ind w:left="20"/>
              <w:jc w:val="both"/>
            </w:pPr>
            <w:r>
              <w:rPr>
                <w:rFonts w:ascii="Times New Roman"/>
                <w:b w:val="false"/>
                <w:i w:val="false"/>
                <w:color w:val="000000"/>
                <w:sz w:val="20"/>
              </w:rPr>
              <w:t>
горнодобывающая и обрабатывающая</w:t>
            </w:r>
          </w:p>
          <w:bookmarkEnd w:id="666"/>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Каратау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Каркаралинск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(туризм)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Приозерск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67"/>
          <w:p>
            <w:pPr>
              <w:spacing w:after="20"/>
              <w:ind w:left="20"/>
              <w:jc w:val="both"/>
            </w:pPr>
            <w:r>
              <w:rPr>
                <w:rFonts w:ascii="Times New Roman"/>
                <w:b w:val="false"/>
                <w:i w:val="false"/>
                <w:color w:val="000000"/>
                <w:sz w:val="20"/>
              </w:rPr>
              <w:t xml:space="preserve">
рекреация </w:t>
            </w:r>
          </w:p>
          <w:bookmarkEnd w:id="667"/>
          <w:p>
            <w:pPr>
              <w:spacing w:after="20"/>
              <w:ind w:left="20"/>
              <w:jc w:val="both"/>
            </w:pPr>
            <w:r>
              <w:rPr>
                <w:rFonts w:ascii="Times New Roman"/>
                <w:b w:val="false"/>
                <w:i w:val="false"/>
                <w:color w:val="000000"/>
                <w:sz w:val="20"/>
              </w:rPr>
              <w:t xml:space="preserve">
(вдоль магистральных путей сообщения)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Балхаш</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68"/>
          <w:p>
            <w:pPr>
              <w:spacing w:after="20"/>
              <w:ind w:left="20"/>
              <w:jc w:val="both"/>
            </w:pPr>
            <w:r>
              <w:rPr>
                <w:rFonts w:ascii="Times New Roman"/>
                <w:b w:val="false"/>
                <w:i w:val="false"/>
                <w:color w:val="000000"/>
                <w:sz w:val="20"/>
              </w:rPr>
              <w:t>
горнодобывающая и обрабатывающая</w:t>
            </w:r>
          </w:p>
          <w:bookmarkEnd w:id="668"/>
          <w:p>
            <w:pPr>
              <w:spacing w:after="20"/>
              <w:ind w:left="20"/>
              <w:jc w:val="both"/>
            </w:pPr>
            <w:r>
              <w:rPr>
                <w:rFonts w:ascii="Times New Roman"/>
                <w:b w:val="false"/>
                <w:i w:val="false"/>
                <w:color w:val="000000"/>
                <w:sz w:val="20"/>
              </w:rPr>
              <w:t>
промышленность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Жезказган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Каражал</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Сарань</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Сатпаев</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Темиртау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Шахтинск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Абай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Аркалык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69"/>
          <w:p>
            <w:pPr>
              <w:spacing w:after="20"/>
              <w:ind w:left="20"/>
              <w:jc w:val="both"/>
            </w:pPr>
            <w:r>
              <w:rPr>
                <w:rFonts w:ascii="Times New Roman"/>
                <w:b w:val="false"/>
                <w:i w:val="false"/>
                <w:color w:val="000000"/>
                <w:sz w:val="20"/>
              </w:rPr>
              <w:t>
горнодобывающая и обрабатывающая</w:t>
            </w:r>
          </w:p>
          <w:bookmarkEnd w:id="669"/>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Житикара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Лисаковск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Рудный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Аральск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70"/>
          <w:p>
            <w:pPr>
              <w:spacing w:after="20"/>
              <w:ind w:left="20"/>
              <w:jc w:val="both"/>
            </w:pPr>
            <w:r>
              <w:rPr>
                <w:rFonts w:ascii="Times New Roman"/>
                <w:b w:val="false"/>
                <w:i w:val="false"/>
                <w:color w:val="000000"/>
                <w:sz w:val="20"/>
              </w:rPr>
              <w:t>
обрабатывающая</w:t>
            </w:r>
          </w:p>
          <w:bookmarkEnd w:id="670"/>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Казалинск</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71"/>
          <w:p>
            <w:pPr>
              <w:spacing w:after="20"/>
              <w:ind w:left="20"/>
              <w:jc w:val="both"/>
            </w:pPr>
            <w:r>
              <w:rPr>
                <w:rFonts w:ascii="Times New Roman"/>
                <w:b w:val="false"/>
                <w:i w:val="false"/>
                <w:color w:val="000000"/>
                <w:sz w:val="20"/>
              </w:rPr>
              <w:t>
переработка</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сельхозпродукции </w:t>
            </w:r>
          </w:p>
          <w:p>
            <w:pPr>
              <w:spacing w:after="20"/>
              <w:ind w:left="20"/>
              <w:jc w:val="both"/>
            </w:pPr>
            <w:r>
              <w:rPr>
                <w:rFonts w:ascii="Times New Roman"/>
                <w:b w:val="false"/>
                <w:i w:val="false"/>
                <w:color w:val="000000"/>
                <w:sz w:val="20"/>
              </w:rPr>
              <w:t xml:space="preserve">
(вдоль магистральных путей сообщения)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Форт-Шевченко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72"/>
          <w:p>
            <w:pPr>
              <w:spacing w:after="20"/>
              <w:ind w:left="20"/>
              <w:jc w:val="both"/>
            </w:pPr>
            <w:r>
              <w:rPr>
                <w:rFonts w:ascii="Times New Roman"/>
                <w:b w:val="false"/>
                <w:i w:val="false"/>
                <w:color w:val="000000"/>
                <w:sz w:val="20"/>
              </w:rPr>
              <w:t>
переработка</w:t>
            </w:r>
          </w:p>
          <w:bookmarkEnd w:id="672"/>
          <w:p>
            <w:pPr>
              <w:spacing w:after="20"/>
              <w:ind w:left="20"/>
              <w:jc w:val="both"/>
            </w:pPr>
            <w:r>
              <w:rPr>
                <w:rFonts w:ascii="Times New Roman"/>
                <w:b w:val="false"/>
                <w:i w:val="false"/>
                <w:color w:val="000000"/>
                <w:sz w:val="20"/>
              </w:rPr>
              <w:t xml:space="preserve">
сельхозпродукции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Жанаозен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горнодобывающая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73"/>
          <w:p>
            <w:pPr>
              <w:spacing w:after="20"/>
              <w:ind w:left="20"/>
              <w:jc w:val="both"/>
            </w:pPr>
            <w:r>
              <w:rPr>
                <w:rFonts w:ascii="Times New Roman"/>
                <w:b w:val="false"/>
                <w:i w:val="false"/>
                <w:color w:val="000000"/>
                <w:sz w:val="20"/>
              </w:rPr>
              <w:t>
горнодобывающая и обрабатывающая</w:t>
            </w:r>
          </w:p>
          <w:bookmarkEnd w:id="673"/>
          <w:p>
            <w:pPr>
              <w:spacing w:after="20"/>
              <w:ind w:left="20"/>
              <w:jc w:val="both"/>
            </w:pPr>
            <w:r>
              <w:rPr>
                <w:rFonts w:ascii="Times New Roman"/>
                <w:b w:val="false"/>
                <w:i w:val="false"/>
                <w:color w:val="000000"/>
                <w:sz w:val="20"/>
              </w:rPr>
              <w:t>
промышленность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Булаево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74"/>
          <w:p>
            <w:pPr>
              <w:spacing w:after="20"/>
              <w:ind w:left="20"/>
              <w:jc w:val="both"/>
            </w:pPr>
            <w:r>
              <w:rPr>
                <w:rFonts w:ascii="Times New Roman"/>
                <w:b w:val="false"/>
                <w:i w:val="false"/>
                <w:color w:val="000000"/>
                <w:sz w:val="20"/>
              </w:rPr>
              <w:t>
переработка</w:t>
            </w:r>
          </w:p>
          <w:bookmarkEnd w:id="674"/>
          <w:p>
            <w:pPr>
              <w:spacing w:after="20"/>
              <w:ind w:left="20"/>
              <w:jc w:val="both"/>
            </w:pPr>
            <w:r>
              <w:rPr>
                <w:rFonts w:ascii="Times New Roman"/>
                <w:b w:val="false"/>
                <w:i w:val="false"/>
                <w:color w:val="000000"/>
                <w:sz w:val="20"/>
              </w:rPr>
              <w:t>
сельхозпродукции (приграничье)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Мамлютка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675"/>
          <w:p>
            <w:pPr>
              <w:spacing w:after="20"/>
              <w:ind w:left="20"/>
              <w:jc w:val="both"/>
            </w:pPr>
            <w:r>
              <w:rPr>
                <w:rFonts w:ascii="Times New Roman"/>
                <w:b w:val="false"/>
                <w:i w:val="false"/>
                <w:color w:val="000000"/>
                <w:sz w:val="20"/>
              </w:rPr>
              <w:t>
переработка</w:t>
            </w:r>
          </w:p>
          <w:bookmarkEnd w:id="675"/>
          <w:p>
            <w:pPr>
              <w:spacing w:after="20"/>
              <w:ind w:left="20"/>
              <w:jc w:val="both"/>
            </w:pPr>
            <w:r>
              <w:rPr>
                <w:rFonts w:ascii="Times New Roman"/>
                <w:b w:val="false"/>
                <w:i w:val="false"/>
                <w:color w:val="000000"/>
                <w:sz w:val="20"/>
              </w:rPr>
              <w:t>
сельхозпродукции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Тайынша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76"/>
          <w:p>
            <w:pPr>
              <w:spacing w:after="20"/>
              <w:ind w:left="20"/>
              <w:jc w:val="both"/>
            </w:pPr>
            <w:r>
              <w:rPr>
                <w:rFonts w:ascii="Times New Roman"/>
                <w:b w:val="false"/>
                <w:i w:val="false"/>
                <w:color w:val="000000"/>
                <w:sz w:val="20"/>
              </w:rPr>
              <w:t>
переработка</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сельхозпродукции </w:t>
            </w:r>
          </w:p>
          <w:p>
            <w:pPr>
              <w:spacing w:after="20"/>
              <w:ind w:left="20"/>
              <w:jc w:val="both"/>
            </w:pPr>
            <w:r>
              <w:rPr>
                <w:rFonts w:ascii="Times New Roman"/>
                <w:b w:val="false"/>
                <w:i w:val="false"/>
                <w:color w:val="000000"/>
                <w:sz w:val="20"/>
              </w:rPr>
              <w:t>
(вдоль магистральных путей сообщения)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77"/>
          <w:p>
            <w:pPr>
              <w:spacing w:after="20"/>
              <w:ind w:left="20"/>
              <w:jc w:val="both"/>
            </w:pPr>
            <w:r>
              <w:rPr>
                <w:rFonts w:ascii="Times New Roman"/>
                <w:b w:val="false"/>
                <w:i w:val="false"/>
                <w:color w:val="000000"/>
                <w:sz w:val="20"/>
              </w:rPr>
              <w:t>
транспортный</w:t>
            </w:r>
          </w:p>
          <w:bookmarkEnd w:id="677"/>
          <w:p>
            <w:pPr>
              <w:spacing w:after="20"/>
              <w:ind w:left="20"/>
              <w:jc w:val="both"/>
            </w:pPr>
            <w:r>
              <w:rPr>
                <w:rFonts w:ascii="Times New Roman"/>
                <w:b w:val="false"/>
                <w:i w:val="false"/>
                <w:color w:val="000000"/>
                <w:sz w:val="20"/>
              </w:rPr>
              <w:t>
узел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Жетысай</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678"/>
          <w:p>
            <w:pPr>
              <w:spacing w:after="20"/>
              <w:ind w:left="20"/>
              <w:jc w:val="both"/>
            </w:pPr>
            <w:r>
              <w:rPr>
                <w:rFonts w:ascii="Times New Roman"/>
                <w:b w:val="false"/>
                <w:i w:val="false"/>
                <w:color w:val="000000"/>
                <w:sz w:val="20"/>
              </w:rPr>
              <w:t>
переработка</w:t>
            </w:r>
          </w:p>
          <w:bookmarkEnd w:id="678"/>
          <w:p>
            <w:pPr>
              <w:spacing w:after="20"/>
              <w:ind w:left="20"/>
              <w:jc w:val="both"/>
            </w:pPr>
            <w:r>
              <w:rPr>
                <w:rFonts w:ascii="Times New Roman"/>
                <w:b w:val="false"/>
                <w:i w:val="false"/>
                <w:color w:val="000000"/>
                <w:sz w:val="20"/>
              </w:rPr>
              <w:t>
сельхоз продукции (приграничье)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Ленгер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обрабатывающая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679"/>
          <w:p>
            <w:pPr>
              <w:spacing w:after="20"/>
              <w:ind w:left="20"/>
              <w:jc w:val="both"/>
            </w:pPr>
            <w:r>
              <w:rPr>
                <w:rFonts w:ascii="Times New Roman"/>
                <w:b w:val="false"/>
                <w:i w:val="false"/>
                <w:color w:val="000000"/>
                <w:sz w:val="20"/>
              </w:rPr>
              <w:t>
Высокий</w:t>
            </w:r>
          </w:p>
          <w:bookmarkEnd w:id="679"/>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 (приграничье)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Шардара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680"/>
          <w:p>
            <w:pPr>
              <w:spacing w:after="20"/>
              <w:ind w:left="20"/>
              <w:jc w:val="both"/>
            </w:pPr>
            <w:r>
              <w:rPr>
                <w:rFonts w:ascii="Times New Roman"/>
                <w:b w:val="false"/>
                <w:i w:val="false"/>
                <w:color w:val="000000"/>
                <w:sz w:val="20"/>
              </w:rPr>
              <w:t>
производство</w:t>
            </w:r>
          </w:p>
          <w:bookmarkEnd w:id="680"/>
          <w:p>
            <w:pPr>
              <w:spacing w:after="20"/>
              <w:ind w:left="20"/>
              <w:jc w:val="both"/>
            </w:pPr>
            <w:r>
              <w:rPr>
                <w:rFonts w:ascii="Times New Roman"/>
                <w:b w:val="false"/>
                <w:i w:val="false"/>
                <w:color w:val="000000"/>
                <w:sz w:val="20"/>
              </w:rPr>
              <w:t>
электроэнергии (приграничье)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моногород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681"/>
          <w:p>
            <w:pPr>
              <w:spacing w:after="20"/>
              <w:ind w:left="20"/>
              <w:jc w:val="both"/>
            </w:pPr>
            <w:r>
              <w:rPr>
                <w:rFonts w:ascii="Times New Roman"/>
                <w:b w:val="false"/>
                <w:i w:val="false"/>
                <w:color w:val="000000"/>
                <w:sz w:val="20"/>
              </w:rPr>
              <w:t>
горнодобывающая и обрабатывающая</w:t>
            </w:r>
          </w:p>
          <w:bookmarkEnd w:id="681"/>
          <w:p>
            <w:pPr>
              <w:spacing w:after="20"/>
              <w:ind w:left="20"/>
              <w:jc w:val="both"/>
            </w:pPr>
            <w:r>
              <w:rPr>
                <w:rFonts w:ascii="Times New Roman"/>
                <w:b w:val="false"/>
                <w:i w:val="false"/>
                <w:color w:val="000000"/>
                <w:sz w:val="20"/>
              </w:rPr>
              <w:t>
промышленность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0" w:id="682"/>
    <w:p>
      <w:pPr>
        <w:spacing w:after="0"/>
        <w:ind w:left="0"/>
        <w:jc w:val="both"/>
      </w:pPr>
      <w:r>
        <w:rPr>
          <w:rFonts w:ascii="Times New Roman"/>
          <w:b w:val="false"/>
          <w:i w:val="false"/>
          <w:color w:val="000000"/>
          <w:sz w:val="28"/>
        </w:rPr>
        <w:t>
      Критерии перспективности социально-экономического развития моно- и малых городов</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перспективности моно- и малого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Критерии неперспективности моно- и малого города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 в состав ФГР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входит в состав ФГР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683"/>
          <w:p>
            <w:pPr>
              <w:spacing w:after="20"/>
              <w:ind w:left="20"/>
              <w:jc w:val="both"/>
            </w:pPr>
            <w:r>
              <w:rPr>
                <w:rFonts w:ascii="Times New Roman"/>
                <w:b w:val="false"/>
                <w:i w:val="false"/>
                <w:color w:val="000000"/>
                <w:sz w:val="20"/>
              </w:rPr>
              <w:t>
Наличие крупного либо основного (градообразующего) предприятия с положительным показателем финансово-хозяйственной деятельности, стабильным природно-сырьевым фактором (отсутствие риска истощения рудной базы, стабильный спрос на производимую продукцию и т.д.): при текущем уровне добычи наличие запасов полезных ископаемых в перспективе на 25 - 30 лет;</w:t>
            </w:r>
          </w:p>
          <w:bookmarkEnd w:id="683"/>
          <w:p>
            <w:pPr>
              <w:spacing w:after="20"/>
              <w:ind w:left="20"/>
              <w:jc w:val="both"/>
            </w:pPr>
            <w:r>
              <w:rPr>
                <w:rFonts w:ascii="Times New Roman"/>
                <w:b w:val="false"/>
                <w:i w:val="false"/>
                <w:color w:val="000000"/>
                <w:sz w:val="20"/>
              </w:rPr>
              <w:t>
устойчивый спрос на продукцию крупного либо основного (градообразующего) предприятия и отсутствие факторов, способных снизить объем производства.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684"/>
          <w:p>
            <w:pPr>
              <w:spacing w:after="20"/>
              <w:ind w:left="20"/>
              <w:jc w:val="both"/>
            </w:pPr>
            <w:r>
              <w:rPr>
                <w:rFonts w:ascii="Times New Roman"/>
                <w:b w:val="false"/>
                <w:i w:val="false"/>
                <w:color w:val="000000"/>
                <w:sz w:val="20"/>
              </w:rPr>
              <w:t>
Падение объема производства в крупном либо основном (градообразующем) предприятии города и неконкурентоспособность его продукции:</w:t>
            </w:r>
          </w:p>
          <w:bookmarkEnd w:id="684"/>
          <w:p>
            <w:pPr>
              <w:spacing w:after="20"/>
              <w:ind w:left="20"/>
              <w:jc w:val="both"/>
            </w:pPr>
            <w:r>
              <w:rPr>
                <w:rFonts w:ascii="Times New Roman"/>
                <w:b w:val="false"/>
                <w:i w:val="false"/>
                <w:color w:val="000000"/>
                <w:sz w:val="20"/>
              </w:rPr>
              <w:t>
значительное сокращение за последние 10 лет объема производства на крупном либо основном (градообразующем) предприятии города.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Расположение города в непосредственной близости от крупного города областного или республиканского значения, в составе агломерации, а также на приграничной территории (в непосредственной близости от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Отдаленность от крупных и больших городов более 30 км (для зон агломерации - 100 км) и основных транспортных коридоров международного и республиканского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линии Государственной границы).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685"/>
          <w:p>
            <w:pPr>
              <w:spacing w:after="20"/>
              <w:ind w:left="20"/>
              <w:jc w:val="both"/>
            </w:pPr>
            <w:r>
              <w:rPr>
                <w:rFonts w:ascii="Times New Roman"/>
                <w:b w:val="false"/>
                <w:i w:val="false"/>
                <w:color w:val="000000"/>
                <w:sz w:val="20"/>
              </w:rPr>
              <w:t>
уровня (далее радиуса 75 км или 1-часовой доступности):</w:t>
            </w:r>
          </w:p>
          <w:bookmarkEnd w:id="685"/>
          <w:p>
            <w:pPr>
              <w:spacing w:after="20"/>
              <w:ind w:left="20"/>
              <w:jc w:val="both"/>
            </w:pPr>
            <w:r>
              <w:rPr>
                <w:rFonts w:ascii="Times New Roman"/>
                <w:b w:val="false"/>
                <w:i w:val="false"/>
                <w:color w:val="000000"/>
                <w:sz w:val="20"/>
              </w:rPr>
              <w:t>
</w:t>
            </w:r>
            <w:r>
              <w:rPr>
                <w:rFonts w:ascii="Times New Roman"/>
                <w:b w:val="false"/>
                <w:i w:val="false"/>
                <w:color w:val="000000"/>
                <w:sz w:val="20"/>
              </w:rPr>
              <w:t>тупиковое месторасположение малого города (отсутствие автомобильных дорог республиканского значения и железнодорожных путей);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транспортная инфраструктура, соединяющая город с другими городами и регионами, находится в крайне изношенном состоянии.</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города на пересечении крупных транспортных коридоров (вдоль железнодорожных путей и автомобильных дорог республиканского значения) с возможностью организации логистической инфраструктуры (железнодорожные станции, склады).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686"/>
          <w:p>
            <w:pPr>
              <w:spacing w:after="20"/>
              <w:ind w:left="20"/>
              <w:jc w:val="both"/>
            </w:pPr>
            <w:r>
              <w:rPr>
                <w:rFonts w:ascii="Times New Roman"/>
                <w:b w:val="false"/>
                <w:i w:val="false"/>
                <w:color w:val="000000"/>
                <w:sz w:val="20"/>
              </w:rPr>
              <w:t>
Наличие в городе уникального потенциала (природно-ресурсного, географического, исторического):</w:t>
            </w:r>
          </w:p>
          <w:bookmarkEnd w:id="686"/>
          <w:p>
            <w:pPr>
              <w:spacing w:after="20"/>
              <w:ind w:left="20"/>
              <w:jc w:val="both"/>
            </w:pPr>
            <w:r>
              <w:rPr>
                <w:rFonts w:ascii="Times New Roman"/>
                <w:b w:val="false"/>
                <w:i w:val="false"/>
                <w:color w:val="000000"/>
                <w:sz w:val="20"/>
              </w:rPr>
              <w:t>
</w:t>
            </w:r>
            <w:r>
              <w:rPr>
                <w:rFonts w:ascii="Times New Roman"/>
                <w:b w:val="false"/>
                <w:i w:val="false"/>
                <w:color w:val="000000"/>
                <w:sz w:val="20"/>
              </w:rPr>
              <w:t>запасов полезных ископаемых, перспективных к разработке и переработке, в непосредственной близости к городу;</w:t>
            </w:r>
          </w:p>
          <w:p>
            <w:pPr>
              <w:spacing w:after="20"/>
              <w:ind w:left="20"/>
              <w:jc w:val="both"/>
            </w:pPr>
            <w:r>
              <w:rPr>
                <w:rFonts w:ascii="Times New Roman"/>
                <w:b w:val="false"/>
                <w:i w:val="false"/>
                <w:color w:val="000000"/>
                <w:sz w:val="20"/>
              </w:rPr>
              <w:t>
других видов потенциалов (туристских, рекреационных, уникальных заповедных зон), научного и инновационного потенциала.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687"/>
          <w:p>
            <w:pPr>
              <w:spacing w:after="20"/>
              <w:ind w:left="20"/>
              <w:jc w:val="both"/>
            </w:pPr>
            <w:r>
              <w:rPr>
                <w:rFonts w:ascii="Times New Roman"/>
                <w:b w:val="false"/>
                <w:i w:val="false"/>
                <w:color w:val="000000"/>
                <w:sz w:val="20"/>
              </w:rPr>
              <w:t>
Истощенная минерально-сырьевая база:</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полезного компонента в руде;</w:t>
            </w:r>
          </w:p>
          <w:p>
            <w:pPr>
              <w:spacing w:after="20"/>
              <w:ind w:left="20"/>
              <w:jc w:val="both"/>
            </w:pPr>
            <w:r>
              <w:rPr>
                <w:rFonts w:ascii="Times New Roman"/>
                <w:b w:val="false"/>
                <w:i w:val="false"/>
                <w:color w:val="000000"/>
                <w:sz w:val="20"/>
              </w:rPr>
              <w:t>
наличие запасов сырья, при сохранении текущих темпов добычи, не более 10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688"/>
          <w:p>
            <w:pPr>
              <w:spacing w:after="20"/>
              <w:ind w:left="20"/>
              <w:jc w:val="both"/>
            </w:pPr>
            <w:r>
              <w:rPr>
                <w:rFonts w:ascii="Times New Roman"/>
                <w:b w:val="false"/>
                <w:i w:val="false"/>
                <w:color w:val="000000"/>
                <w:sz w:val="20"/>
              </w:rPr>
              <w:t>
Доля активно действующих малых предприятий:</w:t>
            </w:r>
          </w:p>
          <w:bookmarkEnd w:id="688"/>
          <w:p>
            <w:pPr>
              <w:spacing w:after="20"/>
              <w:ind w:left="20"/>
              <w:jc w:val="both"/>
            </w:pPr>
            <w:r>
              <w:rPr>
                <w:rFonts w:ascii="Times New Roman"/>
                <w:b w:val="false"/>
                <w:i w:val="false"/>
                <w:color w:val="000000"/>
                <w:sz w:val="20"/>
              </w:rPr>
              <w:t>
наличие в городе развитого малого и среднего предпринимательства (в сфере оказания услуг, обрабатывающей промышленности и другие), что отражается стабильным увеличением его доли в доходах бюджета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689"/>
          <w:p>
            <w:pPr>
              <w:spacing w:after="20"/>
              <w:ind w:left="20"/>
              <w:jc w:val="both"/>
            </w:pPr>
            <w:r>
              <w:rPr>
                <w:rFonts w:ascii="Times New Roman"/>
                <w:b w:val="false"/>
                <w:i w:val="false"/>
                <w:color w:val="000000"/>
                <w:sz w:val="20"/>
              </w:rPr>
              <w:t>
Кадровый потенциал:</w:t>
            </w:r>
          </w:p>
          <w:bookmarkEnd w:id="689"/>
          <w:p>
            <w:pPr>
              <w:spacing w:after="20"/>
              <w:ind w:left="20"/>
              <w:jc w:val="both"/>
            </w:pPr>
            <w:r>
              <w:rPr>
                <w:rFonts w:ascii="Times New Roman"/>
                <w:b w:val="false"/>
                <w:i w:val="false"/>
                <w:color w:val="000000"/>
                <w:sz w:val="20"/>
              </w:rPr>
              <w:t>
наличие в городе высококвалифицированных технических специалистов, в том числе занятых на крупном либо основном (градообразующем) предприятии.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690"/>
          <w:p>
            <w:pPr>
              <w:spacing w:after="20"/>
              <w:ind w:left="20"/>
              <w:jc w:val="both"/>
            </w:pPr>
            <w:r>
              <w:rPr>
                <w:rFonts w:ascii="Times New Roman"/>
                <w:b w:val="false"/>
                <w:i w:val="false"/>
                <w:color w:val="000000"/>
                <w:sz w:val="20"/>
              </w:rPr>
              <w:t>
Постоянный отток населения города (сокращение численности):</w:t>
            </w:r>
          </w:p>
          <w:bookmarkEnd w:id="690"/>
          <w:p>
            <w:pPr>
              <w:spacing w:after="20"/>
              <w:ind w:left="20"/>
              <w:jc w:val="both"/>
            </w:pPr>
            <w:r>
              <w:rPr>
                <w:rFonts w:ascii="Times New Roman"/>
                <w:b w:val="false"/>
                <w:i w:val="false"/>
                <w:color w:val="000000"/>
                <w:sz w:val="20"/>
              </w:rPr>
              <w:t>
отрицательная динамика сальдо миграции за последние 10 лет (сокращение численности населения идет в основном за счет вымывания из города высококвалифицированного трудоспособного населения).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691"/>
          <w:p>
            <w:pPr>
              <w:spacing w:after="20"/>
              <w:ind w:left="20"/>
              <w:jc w:val="both"/>
            </w:pPr>
            <w:r>
              <w:rPr>
                <w:rFonts w:ascii="Times New Roman"/>
                <w:b w:val="false"/>
                <w:i w:val="false"/>
                <w:color w:val="000000"/>
                <w:sz w:val="20"/>
              </w:rPr>
              <w:t>
Благоприятная экологическая ситуация:</w:t>
            </w:r>
          </w:p>
          <w:bookmarkEnd w:id="691"/>
          <w:p>
            <w:pPr>
              <w:spacing w:after="20"/>
              <w:ind w:left="20"/>
              <w:jc w:val="both"/>
            </w:pPr>
            <w:r>
              <w:rPr>
                <w:rFonts w:ascii="Times New Roman"/>
                <w:b w:val="false"/>
                <w:i w:val="false"/>
                <w:color w:val="000000"/>
                <w:sz w:val="20"/>
              </w:rPr>
              <w:t>
отсутствие источников загрязнения с высоким превышением экологических норм вне зон экологического бедствия.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692"/>
          <w:p>
            <w:pPr>
              <w:spacing w:after="20"/>
              <w:ind w:left="20"/>
              <w:jc w:val="both"/>
            </w:pPr>
            <w:r>
              <w:rPr>
                <w:rFonts w:ascii="Times New Roman"/>
                <w:b w:val="false"/>
                <w:i w:val="false"/>
                <w:color w:val="000000"/>
                <w:sz w:val="20"/>
              </w:rPr>
              <w:t xml:space="preserve">
Неблагоприятная экологическая ситуация: </w:t>
            </w:r>
          </w:p>
          <w:bookmarkEnd w:id="692"/>
          <w:p>
            <w:pPr>
              <w:spacing w:after="20"/>
              <w:ind w:left="20"/>
              <w:jc w:val="both"/>
            </w:pPr>
            <w:r>
              <w:rPr>
                <w:rFonts w:ascii="Times New Roman"/>
                <w:b w:val="false"/>
                <w:i w:val="false"/>
                <w:color w:val="000000"/>
                <w:sz w:val="20"/>
              </w:rPr>
              <w:t>
расположение территории города в зоне экологического бедствия и наличие источников загрязнения с высоким превышением экологических норм.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населения города не меньше среднереспубликанского уровня.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Заработная плата населения меньше среднеобластных показателей.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развития регионов на 2020 - 2025 годы</w:t>
            </w:r>
          </w:p>
        </w:tc>
      </w:tr>
    </w:tbl>
    <w:bookmarkStart w:name="z786" w:id="693"/>
    <w:p>
      <w:pPr>
        <w:spacing w:after="0"/>
        <w:ind w:left="0"/>
        <w:jc w:val="left"/>
      </w:pPr>
      <w:r>
        <w:rPr>
          <w:rFonts w:ascii="Times New Roman"/>
          <w:b/>
          <w:i w:val="false"/>
          <w:color w:val="000000"/>
        </w:rPr>
        <w:t xml:space="preserve"> План мероприятий</w:t>
      </w:r>
      <w:r>
        <w:br/>
      </w:r>
      <w:r>
        <w:rPr>
          <w:rFonts w:ascii="Times New Roman"/>
          <w:b/>
          <w:i w:val="false"/>
          <w:color w:val="000000"/>
        </w:rPr>
        <w:t xml:space="preserve"> по реализации Государственной программы развития регионов на 2020 - 2025 годы</w:t>
      </w:r>
    </w:p>
    <w:bookmarkEnd w:id="6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Повышение экономической конкурентоспособности регионов и улучшение качества жизни населения через управляемую урбанизацию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694"/>
          <w:p>
            <w:pPr>
              <w:spacing w:after="20"/>
              <w:ind w:left="20"/>
              <w:jc w:val="both"/>
            </w:pPr>
            <w:r>
              <w:rPr>
                <w:rFonts w:ascii="Times New Roman"/>
                <w:b w:val="false"/>
                <w:i w:val="false"/>
                <w:color w:val="000000"/>
                <w:sz w:val="20"/>
              </w:rPr>
              <w:t>
Целевой индикатор 1:</w:t>
            </w:r>
          </w:p>
          <w:bookmarkEnd w:id="694"/>
          <w:p>
            <w:pPr>
              <w:spacing w:after="20"/>
              <w:ind w:left="20"/>
              <w:jc w:val="both"/>
            </w:pPr>
            <w:r>
              <w:rPr>
                <w:rFonts w:ascii="Times New Roman"/>
                <w:b w:val="false"/>
                <w:i w:val="false"/>
                <w:color w:val="000000"/>
                <w:sz w:val="20"/>
              </w:rPr>
              <w:t>
</w:t>
            </w:r>
            <w:r>
              <w:rPr>
                <w:rFonts w:ascii="Times New Roman"/>
                <w:b w:val="false"/>
                <w:i w:val="false"/>
                <w:color w:val="000000"/>
                <w:sz w:val="20"/>
              </w:rPr>
              <w:t>Уровень урбанизации</w:t>
            </w:r>
          </w:p>
          <w:p>
            <w:pPr>
              <w:spacing w:after="20"/>
              <w:ind w:left="20"/>
              <w:jc w:val="both"/>
            </w:pPr>
            <w:r>
              <w:rPr>
                <w:rFonts w:ascii="Times New Roman"/>
                <w:b w:val="false"/>
                <w:i w:val="false"/>
                <w:color w:val="000000"/>
                <w:sz w:val="20"/>
              </w:rPr>
              <w:t>
(на конец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695"/>
          <w:p>
            <w:pPr>
              <w:spacing w:after="20"/>
              <w:ind w:left="20"/>
              <w:jc w:val="both"/>
            </w:pPr>
            <w:r>
              <w:rPr>
                <w:rFonts w:ascii="Times New Roman"/>
                <w:b w:val="false"/>
                <w:i w:val="false"/>
                <w:color w:val="000000"/>
                <w:sz w:val="20"/>
              </w:rPr>
              <w:t>
По республике</w:t>
            </w:r>
          </w:p>
          <w:bookmarkEnd w:id="695"/>
          <w:p>
            <w:pPr>
              <w:spacing w:after="20"/>
              <w:ind w:left="20"/>
              <w:jc w:val="both"/>
            </w:pPr>
            <w:r>
              <w:rPr>
                <w:rFonts w:ascii="Times New Roman"/>
                <w:b w:val="false"/>
                <w:i w:val="false"/>
                <w:color w:val="000000"/>
                <w:sz w:val="20"/>
              </w:rPr>
              <w:t>
в среднем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696"/>
          <w:p>
            <w:pPr>
              <w:spacing w:after="20"/>
              <w:ind w:left="20"/>
              <w:jc w:val="both"/>
            </w:pPr>
            <w:r>
              <w:rPr>
                <w:rFonts w:ascii="Times New Roman"/>
                <w:b w:val="false"/>
                <w:i w:val="false"/>
                <w:color w:val="000000"/>
                <w:sz w:val="20"/>
              </w:rPr>
              <w:t>
Целевой индикатор 2:</w:t>
            </w:r>
          </w:p>
          <w:bookmarkEnd w:id="696"/>
          <w:p>
            <w:pPr>
              <w:spacing w:after="20"/>
              <w:ind w:left="20"/>
              <w:jc w:val="both"/>
            </w:pPr>
            <w:r>
              <w:rPr>
                <w:rFonts w:ascii="Times New Roman"/>
                <w:b w:val="false"/>
                <w:i w:val="false"/>
                <w:color w:val="000000"/>
                <w:sz w:val="20"/>
              </w:rPr>
              <w:t xml:space="preserve">
Разрыв развития по ВРП на душу населения между регионами**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697"/>
          <w:p>
            <w:pPr>
              <w:spacing w:after="20"/>
              <w:ind w:left="20"/>
              <w:jc w:val="both"/>
            </w:pPr>
            <w:r>
              <w:rPr>
                <w:rFonts w:ascii="Times New Roman"/>
                <w:b w:val="false"/>
                <w:i w:val="false"/>
                <w:color w:val="000000"/>
                <w:sz w:val="20"/>
              </w:rPr>
              <w:t>
Целевой индикатор 3:</w:t>
            </w:r>
          </w:p>
          <w:bookmarkEnd w:id="697"/>
          <w:p>
            <w:pPr>
              <w:spacing w:after="20"/>
              <w:ind w:left="20"/>
              <w:jc w:val="both"/>
            </w:pPr>
            <w:r>
              <w:rPr>
                <w:rFonts w:ascii="Times New Roman"/>
                <w:b w:val="false"/>
                <w:i w:val="false"/>
                <w:color w:val="000000"/>
                <w:sz w:val="20"/>
              </w:rPr>
              <w:t>
Темпы роста реальных денежных доходов населения***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698"/>
          <w:p>
            <w:pPr>
              <w:spacing w:after="20"/>
              <w:ind w:left="20"/>
              <w:jc w:val="both"/>
            </w:pPr>
            <w:r>
              <w:rPr>
                <w:rFonts w:ascii="Times New Roman"/>
                <w:b w:val="false"/>
                <w:i w:val="false"/>
                <w:color w:val="000000"/>
                <w:sz w:val="20"/>
              </w:rPr>
              <w:t>
По республике</w:t>
            </w:r>
          </w:p>
          <w:bookmarkEnd w:id="698"/>
          <w:p>
            <w:pPr>
              <w:spacing w:after="20"/>
              <w:ind w:left="20"/>
              <w:jc w:val="both"/>
            </w:pPr>
            <w:r>
              <w:rPr>
                <w:rFonts w:ascii="Times New Roman"/>
                <w:b w:val="false"/>
                <w:i w:val="false"/>
                <w:color w:val="000000"/>
                <w:sz w:val="20"/>
              </w:rPr>
              <w:t>
в среднем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 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 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Развитие функциональных городских районов - агломераций с центрами в городах Нур-Султане, Алматы, Шымкенте и Актобе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699"/>
          <w:p>
            <w:pPr>
              <w:spacing w:after="20"/>
              <w:ind w:left="20"/>
              <w:jc w:val="both"/>
            </w:pPr>
            <w:r>
              <w:rPr>
                <w:rFonts w:ascii="Times New Roman"/>
                <w:b w:val="false"/>
                <w:i w:val="false"/>
                <w:color w:val="000000"/>
                <w:sz w:val="20"/>
              </w:rPr>
              <w:t>
Показатель результатов 1:</w:t>
            </w:r>
          </w:p>
          <w:bookmarkEnd w:id="699"/>
          <w:p>
            <w:pPr>
              <w:spacing w:after="20"/>
              <w:ind w:left="20"/>
              <w:jc w:val="both"/>
            </w:pPr>
            <w:r>
              <w:rPr>
                <w:rFonts w:ascii="Times New Roman"/>
                <w:b w:val="false"/>
                <w:i w:val="false"/>
                <w:color w:val="000000"/>
                <w:sz w:val="20"/>
              </w:rPr>
              <w:t>
Численность населения в агломерациях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Актюбинской области,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агломерациям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Нур-Султан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Алматы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город Актобе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00"/>
          <w:p>
            <w:pPr>
              <w:spacing w:after="20"/>
              <w:ind w:left="20"/>
              <w:jc w:val="both"/>
            </w:pPr>
            <w:r>
              <w:rPr>
                <w:rFonts w:ascii="Times New Roman"/>
                <w:b w:val="false"/>
                <w:i w:val="false"/>
                <w:color w:val="000000"/>
                <w:sz w:val="20"/>
              </w:rPr>
              <w:t>
Показатель результатов 2:</w:t>
            </w:r>
          </w:p>
          <w:bookmarkEnd w:id="700"/>
          <w:p>
            <w:pPr>
              <w:spacing w:after="20"/>
              <w:ind w:left="20"/>
              <w:jc w:val="both"/>
            </w:pPr>
            <w:r>
              <w:rPr>
                <w:rFonts w:ascii="Times New Roman"/>
                <w:b w:val="false"/>
                <w:i w:val="false"/>
                <w:color w:val="000000"/>
                <w:sz w:val="20"/>
              </w:rPr>
              <w:t>
Увеличение объемов привлечения инвестиций в основной капитал (за исключением бюджетных средств) в центрах агломерации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Актюбинской области,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2 295 898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2 522 183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2 779 129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1 014 182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1 253 064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1 030 035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Шымкент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584 312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690 935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Актобе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оптимальной городской среды с доведением до соответствующих параметров системы региональных стандартов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Актюбинской области,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технологий "SmartCity" в соответствии с Эталонным стандартом "умных" городов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МИО Актюбинской области, городов Нур-Султанa, Алматы и Шымкентa</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разработки, внедрения и мониторинга национального рейтинга качества жизни городов-центров ФГР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"ИЭИ"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бюджете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хода реализации стратегий развития крупных городов до 2050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мастер-планов центров ФГР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Мастер-планы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Актюбинской области, городов Нур-Султана, Алматы и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окраин крупных городов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городов Нурсултана, Шымкента, Алматы и Акмолинской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строительству инженерно-коммуникационной инфраструктуры первого-города спутника города Алматы "GateCity" в рамках проекта "G4 City"</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701"/>
          <w:p>
            <w:pPr>
              <w:spacing w:after="20"/>
              <w:ind w:left="20"/>
              <w:jc w:val="both"/>
            </w:pPr>
            <w:r>
              <w:rPr>
                <w:rFonts w:ascii="Times New Roman"/>
                <w:b w:val="false"/>
                <w:i w:val="false"/>
                <w:color w:val="000000"/>
                <w:sz w:val="20"/>
              </w:rPr>
              <w:t>
млн.</w:t>
            </w:r>
          </w:p>
          <w:bookmarkEnd w:id="701"/>
          <w:p>
            <w:pPr>
              <w:spacing w:after="20"/>
              <w:ind w:left="20"/>
              <w:jc w:val="both"/>
            </w:pPr>
            <w:r>
              <w:rPr>
                <w:rFonts w:ascii="Times New Roman"/>
                <w:b w:val="false"/>
                <w:i w:val="false"/>
                <w:color w:val="000000"/>
                <w:sz w:val="20"/>
              </w:rPr>
              <w:t>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Алматинской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Развитие функциональных городских районов с центрами в областных центрах, городе Семей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02"/>
          <w:p>
            <w:pPr>
              <w:spacing w:after="20"/>
              <w:ind w:left="20"/>
              <w:jc w:val="both"/>
            </w:pPr>
            <w:r>
              <w:rPr>
                <w:rFonts w:ascii="Times New Roman"/>
                <w:b w:val="false"/>
                <w:i w:val="false"/>
                <w:color w:val="000000"/>
                <w:sz w:val="20"/>
              </w:rPr>
              <w:t>
Показатель результатов 1:</w:t>
            </w:r>
          </w:p>
          <w:bookmarkEnd w:id="702"/>
          <w:p>
            <w:pPr>
              <w:spacing w:after="20"/>
              <w:ind w:left="20"/>
              <w:jc w:val="both"/>
            </w:pPr>
            <w:r>
              <w:rPr>
                <w:rFonts w:ascii="Times New Roman"/>
                <w:b w:val="false"/>
                <w:i w:val="false"/>
                <w:color w:val="000000"/>
                <w:sz w:val="20"/>
              </w:rPr>
              <w:t>
Численность населения областных центров, г.Семей (на конец года)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областным центрам (городская администрация)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03"/>
          <w:p>
            <w:pPr>
              <w:spacing w:after="20"/>
              <w:ind w:left="20"/>
              <w:jc w:val="both"/>
            </w:pPr>
            <w:r>
              <w:rPr>
                <w:rFonts w:ascii="Times New Roman"/>
                <w:b w:val="false"/>
                <w:i w:val="false"/>
                <w:color w:val="000000"/>
                <w:sz w:val="20"/>
              </w:rPr>
              <w:t>
Показатель результатов 2:</w:t>
            </w:r>
          </w:p>
          <w:bookmarkEnd w:id="703"/>
          <w:p>
            <w:pPr>
              <w:spacing w:after="20"/>
              <w:ind w:left="20"/>
              <w:jc w:val="both"/>
            </w:pPr>
            <w:r>
              <w:rPr>
                <w:rFonts w:ascii="Times New Roman"/>
                <w:b w:val="false"/>
                <w:i w:val="false"/>
                <w:color w:val="000000"/>
                <w:sz w:val="20"/>
              </w:rPr>
              <w:t>
Увеличение объемов привлечения инвестиций в основной капитал (за исключением бюджетных средств) в разрезе областных центров и г. Семей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04"/>
          <w:p>
            <w:pPr>
              <w:spacing w:after="20"/>
              <w:ind w:left="20"/>
              <w:jc w:val="both"/>
            </w:pPr>
            <w:r>
              <w:rPr>
                <w:rFonts w:ascii="Times New Roman"/>
                <w:b w:val="false"/>
                <w:i w:val="false"/>
                <w:color w:val="000000"/>
                <w:sz w:val="20"/>
              </w:rPr>
              <w:t>
млн.</w:t>
            </w:r>
          </w:p>
          <w:bookmarkEnd w:id="704"/>
          <w:p>
            <w:pPr>
              <w:spacing w:after="20"/>
              <w:ind w:left="20"/>
              <w:jc w:val="both"/>
            </w:pPr>
            <w:r>
              <w:rPr>
                <w:rFonts w:ascii="Times New Roman"/>
                <w:b w:val="false"/>
                <w:i w:val="false"/>
                <w:color w:val="000000"/>
                <w:sz w:val="20"/>
              </w:rPr>
              <w:t>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2 042 996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2 231 449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2 466 887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Талдыкорган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1 011 070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1 210 193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1 463 560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1 603 653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Усть-Каменогорск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3. Степень износа инженерной и транспортной инфраструктуры моно- и малых городов, входящих в состав функциональных городских районов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удовлетворительном состоянии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тепловых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водопроводных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Капшагай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принятие мастер-планов центров ФГР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Мастер-планы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оптимальной городской среды с доведением до соответствующих параметров системы региональных стандартов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технологий "SmartCity" в соответствии с Эталонным стандартом "умных" городов"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инженерной инфраструктуры центров ФГР и иных населенных пунктов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(102)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оборудования для государственной наблюдательной сети Национальной гидрометереологической службы РГП "Казгидромет"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05"/>
          <w:p>
            <w:pPr>
              <w:spacing w:after="20"/>
              <w:ind w:left="20"/>
              <w:jc w:val="both"/>
            </w:pPr>
            <w:r>
              <w:rPr>
                <w:rFonts w:ascii="Times New Roman"/>
                <w:b w:val="false"/>
                <w:i w:val="false"/>
                <w:color w:val="000000"/>
                <w:sz w:val="20"/>
              </w:rPr>
              <w:t>
млн.</w:t>
            </w:r>
          </w:p>
          <w:bookmarkEnd w:id="705"/>
          <w:p>
            <w:pPr>
              <w:spacing w:after="20"/>
              <w:ind w:left="20"/>
              <w:jc w:val="both"/>
            </w:pPr>
            <w:r>
              <w:rPr>
                <w:rFonts w:ascii="Times New Roman"/>
                <w:b w:val="false"/>
                <w:i w:val="false"/>
                <w:color w:val="000000"/>
                <w:sz w:val="20"/>
              </w:rPr>
              <w:t>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повышение квалификации кадров Национальной гидрометереологической службы РГП "Казгидромет"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06"/>
          <w:p>
            <w:pPr>
              <w:spacing w:after="20"/>
              <w:ind w:left="20"/>
              <w:jc w:val="both"/>
            </w:pPr>
            <w:r>
              <w:rPr>
                <w:rFonts w:ascii="Times New Roman"/>
                <w:b w:val="false"/>
                <w:i w:val="false"/>
                <w:color w:val="000000"/>
                <w:sz w:val="20"/>
              </w:rPr>
              <w:t>
млн.</w:t>
            </w:r>
          </w:p>
          <w:bookmarkEnd w:id="706"/>
          <w:p>
            <w:pPr>
              <w:spacing w:after="20"/>
              <w:ind w:left="20"/>
              <w:jc w:val="both"/>
            </w:pPr>
            <w:r>
              <w:rPr>
                <w:rFonts w:ascii="Times New Roman"/>
                <w:b w:val="false"/>
                <w:i w:val="false"/>
                <w:color w:val="000000"/>
                <w:sz w:val="20"/>
              </w:rPr>
              <w:t>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пожарных депо (вместо аварийных)</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селе-, лавинозащитных сооружений и укрепление оползнеопасных участков территорий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56626,0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поэтапному созданию систем оповещения населения в областных и районных центрах, селах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транспортной связанности СНП в составе ФГР с центрами ФГР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перспективных месторождений полезных ископаемых, находящихся вблизи моно- и малых городов, входящих в состав ФГР, с определением мер по их доразведке с участием АО "НГК "Казгеология" или частных инвесторов, заинтересованных в расширении сырьевой базы предприятий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АО "НГК "Казгеология" (по согласованию), АО "ФНБ "Самрук-Казына"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07"/>
          <w:p>
            <w:pPr>
              <w:spacing w:after="20"/>
              <w:ind w:left="20"/>
              <w:jc w:val="both"/>
            </w:pPr>
            <w:r>
              <w:rPr>
                <w:rFonts w:ascii="Times New Roman"/>
                <w:b w:val="false"/>
                <w:i w:val="false"/>
                <w:color w:val="000000"/>
                <w:sz w:val="20"/>
              </w:rPr>
              <w:t>
Не</w:t>
            </w:r>
          </w:p>
          <w:bookmarkEnd w:id="707"/>
          <w:p>
            <w:pPr>
              <w:spacing w:after="20"/>
              <w:ind w:left="20"/>
              <w:jc w:val="both"/>
            </w:pPr>
            <w:r>
              <w:rPr>
                <w:rFonts w:ascii="Times New Roman"/>
                <w:b w:val="false"/>
                <w:i w:val="false"/>
                <w:color w:val="000000"/>
                <w:sz w:val="20"/>
              </w:rPr>
              <w:t>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геологоразведочных работ в целях восполнения минерально-сырьевой базы моногородов, входящих в состав ФГР, в рамках договоров государственного задания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АО "НГК "Казгеология" (по согласованию)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межрегиональной конкуренции и кооперации между регионами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регионами совместных/скоординированных планов развития, направленных на улучшение межрегионального сотрудничества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Шымкента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моногородов с численностью населения более 50 тыс.человек, не входящих в состав функциональных городских районов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Показатель результатов 1. Увеличение объемов привлечения инвестиций в основной капитал </w:t>
            </w:r>
          </w:p>
          <w:p>
            <w:pPr>
              <w:spacing w:after="20"/>
              <w:ind w:left="20"/>
              <w:jc w:val="both"/>
            </w:pPr>
            <w:r>
              <w:rPr>
                <w:rFonts w:ascii="Times New Roman"/>
                <w:b w:val="false"/>
                <w:i w:val="false"/>
                <w:color w:val="000000"/>
                <w:sz w:val="20"/>
              </w:rPr>
              <w:t>(за исключением бюджетных средств), в разрезе моногородов с численностью населения более 50 тыс. человек, не входящих в состав функциональных городских районов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2. Степень износа инженерной и транспортной инфраструктуры моногородов с численностью населения более 50 тыс. человек, не входящих в состав функциональных городских районов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удовлетворительном состоянии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тепловых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водопроводных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Жезказган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Жанаозен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базовыми государственными и социальными услугами в соответствии с системой региональных стандартов в моно- и малых городах, не входящих в состав ФГР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инженерной инфраструктуры в моно- и малых городах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08"/>
          <w:p>
            <w:pPr>
              <w:spacing w:after="20"/>
              <w:ind w:left="20"/>
              <w:jc w:val="both"/>
            </w:pPr>
            <w:r>
              <w:rPr>
                <w:rFonts w:ascii="Times New Roman"/>
                <w:b w:val="false"/>
                <w:i w:val="false"/>
                <w:color w:val="000000"/>
                <w:sz w:val="20"/>
              </w:rPr>
              <w:t>
МИО</w:t>
            </w:r>
          </w:p>
          <w:bookmarkEnd w:id="708"/>
          <w:p>
            <w:pPr>
              <w:spacing w:after="20"/>
              <w:ind w:left="20"/>
              <w:jc w:val="both"/>
            </w:pPr>
            <w:r>
              <w:rPr>
                <w:rFonts w:ascii="Times New Roman"/>
                <w:b w:val="false"/>
                <w:i w:val="false"/>
                <w:color w:val="000000"/>
                <w:sz w:val="20"/>
              </w:rPr>
              <w:t>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(100)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хода реализации "якорных" инвестиционных проектов в моно- и малых городах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"якорных" инвестиционных проектов в моно- и малых городах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Развитие приграничных моно- и малых городов с прилегающими территориями</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1. Степень износа инженерной и транспортной инфраструктуры приграничных моно- и малых городов, не входящих в состав функциональных городских районов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автомобильных дорог в удовлетворительном состоянии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канализационных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тепловых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водопроводных сетей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моно- и малым городам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Жетысай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Житикара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моно- и малых городов на приграничных территориях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Строительство/реконструкция и ремонт объектов инженерной, транспортной инфраструктуры приграничных моно- и малых городов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09"/>
          <w:p>
            <w:pPr>
              <w:spacing w:after="20"/>
              <w:ind w:left="20"/>
              <w:jc w:val="both"/>
            </w:pPr>
            <w:r>
              <w:rPr>
                <w:rFonts w:ascii="Times New Roman"/>
                <w:b w:val="false"/>
                <w:i w:val="false"/>
                <w:color w:val="000000"/>
                <w:sz w:val="20"/>
              </w:rPr>
              <w:t>
Информация в МНЭ</w:t>
            </w:r>
          </w:p>
          <w:bookmarkEnd w:id="709"/>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по строительству инженерно-коммуникационной инфраструктуры города Нуркент (1-я очередь) в Панфиловском районе Алматинской области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Алматинской области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Развитие сельских населенных пунктов</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1: Уровень обеспеченности СНП социальными благами и услугами в соответствии с системой региональных стандартов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по всем селам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 2: Количество созданных рабочих мест в рамках проекта "Ауыл - Ел бесігі"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республике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доведению благ и услуг сельскому населению до параметров системы региональных стандартов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строительство и приобретение жилья специалистам социальной сферы и АПК, прибывающим в сельскую местность в рамках проекта "С дипломом в село!"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10"/>
          <w:p>
            <w:pPr>
              <w:spacing w:after="20"/>
              <w:ind w:left="20"/>
              <w:jc w:val="both"/>
            </w:pPr>
            <w:r>
              <w:rPr>
                <w:rFonts w:ascii="Times New Roman"/>
                <w:b w:val="false"/>
                <w:i w:val="false"/>
                <w:color w:val="000000"/>
                <w:sz w:val="20"/>
              </w:rPr>
              <w:t>
млн.</w:t>
            </w:r>
          </w:p>
          <w:bookmarkEnd w:id="710"/>
          <w:p>
            <w:pPr>
              <w:spacing w:after="20"/>
              <w:ind w:left="20"/>
              <w:jc w:val="both"/>
            </w:pPr>
            <w:r>
              <w:rPr>
                <w:rFonts w:ascii="Times New Roman"/>
                <w:b w:val="false"/>
                <w:i w:val="false"/>
                <w:color w:val="000000"/>
                <w:sz w:val="20"/>
              </w:rPr>
              <w:t>
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11"/>
          <w:p>
            <w:pPr>
              <w:spacing w:after="20"/>
              <w:ind w:left="20"/>
              <w:jc w:val="both"/>
            </w:pPr>
            <w:r>
              <w:rPr>
                <w:rFonts w:ascii="Times New Roman"/>
                <w:b w:val="false"/>
                <w:i w:val="false"/>
                <w:color w:val="000000"/>
                <w:sz w:val="20"/>
              </w:rPr>
              <w:t>
Предоставление бюджетныхкредитов</w:t>
            </w:r>
          </w:p>
          <w:bookmarkEnd w:id="711"/>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Дорожных карт развития опорных сельских населенных пунктов в составе ПРТ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сессий маслихатов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требуются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ремонт социальной и инженерной инфраструктуры опорных сел в рамках проекта "Ауыл - Ел бесігі"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млн.тенге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(106, 108)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транспортной связанности опорных сел с районными центрами путем строительства/модернизации/капитального ремонта дорог с твердым покрытием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МНЭ</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2020-2025 годы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средств, предусмотренных в республиканском и местных бюджетах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06" w:id="712"/>
    <w:p>
      <w:pPr>
        <w:spacing w:after="0"/>
        <w:ind w:left="0"/>
        <w:jc w:val="both"/>
      </w:pPr>
      <w:r>
        <w:rPr>
          <w:rFonts w:ascii="Times New Roman"/>
          <w:b w:val="false"/>
          <w:i w:val="false"/>
          <w:color w:val="000000"/>
          <w:sz w:val="28"/>
        </w:rPr>
        <w:t>
      Примечание:</w:t>
      </w:r>
    </w:p>
    <w:bookmarkEnd w:id="712"/>
    <w:bookmarkStart w:name="z807" w:id="713"/>
    <w:p>
      <w:pPr>
        <w:spacing w:after="0"/>
        <w:ind w:left="0"/>
        <w:jc w:val="both"/>
      </w:pPr>
      <w:r>
        <w:rPr>
          <w:rFonts w:ascii="Times New Roman"/>
          <w:b w:val="false"/>
          <w:i w:val="false"/>
          <w:color w:val="000000"/>
          <w:sz w:val="28"/>
        </w:rPr>
        <w:t>
      * Прогнозные значения уровня урбанизации на 2020-2025 годы рассчитаны на основе темпов роста/снижения уровня урбанизации за 2000-2018 годы.</w:t>
      </w:r>
    </w:p>
    <w:bookmarkEnd w:id="713"/>
    <w:bookmarkStart w:name="z808" w:id="714"/>
    <w:p>
      <w:pPr>
        <w:spacing w:after="0"/>
        <w:ind w:left="0"/>
        <w:jc w:val="both"/>
      </w:pPr>
      <w:r>
        <w:rPr>
          <w:rFonts w:ascii="Times New Roman"/>
          <w:b w:val="false"/>
          <w:i w:val="false"/>
          <w:color w:val="000000"/>
          <w:sz w:val="28"/>
        </w:rPr>
        <w:t xml:space="preserve">
      ** Прогнозные значения разрыва по ВРП на душу населения между регионами на 2020-2025 годы рассчитаны на основе анализа темпов роста/снижения объемов ВРП по 16 регионам за 2016-2017 годы и по 17 регионам за 2018 год. </w:t>
      </w:r>
    </w:p>
    <w:bookmarkEnd w:id="714"/>
    <w:bookmarkStart w:name="z809" w:id="715"/>
    <w:p>
      <w:pPr>
        <w:spacing w:after="0"/>
        <w:ind w:left="0"/>
        <w:jc w:val="both"/>
      </w:pPr>
      <w:r>
        <w:rPr>
          <w:rFonts w:ascii="Times New Roman"/>
          <w:b w:val="false"/>
          <w:i w:val="false"/>
          <w:color w:val="000000"/>
          <w:sz w:val="28"/>
        </w:rPr>
        <w:t>
      *** Прогнозные значения темпов роста реальных денежных доходов населения на 2020-2025 годы рассчитаны на основе анализа темпов роста/снижения реальных денежных доходов по отношению к 2016 году.</w:t>
      </w:r>
    </w:p>
    <w:bookmarkEnd w:id="715"/>
    <w:bookmarkStart w:name="z810" w:id="716"/>
    <w:p>
      <w:pPr>
        <w:spacing w:after="0"/>
        <w:ind w:left="0"/>
        <w:jc w:val="both"/>
      </w:pPr>
      <w:r>
        <w:rPr>
          <w:rFonts w:ascii="Times New Roman"/>
          <w:b w:val="false"/>
          <w:i w:val="false"/>
          <w:color w:val="000000"/>
          <w:sz w:val="28"/>
        </w:rPr>
        <w:t>
      Расшифровка аббревиатур:</w:t>
      </w:r>
    </w:p>
    <w:bookmarkEnd w:id="7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"Самрук-Казына"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"Самрук-Казына"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"НГК "Казгеология"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"Национальная геологоразведочная компания "Казгеология"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"Казгидромет"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"Казгидромет" Министерства экологии, геологии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экономического сотрудничества и развития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"ИЭИ"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"Институт экономических исследований"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населенные пункты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функциональный городской район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территории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