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8e2" w14:textId="179b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2020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2020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– фонд) не более 1,47 процента от размера активов, поступивших на счет фонда за отчетный месяц.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2020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