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a782" w14:textId="a8c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2020 года № 195.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нормы и лимиты, обеспечивающие финансовую устойчивость акционерного общества "Государственный фонд социального страхования" (далее – Фонд):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резерва Фонда, рассчитываемый на 1 января года, следующего за отчетным, в размере не менее десяти процентов от размера провизии. Резерв Фонда, формируемый для покрытия рисков, возможных в результате деятельности Фонда, и обеспечивающий его финансовую устойчивость, определяется как разность активов и провизии Фонда;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ежемесячного неинвестируемого остатка денег на банковском счете Фонда, открытом в Национальном Банке Республики Казахстан, на начало месяца, следующего за отчетным, в размере не менее полуторакратного размера суммы социальных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страховании", за месяц, предшествующий отчетному, но не ниже 100000000 (сто миллионов)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02.10.2020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Провизии, как приведенная стоимость будущих социальных выплат получателям из Фонда, ежегодно определяются Фондом с использованием актуарных расчетов.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2006 года № 654 "Об установлении норм и лимитов, обеспечивающих финансовую устойчивость акционерного общества "Государственный фонд социального страхования" (САПП Республики Казахстан, 2006 г., № 25, ст. 261).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распространяется на отношения, возникшие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