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d13c58" w14:textId="cd13c5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присвоении статуса исследовательского университета некоммерческому акционерному обществу "Казахский агротехнический университет имени С. Сейфуллина" и утверждении его Программы развития на 2020 – 2024 годы</w:t>
      </w:r>
    </w:p>
    <w:p>
      <w:pPr>
        <w:spacing w:after="0"/>
        <w:ind w:left="0"/>
        <w:jc w:val="both"/>
      </w:pPr>
      <w:r>
        <w:rPr>
          <w:rFonts w:ascii="Times New Roman"/>
          <w:b w:val="false"/>
          <w:i w:val="false"/>
          <w:color w:val="000000"/>
          <w:sz w:val="28"/>
        </w:rPr>
        <w:t>Постановление Правительства Республики Казахстан от 1 сентября 2020 года № 545</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8)</w:t>
      </w:r>
      <w:r>
        <w:rPr>
          <w:rFonts w:ascii="Times New Roman"/>
          <w:b w:val="false"/>
          <w:i w:val="false"/>
          <w:color w:val="000000"/>
          <w:sz w:val="28"/>
        </w:rPr>
        <w:t xml:space="preserve"> статьи 3 Закона Республики Казахстан от 18 февраля 2011 года "О науке" Правительство Республики Казахстан </w:t>
      </w:r>
      <w:r>
        <w:rPr>
          <w:rFonts w:ascii="Times New Roman"/>
          <w:b/>
          <w:i w:val="false"/>
          <w:color w:val="000000"/>
          <w:sz w:val="28"/>
        </w:rPr>
        <w:t>ПОСТАНОВЛЯЕТ:</w:t>
      </w:r>
    </w:p>
    <w:bookmarkEnd w:id="0"/>
    <w:bookmarkStart w:name="z4" w:id="1"/>
    <w:p>
      <w:pPr>
        <w:spacing w:after="0"/>
        <w:ind w:left="0"/>
        <w:jc w:val="both"/>
      </w:pPr>
      <w:r>
        <w:rPr>
          <w:rFonts w:ascii="Times New Roman"/>
          <w:b w:val="false"/>
          <w:i w:val="false"/>
          <w:color w:val="000000"/>
          <w:sz w:val="28"/>
        </w:rPr>
        <w:t>
      1. Присвоить статус исследовательского университета некоммерческому акционерному обществу "Казахский агротехнический университет имени С. Сейфуллина".</w:t>
      </w:r>
    </w:p>
    <w:bookmarkEnd w:id="1"/>
    <w:bookmarkStart w:name="z5" w:id="2"/>
    <w:p>
      <w:pPr>
        <w:spacing w:after="0"/>
        <w:ind w:left="0"/>
        <w:jc w:val="both"/>
      </w:pPr>
      <w:r>
        <w:rPr>
          <w:rFonts w:ascii="Times New Roman"/>
          <w:b w:val="false"/>
          <w:i w:val="false"/>
          <w:color w:val="000000"/>
          <w:sz w:val="28"/>
        </w:rPr>
        <w:t xml:space="preserve">
      2. Утвердить прилагаемую </w:t>
      </w:r>
      <w:r>
        <w:rPr>
          <w:rFonts w:ascii="Times New Roman"/>
          <w:b w:val="false"/>
          <w:i w:val="false"/>
          <w:color w:val="000000"/>
          <w:sz w:val="28"/>
        </w:rPr>
        <w:t>Программу</w:t>
      </w:r>
      <w:r>
        <w:rPr>
          <w:rFonts w:ascii="Times New Roman"/>
          <w:b w:val="false"/>
          <w:i w:val="false"/>
          <w:color w:val="000000"/>
          <w:sz w:val="28"/>
        </w:rPr>
        <w:t xml:space="preserve"> развития некоммерческого акционерного общества "Казахский агротехнический университет имени С. Сейфуллина" на 2020 – 2024 годы.</w:t>
      </w:r>
    </w:p>
    <w:bookmarkEnd w:id="2"/>
    <w:bookmarkStart w:name="z6" w:id="3"/>
    <w:p>
      <w:pPr>
        <w:spacing w:after="0"/>
        <w:ind w:left="0"/>
        <w:jc w:val="both"/>
      </w:pPr>
      <w:r>
        <w:rPr>
          <w:rFonts w:ascii="Times New Roman"/>
          <w:b w:val="false"/>
          <w:i w:val="false"/>
          <w:color w:val="000000"/>
          <w:sz w:val="28"/>
        </w:rPr>
        <w:t xml:space="preserve">
      3. Настоящее постановление вводится в действие со дня его подписания. </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r>
              <w:br/>
            </w: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Мамин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1 сентября 2020 года № 545</w:t>
            </w:r>
          </w:p>
        </w:tc>
      </w:tr>
    </w:tbl>
    <w:bookmarkStart w:name="z9" w:id="4"/>
    <w:p>
      <w:pPr>
        <w:spacing w:after="0"/>
        <w:ind w:left="0"/>
        <w:jc w:val="left"/>
      </w:pPr>
      <w:r>
        <w:rPr>
          <w:rFonts w:ascii="Times New Roman"/>
          <w:b/>
          <w:i w:val="false"/>
          <w:color w:val="000000"/>
        </w:rPr>
        <w:t xml:space="preserve"> Программа развития</w:t>
      </w:r>
      <w:r>
        <w:br/>
      </w:r>
      <w:r>
        <w:rPr>
          <w:rFonts w:ascii="Times New Roman"/>
          <w:b/>
          <w:i w:val="false"/>
          <w:color w:val="000000"/>
        </w:rPr>
        <w:t>некоммерческого акционерного общества "Казахский агротехнический университет имени Сакена Сейфуллина" на 2020 – 2024 годы</w:t>
      </w:r>
    </w:p>
    <w:bookmarkEnd w:id="4"/>
    <w:bookmarkStart w:name="z10" w:id="5"/>
    <w:p>
      <w:pPr>
        <w:spacing w:after="0"/>
        <w:ind w:left="0"/>
        <w:jc w:val="both"/>
      </w:pPr>
      <w:r>
        <w:rPr>
          <w:rFonts w:ascii="Times New Roman"/>
          <w:b w:val="false"/>
          <w:i w:val="false"/>
          <w:color w:val="000000"/>
          <w:sz w:val="28"/>
        </w:rPr>
        <w:t xml:space="preserve">
      </w:t>
      </w:r>
      <w:r>
        <w:rPr>
          <w:rFonts w:ascii="Times New Roman"/>
          <w:b/>
          <w:i w:val="false"/>
          <w:color w:val="000000"/>
          <w:sz w:val="28"/>
        </w:rPr>
        <w:t>1. Паспорт Программы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5"/>
        <w:gridCol w:w="11485"/>
      </w:tblGrid>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Программы</w:t>
            </w:r>
          </w:p>
        </w:tc>
        <w:tc>
          <w:tcPr>
            <w:tcW w:w="1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развития НАО "Казахский агротехнический университет имени С. Сейфуллина" (далее – КАТУ) на 2020 – 2024 годы</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для разработки Программы</w:t>
            </w:r>
          </w:p>
        </w:tc>
        <w:tc>
          <w:tcPr>
            <w:tcW w:w="1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 w:id="6"/>
          <w:p>
            <w:pPr>
              <w:spacing w:after="20"/>
              <w:ind w:left="20"/>
              <w:jc w:val="both"/>
            </w:pPr>
            <w:r>
              <w:rPr>
                <w:rFonts w:ascii="Times New Roman"/>
                <w:b w:val="false"/>
                <w:i w:val="false"/>
                <w:color w:val="000000"/>
                <w:sz w:val="20"/>
              </w:rPr>
              <w:t xml:space="preserve">
1) </w:t>
            </w:r>
            <w:r>
              <w:rPr>
                <w:rFonts w:ascii="Times New Roman"/>
                <w:b w:val="false"/>
                <w:i w:val="false"/>
                <w:color w:val="000000"/>
                <w:sz w:val="20"/>
              </w:rPr>
              <w:t>Государственная программа</w:t>
            </w:r>
            <w:r>
              <w:rPr>
                <w:rFonts w:ascii="Times New Roman"/>
                <w:b w:val="false"/>
                <w:i w:val="false"/>
                <w:color w:val="000000"/>
                <w:sz w:val="20"/>
              </w:rPr>
              <w:t xml:space="preserve"> развития агропромышленного комплекса на 2017 – 2021 годы, утвержденная постановлением Правительства Республики Казахстан от 12 июля 2018 года № 423;</w:t>
            </w:r>
            <w:r>
              <w:br/>
            </w:r>
            <w:r>
              <w:rPr>
                <w:rFonts w:ascii="Times New Roman"/>
                <w:b w:val="false"/>
                <w:i w:val="false"/>
                <w:color w:val="000000"/>
                <w:sz w:val="20"/>
              </w:rPr>
              <w:t>
</w:t>
            </w:r>
            <w:r>
              <w:rPr>
                <w:rFonts w:ascii="Times New Roman"/>
                <w:b w:val="false"/>
                <w:i w:val="false"/>
                <w:color w:val="000000"/>
                <w:sz w:val="20"/>
              </w:rPr>
              <w:t xml:space="preserve">2) </w:t>
            </w:r>
            <w:r>
              <w:rPr>
                <w:rFonts w:ascii="Times New Roman"/>
                <w:b w:val="false"/>
                <w:i w:val="false"/>
                <w:color w:val="000000"/>
                <w:sz w:val="20"/>
              </w:rPr>
              <w:t>Государственная программа</w:t>
            </w:r>
            <w:r>
              <w:rPr>
                <w:rFonts w:ascii="Times New Roman"/>
                <w:b w:val="false"/>
                <w:i w:val="false"/>
                <w:color w:val="000000"/>
                <w:sz w:val="20"/>
              </w:rPr>
              <w:t xml:space="preserve"> развития образования и науки Республики Казахстан на 2020 – 2025 годы, утвержденная постановлением Правительства Республики Казахстан от 27 декабря 2019 года № 988;</w:t>
            </w:r>
            <w:r>
              <w:br/>
            </w:r>
            <w:r>
              <w:rPr>
                <w:rFonts w:ascii="Times New Roman"/>
                <w:b w:val="false"/>
                <w:i w:val="false"/>
                <w:color w:val="000000"/>
                <w:sz w:val="20"/>
              </w:rPr>
              <w:t>
</w:t>
            </w:r>
            <w:r>
              <w:rPr>
                <w:rFonts w:ascii="Times New Roman"/>
                <w:b w:val="false"/>
                <w:i w:val="false"/>
                <w:color w:val="000000"/>
                <w:sz w:val="20"/>
              </w:rPr>
              <w:t xml:space="preserve">3) </w:t>
            </w:r>
            <w:r>
              <w:rPr>
                <w:rFonts w:ascii="Times New Roman"/>
                <w:b w:val="false"/>
                <w:i w:val="false"/>
                <w:color w:val="000000"/>
                <w:sz w:val="20"/>
              </w:rPr>
              <w:t>Закон</w:t>
            </w:r>
            <w:r>
              <w:rPr>
                <w:rFonts w:ascii="Times New Roman"/>
                <w:b w:val="false"/>
                <w:i w:val="false"/>
                <w:color w:val="000000"/>
                <w:sz w:val="20"/>
              </w:rPr>
              <w:t xml:space="preserve"> Республики Казахстан от 27 июля 2007 года № 319-ІІІ "Об образовании";</w:t>
            </w:r>
            <w:r>
              <w:br/>
            </w:r>
            <w:r>
              <w:rPr>
                <w:rFonts w:ascii="Times New Roman"/>
                <w:b w:val="false"/>
                <w:i w:val="false"/>
                <w:color w:val="000000"/>
                <w:sz w:val="20"/>
              </w:rPr>
              <w:t>
</w:t>
            </w:r>
            <w:r>
              <w:rPr>
                <w:rFonts w:ascii="Times New Roman"/>
                <w:b w:val="false"/>
                <w:i w:val="false"/>
                <w:color w:val="000000"/>
                <w:sz w:val="20"/>
              </w:rPr>
              <w:t>4) Стратегия развития НАО "Национальный аграрный научно-образовательный центр" (далее – НАНОЦ) на 2019 – 2023 годы, утвержденная решением Совета директоров НАНОЦ от 26 апреля 2019 года (протокол № 6);</w:t>
            </w:r>
            <w:r>
              <w:br/>
            </w:r>
            <w:r>
              <w:rPr>
                <w:rFonts w:ascii="Times New Roman"/>
                <w:b w:val="false"/>
                <w:i w:val="false"/>
                <w:color w:val="000000"/>
                <w:sz w:val="20"/>
              </w:rPr>
              <w:t>
5) Видение, миссия и стратегия КАТУ, утвержденные решением Совета директоров от 14 декабря 2015 года.</w:t>
            </w:r>
          </w:p>
          <w:bookmarkEnd w:id="6"/>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Разработчик Программы</w:t>
            </w:r>
          </w:p>
        </w:tc>
        <w:tc>
          <w:tcPr>
            <w:tcW w:w="1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Министерство сельского хозяйства Республики Казахстан</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 задачи Программы</w:t>
            </w:r>
          </w:p>
        </w:tc>
        <w:tc>
          <w:tcPr>
            <w:tcW w:w="1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 w:id="7"/>
          <w:p>
            <w:pPr>
              <w:spacing w:after="20"/>
              <w:ind w:left="20"/>
              <w:jc w:val="both"/>
            </w:pPr>
            <w:r>
              <w:rPr>
                <w:rFonts w:ascii="Times New Roman"/>
                <w:b w:val="false"/>
                <w:i w:val="false"/>
                <w:color w:val="000000"/>
                <w:sz w:val="20"/>
              </w:rPr>
              <w:t>
Целью Программы является создание на базе КАТУ исследовательского аграрного университета по примеру АОО "Назарбаев Университет" и ведущих в мире исследовательских университетов в сфере сельского хозяйства.</w:t>
            </w:r>
            <w:r>
              <w:br/>
            </w:r>
            <w:r>
              <w:rPr>
                <w:rFonts w:ascii="Times New Roman"/>
                <w:b w:val="false"/>
                <w:i w:val="false"/>
                <w:color w:val="000000"/>
                <w:sz w:val="20"/>
              </w:rPr>
              <w:t>
</w:t>
            </w:r>
            <w:r>
              <w:rPr>
                <w:rFonts w:ascii="Times New Roman"/>
                <w:b w:val="false"/>
                <w:i w:val="false"/>
                <w:color w:val="000000"/>
                <w:sz w:val="20"/>
              </w:rPr>
              <w:t xml:space="preserve">Задачами Программы являются: </w:t>
            </w:r>
            <w:r>
              <w:br/>
            </w:r>
            <w:r>
              <w:rPr>
                <w:rFonts w:ascii="Times New Roman"/>
                <w:b w:val="false"/>
                <w:i w:val="false"/>
                <w:color w:val="000000"/>
                <w:sz w:val="20"/>
              </w:rPr>
              <w:t>
</w:t>
            </w:r>
            <w:r>
              <w:rPr>
                <w:rFonts w:ascii="Times New Roman"/>
                <w:b w:val="false"/>
                <w:i w:val="false"/>
                <w:color w:val="000000"/>
                <w:sz w:val="20"/>
              </w:rPr>
              <w:t>1. Создание организационных условий для трансформации КАТУ в исследовательский аграрный университет.</w:t>
            </w:r>
            <w:r>
              <w:br/>
            </w:r>
            <w:r>
              <w:rPr>
                <w:rFonts w:ascii="Times New Roman"/>
                <w:b w:val="false"/>
                <w:i w:val="false"/>
                <w:color w:val="000000"/>
                <w:sz w:val="20"/>
              </w:rPr>
              <w:t>
</w:t>
            </w:r>
            <w:r>
              <w:rPr>
                <w:rFonts w:ascii="Times New Roman"/>
                <w:b w:val="false"/>
                <w:i w:val="false"/>
                <w:color w:val="000000"/>
                <w:sz w:val="20"/>
              </w:rPr>
              <w:t>2. Расширение направлений исследований и улучшение качества научных результатов.</w:t>
            </w:r>
            <w:r>
              <w:br/>
            </w:r>
            <w:r>
              <w:rPr>
                <w:rFonts w:ascii="Times New Roman"/>
                <w:b w:val="false"/>
                <w:i w:val="false"/>
                <w:color w:val="000000"/>
                <w:sz w:val="20"/>
              </w:rPr>
              <w:t>
</w:t>
            </w:r>
            <w:r>
              <w:rPr>
                <w:rFonts w:ascii="Times New Roman"/>
                <w:b w:val="false"/>
                <w:i w:val="false"/>
                <w:color w:val="000000"/>
                <w:sz w:val="20"/>
              </w:rPr>
              <w:t>3. Улучшение качества образовательных услуг.</w:t>
            </w:r>
            <w:r>
              <w:br/>
            </w:r>
            <w:r>
              <w:rPr>
                <w:rFonts w:ascii="Times New Roman"/>
                <w:b w:val="false"/>
                <w:i w:val="false"/>
                <w:color w:val="000000"/>
                <w:sz w:val="20"/>
              </w:rPr>
              <w:t>
</w:t>
            </w:r>
            <w:r>
              <w:rPr>
                <w:rFonts w:ascii="Times New Roman"/>
                <w:b w:val="false"/>
                <w:i w:val="false"/>
                <w:color w:val="000000"/>
                <w:sz w:val="20"/>
              </w:rPr>
              <w:t>4. Расширение системы продвижения результатов деятельности КАТУ в практику.</w:t>
            </w:r>
            <w:r>
              <w:br/>
            </w:r>
            <w:r>
              <w:rPr>
                <w:rFonts w:ascii="Times New Roman"/>
                <w:b w:val="false"/>
                <w:i w:val="false"/>
                <w:color w:val="000000"/>
                <w:sz w:val="20"/>
              </w:rPr>
              <w:t>
5. Модернизация имеющейся и создание недостающей инфраструктуры.</w:t>
            </w:r>
          </w:p>
          <w:bookmarkEnd w:id="7"/>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 этапы реализации Программы</w:t>
            </w:r>
          </w:p>
        </w:tc>
        <w:tc>
          <w:tcPr>
            <w:tcW w:w="1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 w:id="8"/>
          <w:p>
            <w:pPr>
              <w:spacing w:after="20"/>
              <w:ind w:left="20"/>
              <w:jc w:val="both"/>
            </w:pPr>
            <w:r>
              <w:rPr>
                <w:rFonts w:ascii="Times New Roman"/>
                <w:b w:val="false"/>
                <w:i w:val="false"/>
                <w:color w:val="000000"/>
                <w:sz w:val="20"/>
              </w:rPr>
              <w:t>
Срок реализации Программы – 2020 – 2024 годы, в том числе:</w:t>
            </w:r>
            <w:r>
              <w:br/>
            </w:r>
            <w:r>
              <w:rPr>
                <w:rFonts w:ascii="Times New Roman"/>
                <w:b w:val="false"/>
                <w:i w:val="false"/>
                <w:color w:val="000000"/>
                <w:sz w:val="20"/>
              </w:rPr>
              <w:t>
</w:t>
            </w:r>
            <w:r>
              <w:rPr>
                <w:rFonts w:ascii="Times New Roman"/>
                <w:b w:val="false"/>
                <w:i w:val="false"/>
                <w:color w:val="000000"/>
                <w:sz w:val="20"/>
              </w:rPr>
              <w:t>1) 2020 – 2021 годы – подготовительный этап;</w:t>
            </w:r>
            <w:r>
              <w:br/>
            </w:r>
            <w:r>
              <w:rPr>
                <w:rFonts w:ascii="Times New Roman"/>
                <w:b w:val="false"/>
                <w:i w:val="false"/>
                <w:color w:val="000000"/>
                <w:sz w:val="20"/>
              </w:rPr>
              <w:t>
2) 2022 – 2024 годы – этап становления.</w:t>
            </w:r>
          </w:p>
          <w:bookmarkEnd w:id="8"/>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 источники финансирования</w:t>
            </w:r>
          </w:p>
        </w:tc>
        <w:tc>
          <w:tcPr>
            <w:tcW w:w="1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Основными источниками финансирования текущих мероприятий являются собственные средства КАТУ в обьеме 3 332,3 млн тенге. Объем финансирования капитальных затрат определяется по мере формирования предпроектной и проектной документации.</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2. Введение</w:t>
      </w:r>
    </w:p>
    <w:bookmarkStart w:name="z24" w:id="9"/>
    <w:p>
      <w:pPr>
        <w:spacing w:after="0"/>
        <w:ind w:left="0"/>
        <w:jc w:val="both"/>
      </w:pPr>
      <w:r>
        <w:rPr>
          <w:rFonts w:ascii="Times New Roman"/>
          <w:b w:val="false"/>
          <w:i w:val="false"/>
          <w:color w:val="000000"/>
          <w:sz w:val="28"/>
        </w:rPr>
        <w:t>
      Реализуемая политика Республики Казахстан в области высшего образования и науки нацелена на улучшение качества научных результатов и компетенции специалистов, адаптацию и применение передовой мировой практики, и интеграцию в мировое научно-образовательное пространство.</w:t>
      </w:r>
    </w:p>
    <w:bookmarkEnd w:id="9"/>
    <w:bookmarkStart w:name="z25" w:id="10"/>
    <w:p>
      <w:pPr>
        <w:spacing w:after="0"/>
        <w:ind w:left="0"/>
        <w:jc w:val="both"/>
      </w:pPr>
      <w:r>
        <w:rPr>
          <w:rFonts w:ascii="Times New Roman"/>
          <w:b w:val="false"/>
          <w:i w:val="false"/>
          <w:color w:val="000000"/>
          <w:sz w:val="28"/>
        </w:rPr>
        <w:t>
      Государственная программа развития агропромышленного комплекса на 2017 – 2021 годы (далее – ГПАПК) предусматривает развитие потенциала университетов аграрного профиля – НАО "Казахский национальный аграрный университет" и НАО "Казахский агротехнический университет имени Сакена Сейфуллина" (далее – КАТУ), с их трансформацией в исследовательские университеты. Для каждого из указанных университетов должны быть утверждены программы развития, предусматривающие автономию по примеру АОО "Назарбаев Университет" и расширение функционала в направлении научных исследований, трансферта и адаптации зарубежных технологий и распространения знаний.</w:t>
      </w:r>
    </w:p>
    <w:bookmarkEnd w:id="10"/>
    <w:bookmarkStart w:name="z26" w:id="11"/>
    <w:p>
      <w:pPr>
        <w:spacing w:after="0"/>
        <w:ind w:left="0"/>
        <w:jc w:val="both"/>
      </w:pPr>
      <w:r>
        <w:rPr>
          <w:rFonts w:ascii="Times New Roman"/>
          <w:b w:val="false"/>
          <w:i w:val="false"/>
          <w:color w:val="000000"/>
          <w:sz w:val="28"/>
        </w:rPr>
        <w:t>
      Реформирование университетов должно осуществляться в партнерстве с ведущими в мире исследовательскими университетами аграрного профиля, с приглашением зарубежных профессоров для модернизации образовательных программ и преподавания. Кроме того, обеспечена интеграция производства, образования и науки для синхронизации процессов разработки и внедрения отечественных научных разработок, трансферта успешных зарубежных технологий, подготовки и переподготовки кадров с инновационными компетенциями.</w:t>
      </w:r>
    </w:p>
    <w:bookmarkEnd w:id="11"/>
    <w:bookmarkStart w:name="z27" w:id="12"/>
    <w:p>
      <w:pPr>
        <w:spacing w:after="0"/>
        <w:ind w:left="0"/>
        <w:jc w:val="both"/>
      </w:pPr>
      <w:r>
        <w:rPr>
          <w:rFonts w:ascii="Times New Roman"/>
          <w:b w:val="false"/>
          <w:i w:val="false"/>
          <w:color w:val="000000"/>
          <w:sz w:val="28"/>
        </w:rPr>
        <w:t xml:space="preserve">
      Настоящая Программа развития НАО "Казахский агротехнический университет имени Сакена Сейфуллина" на 2020 – 2024 годы (далее – Программа) разработана в рамках реализации указанных выше государственных программ, во исполнение пункта 141 Плана мероприятий ГПАПК, и нацелена на завершение реформирования в современный исследовательский аграрный университет. </w:t>
      </w:r>
    </w:p>
    <w:bookmarkEnd w:id="12"/>
    <w:bookmarkStart w:name="z28" w:id="13"/>
    <w:p>
      <w:pPr>
        <w:spacing w:after="0"/>
        <w:ind w:left="0"/>
        <w:jc w:val="both"/>
      </w:pPr>
      <w:r>
        <w:rPr>
          <w:rFonts w:ascii="Times New Roman"/>
          <w:b w:val="false"/>
          <w:i w:val="false"/>
          <w:color w:val="000000"/>
          <w:sz w:val="28"/>
        </w:rPr>
        <w:t>
      КАТУ создан в 1957 году с целью подготовки высококвалифицированных специалистов для освоения целинных и залежных земель Северного Казахстана. В составе КАТУ действуют 8 факультетов, объединяющих 42 кафедры:</w:t>
      </w:r>
    </w:p>
    <w:bookmarkEnd w:id="13"/>
    <w:bookmarkStart w:name="z29" w:id="14"/>
    <w:p>
      <w:pPr>
        <w:spacing w:after="0"/>
        <w:ind w:left="0"/>
        <w:jc w:val="both"/>
      </w:pPr>
      <w:r>
        <w:rPr>
          <w:rFonts w:ascii="Times New Roman"/>
          <w:b w:val="false"/>
          <w:i w:val="false"/>
          <w:color w:val="000000"/>
          <w:sz w:val="28"/>
        </w:rPr>
        <w:t>
      1) агрономический;</w:t>
      </w:r>
    </w:p>
    <w:bookmarkEnd w:id="14"/>
    <w:bookmarkStart w:name="z30" w:id="15"/>
    <w:p>
      <w:pPr>
        <w:spacing w:after="0"/>
        <w:ind w:left="0"/>
        <w:jc w:val="both"/>
      </w:pPr>
      <w:r>
        <w:rPr>
          <w:rFonts w:ascii="Times New Roman"/>
          <w:b w:val="false"/>
          <w:i w:val="false"/>
          <w:color w:val="000000"/>
          <w:sz w:val="28"/>
        </w:rPr>
        <w:t>
      2) ветеринарии и технологии животноводства;</w:t>
      </w:r>
    </w:p>
    <w:bookmarkEnd w:id="15"/>
    <w:bookmarkStart w:name="z31" w:id="16"/>
    <w:p>
      <w:pPr>
        <w:spacing w:after="0"/>
        <w:ind w:left="0"/>
        <w:jc w:val="both"/>
      </w:pPr>
      <w:r>
        <w:rPr>
          <w:rFonts w:ascii="Times New Roman"/>
          <w:b w:val="false"/>
          <w:i w:val="false"/>
          <w:color w:val="000000"/>
          <w:sz w:val="28"/>
        </w:rPr>
        <w:t>
      3) компьютерных систем и профессионального образования;</w:t>
      </w:r>
    </w:p>
    <w:bookmarkEnd w:id="16"/>
    <w:bookmarkStart w:name="z32" w:id="17"/>
    <w:p>
      <w:pPr>
        <w:spacing w:after="0"/>
        <w:ind w:left="0"/>
        <w:jc w:val="both"/>
      </w:pPr>
      <w:r>
        <w:rPr>
          <w:rFonts w:ascii="Times New Roman"/>
          <w:b w:val="false"/>
          <w:i w:val="false"/>
          <w:color w:val="000000"/>
          <w:sz w:val="28"/>
        </w:rPr>
        <w:t>
      4) технический;</w:t>
      </w:r>
    </w:p>
    <w:bookmarkEnd w:id="17"/>
    <w:bookmarkStart w:name="z33" w:id="18"/>
    <w:p>
      <w:pPr>
        <w:spacing w:after="0"/>
        <w:ind w:left="0"/>
        <w:jc w:val="both"/>
      </w:pPr>
      <w:r>
        <w:rPr>
          <w:rFonts w:ascii="Times New Roman"/>
          <w:b w:val="false"/>
          <w:i w:val="false"/>
          <w:color w:val="000000"/>
          <w:sz w:val="28"/>
        </w:rPr>
        <w:t>
      5) управления земельными ресурсами, архитектуры и дизайна;</w:t>
      </w:r>
    </w:p>
    <w:bookmarkEnd w:id="18"/>
    <w:bookmarkStart w:name="z34" w:id="19"/>
    <w:p>
      <w:pPr>
        <w:spacing w:after="0"/>
        <w:ind w:left="0"/>
        <w:jc w:val="both"/>
      </w:pPr>
      <w:r>
        <w:rPr>
          <w:rFonts w:ascii="Times New Roman"/>
          <w:b w:val="false"/>
          <w:i w:val="false"/>
          <w:color w:val="000000"/>
          <w:sz w:val="28"/>
        </w:rPr>
        <w:t>
      6) экономический;</w:t>
      </w:r>
    </w:p>
    <w:bookmarkEnd w:id="19"/>
    <w:bookmarkStart w:name="z35" w:id="20"/>
    <w:p>
      <w:pPr>
        <w:spacing w:after="0"/>
        <w:ind w:left="0"/>
        <w:jc w:val="both"/>
      </w:pPr>
      <w:r>
        <w:rPr>
          <w:rFonts w:ascii="Times New Roman"/>
          <w:b w:val="false"/>
          <w:i w:val="false"/>
          <w:color w:val="000000"/>
          <w:sz w:val="28"/>
        </w:rPr>
        <w:t>
      7) энергетический;</w:t>
      </w:r>
    </w:p>
    <w:bookmarkEnd w:id="20"/>
    <w:bookmarkStart w:name="z36" w:id="21"/>
    <w:p>
      <w:pPr>
        <w:spacing w:after="0"/>
        <w:ind w:left="0"/>
        <w:jc w:val="both"/>
      </w:pPr>
      <w:r>
        <w:rPr>
          <w:rFonts w:ascii="Times New Roman"/>
          <w:b w:val="false"/>
          <w:i w:val="false"/>
          <w:color w:val="000000"/>
          <w:sz w:val="28"/>
        </w:rPr>
        <w:t>
      8) гуманитарный (не имеет собственных образовательных программ, объединяет кафедры общеобразовательных и языковых дисциплин).</w:t>
      </w:r>
    </w:p>
    <w:bookmarkEnd w:id="21"/>
    <w:bookmarkStart w:name="z37" w:id="22"/>
    <w:p>
      <w:pPr>
        <w:spacing w:after="0"/>
        <w:ind w:left="0"/>
        <w:jc w:val="both"/>
      </w:pPr>
      <w:r>
        <w:rPr>
          <w:rFonts w:ascii="Times New Roman"/>
          <w:b w:val="false"/>
          <w:i w:val="false"/>
          <w:color w:val="000000"/>
          <w:sz w:val="28"/>
        </w:rPr>
        <w:t>
      Обучение проводится по 18 направлениям бакалавриата, 16 направлениям магистратуры и 12 направлениям докторантуры. Действуют конструкторское бюро, 46 лабораторий и научно-исследовательских центров. В 2019 году успешно пройдена институциональная аккредитация</w:t>
      </w:r>
      <w:r>
        <w:rPr>
          <w:rFonts w:ascii="Times New Roman"/>
          <w:b w:val="false"/>
          <w:i w:val="false"/>
          <w:color w:val="000000"/>
          <w:vertAlign w:val="superscript"/>
        </w:rPr>
        <w:t>1</w:t>
      </w:r>
      <w:r>
        <w:rPr>
          <w:rFonts w:ascii="Times New Roman"/>
          <w:b w:val="false"/>
          <w:i w:val="false"/>
          <w:color w:val="000000"/>
          <w:vertAlign w:val="superscript"/>
        </w:rPr>
        <w:t xml:space="preserve"> </w:t>
      </w:r>
      <w:r>
        <w:rPr>
          <w:rFonts w:ascii="Times New Roman"/>
          <w:b w:val="false"/>
          <w:i w:val="false"/>
          <w:color w:val="000000"/>
          <w:sz w:val="28"/>
        </w:rPr>
        <w:t xml:space="preserve">на 7 лет и международная специализированная аккредитация 9 образовательных программ бакалавриата, 9 программ магистратуры и 6 программ докторантуры. Остальные образовательные программы имеют национальную аккредитацию. </w:t>
      </w:r>
    </w:p>
    <w:bookmarkEnd w:id="22"/>
    <w:bookmarkStart w:name="z38" w:id="23"/>
    <w:p>
      <w:pPr>
        <w:spacing w:after="0"/>
        <w:ind w:left="0"/>
        <w:jc w:val="both"/>
      </w:pPr>
      <w:r>
        <w:rPr>
          <w:rFonts w:ascii="Times New Roman"/>
          <w:b w:val="false"/>
          <w:i w:val="false"/>
          <w:color w:val="000000"/>
          <w:sz w:val="28"/>
        </w:rPr>
        <w:t>
      Программа описывает основные подходы и направления реформирования КАТУ, необходимые ресурсы и ожидаемые результаты. В рамках реализации Программы планируется реализовать комплекс мероприятий по глубокой модернизации научно-исследовательской, образовательной и инновационной деятельности, развитию инфраструктуры и институциональной среды КАТУ с целью создания на его базе современного исследовательского университета в сфере АПК, не уступающего по качеству результатов деятельности ведущим зарубежным университетам.</w:t>
      </w:r>
    </w:p>
    <w:bookmarkEnd w:id="23"/>
    <w:p>
      <w:pPr>
        <w:spacing w:after="0"/>
        <w:ind w:left="0"/>
        <w:jc w:val="both"/>
      </w:pPr>
      <w:r>
        <w:rPr>
          <w:rFonts w:ascii="Times New Roman"/>
          <w:b/>
          <w:i w:val="false"/>
          <w:color w:val="000000"/>
          <w:sz w:val="28"/>
        </w:rPr>
        <w:t xml:space="preserve">3. Перспективы развития КАТУ с учетом текущего состояния и долгосрочных целей </w:t>
      </w:r>
    </w:p>
    <w:p>
      <w:pPr>
        <w:spacing w:after="0"/>
        <w:ind w:left="0"/>
        <w:jc w:val="both"/>
      </w:pPr>
      <w:r>
        <w:rPr>
          <w:rFonts w:ascii="Times New Roman"/>
          <w:b/>
          <w:i w:val="false"/>
          <w:color w:val="000000"/>
          <w:sz w:val="28"/>
        </w:rPr>
        <w:t>3.1. Подготовка кадров и научные исследования для АПК в Республике Казахстан</w:t>
      </w:r>
    </w:p>
    <w:bookmarkStart w:name="z41" w:id="24"/>
    <w:p>
      <w:pPr>
        <w:spacing w:after="0"/>
        <w:ind w:left="0"/>
        <w:jc w:val="both"/>
      </w:pPr>
      <w:r>
        <w:rPr>
          <w:rFonts w:ascii="Times New Roman"/>
          <w:b w:val="false"/>
          <w:i w:val="false"/>
          <w:color w:val="000000"/>
          <w:sz w:val="28"/>
        </w:rPr>
        <w:t>
      Системной проблемой, препятствующей улучшению качества научных результатов и компетенции специалистов, является неразвитость взаимосвязей между научными исследованиями, подготовкой кадров и внедрением новых технологий в АПК (см. рисунок 3.1.1). В результате, научные исследования не ориентированы на актуальные потребности экономики и общества, их результаты не отражаются в образовательном процессе вузов и не передаются следующему поколению специалистов, а не обладающие передовыми компетенциями выпускники и неконкурентоспособные разработки не обеспечивают ожидаемого эффекта от внедрения отечественных разработок в практику. В поиске инноваций субъекты АПК вынуждены обращаться к зарубежным организациям, их заинтересованность в сотрудничестве с отечественными учеными снижается, что не стимулирует ориентацию науки на потребности бизнеса и улучшение качества научных разработок.</w:t>
      </w:r>
    </w:p>
    <w:bookmarkEnd w:id="24"/>
    <w:bookmarkStart w:name="z42" w:id="25"/>
    <w:p>
      <w:pPr>
        <w:spacing w:after="0"/>
        <w:ind w:left="0"/>
        <w:jc w:val="both"/>
      </w:pPr>
      <w:r>
        <w:rPr>
          <w:rFonts w:ascii="Times New Roman"/>
          <w:b w:val="false"/>
          <w:i w:val="false"/>
          <w:color w:val="000000"/>
          <w:sz w:val="28"/>
        </w:rPr>
        <w:t>
      ____________________________________</w:t>
      </w:r>
    </w:p>
    <w:bookmarkEnd w:id="25"/>
    <w:bookmarkStart w:name="z43" w:id="2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Аккредитация проведена Независимым агентством аккредитации и рейтинга, которое с 2016 года является членом Европейской ассоциации по обеспечению качества в высшем образовании (The European Association for Quality Assurancein Higher Education – ENQA) и имеет статус международного агентства.</w:t>
      </w:r>
    </w:p>
    <w:bookmarkEnd w:id="26"/>
    <w:bookmarkStart w:name="z44"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28"/>
    <w:p>
      <w:pPr>
        <w:spacing w:after="0"/>
        <w:ind w:left="0"/>
        <w:jc w:val="both"/>
      </w:pPr>
      <w:r>
        <w:rPr>
          <w:rFonts w:ascii="Times New Roman"/>
          <w:b w:val="false"/>
          <w:i w:val="false"/>
          <w:color w:val="000000"/>
          <w:sz w:val="28"/>
        </w:rPr>
        <w:t>
      Рисунок 3.1.1 – Проблемы научных исследований и подготовки кадров для АПК</w:t>
      </w:r>
    </w:p>
    <w:bookmarkEnd w:id="28"/>
    <w:bookmarkStart w:name="z46" w:id="29"/>
    <w:p>
      <w:pPr>
        <w:spacing w:after="0"/>
        <w:ind w:left="0"/>
        <w:jc w:val="both"/>
      </w:pPr>
      <w:r>
        <w:rPr>
          <w:rFonts w:ascii="Times New Roman"/>
          <w:b w:val="false"/>
          <w:i w:val="false"/>
          <w:color w:val="000000"/>
          <w:sz w:val="28"/>
        </w:rPr>
        <w:t>
      В сфере подготовки кадров более половины обучающихся АПК подготавливаются тремя университетами сельскохозяйственного профиля:</w:t>
      </w:r>
    </w:p>
    <w:bookmarkEnd w:id="29"/>
    <w:bookmarkStart w:name="z47" w:id="30"/>
    <w:p>
      <w:pPr>
        <w:spacing w:after="0"/>
        <w:ind w:left="0"/>
        <w:jc w:val="both"/>
      </w:pPr>
      <w:r>
        <w:rPr>
          <w:rFonts w:ascii="Times New Roman"/>
          <w:b w:val="false"/>
          <w:i w:val="false"/>
          <w:color w:val="000000"/>
          <w:sz w:val="28"/>
        </w:rPr>
        <w:t>
      1) КАТУ (г. Нур-Султан);</w:t>
      </w:r>
    </w:p>
    <w:bookmarkEnd w:id="30"/>
    <w:bookmarkStart w:name="z48" w:id="31"/>
    <w:p>
      <w:pPr>
        <w:spacing w:after="0"/>
        <w:ind w:left="0"/>
        <w:jc w:val="both"/>
      </w:pPr>
      <w:r>
        <w:rPr>
          <w:rFonts w:ascii="Times New Roman"/>
          <w:b w:val="false"/>
          <w:i w:val="false"/>
          <w:color w:val="000000"/>
          <w:sz w:val="28"/>
        </w:rPr>
        <w:t>
      2) Казахский национальный аграрный университет (г. Алматы);</w:t>
      </w:r>
    </w:p>
    <w:bookmarkEnd w:id="31"/>
    <w:bookmarkStart w:name="z49" w:id="32"/>
    <w:p>
      <w:pPr>
        <w:spacing w:after="0"/>
        <w:ind w:left="0"/>
        <w:jc w:val="both"/>
      </w:pPr>
      <w:r>
        <w:rPr>
          <w:rFonts w:ascii="Times New Roman"/>
          <w:b w:val="false"/>
          <w:i w:val="false"/>
          <w:color w:val="000000"/>
          <w:sz w:val="28"/>
        </w:rPr>
        <w:t>
      3) Западно-Казахстанский аграрно-технический университет имени Жангир Хана (г. Уральск).</w:t>
      </w:r>
    </w:p>
    <w:bookmarkEnd w:id="32"/>
    <w:bookmarkStart w:name="z50" w:id="33"/>
    <w:p>
      <w:pPr>
        <w:spacing w:after="0"/>
        <w:ind w:left="0"/>
        <w:jc w:val="both"/>
      </w:pPr>
      <w:r>
        <w:rPr>
          <w:rFonts w:ascii="Times New Roman"/>
          <w:b w:val="false"/>
          <w:i w:val="false"/>
          <w:color w:val="000000"/>
          <w:sz w:val="28"/>
        </w:rPr>
        <w:t xml:space="preserve">
      Дополнительно, образовательные программы в сфере АПК предлагают около 20 региональных вузов Казахстана. </w:t>
      </w:r>
    </w:p>
    <w:bookmarkEnd w:id="33"/>
    <w:bookmarkStart w:name="z51" w:id="34"/>
    <w:p>
      <w:pPr>
        <w:spacing w:after="0"/>
        <w:ind w:left="0"/>
        <w:jc w:val="both"/>
      </w:pPr>
      <w:r>
        <w:rPr>
          <w:rFonts w:ascii="Times New Roman"/>
          <w:b w:val="false"/>
          <w:i w:val="false"/>
          <w:color w:val="000000"/>
          <w:sz w:val="28"/>
        </w:rPr>
        <w:t>
      Основной проблемой считается несоответствие качества подготовки специалистов ожиданиям работодателей. В частности, работодателями отмечаются:</w:t>
      </w:r>
    </w:p>
    <w:bookmarkEnd w:id="34"/>
    <w:bookmarkStart w:name="z52" w:id="35"/>
    <w:p>
      <w:pPr>
        <w:spacing w:after="0"/>
        <w:ind w:left="0"/>
        <w:jc w:val="both"/>
      </w:pPr>
      <w:r>
        <w:rPr>
          <w:rFonts w:ascii="Times New Roman"/>
          <w:b w:val="false"/>
          <w:i w:val="false"/>
          <w:color w:val="000000"/>
          <w:sz w:val="28"/>
        </w:rPr>
        <w:t>
      1) узкоспециализированные, преимущественно теоретические знания выпускников, не позволяющие им самостоятельно находить оптимальные решения в различных производственных ситуациях;</w:t>
      </w:r>
    </w:p>
    <w:bookmarkEnd w:id="35"/>
    <w:bookmarkStart w:name="z53" w:id="36"/>
    <w:p>
      <w:pPr>
        <w:spacing w:after="0"/>
        <w:ind w:left="0"/>
        <w:jc w:val="both"/>
      </w:pPr>
      <w:r>
        <w:rPr>
          <w:rFonts w:ascii="Times New Roman"/>
          <w:b w:val="false"/>
          <w:i w:val="false"/>
          <w:color w:val="000000"/>
          <w:sz w:val="28"/>
        </w:rPr>
        <w:t>
      2) устаревшие, утратившие актуальность компетенции выпускников, недостаток знаний о передовых инновациях в АПК;</w:t>
      </w:r>
    </w:p>
    <w:bookmarkEnd w:id="36"/>
    <w:bookmarkStart w:name="z54" w:id="37"/>
    <w:p>
      <w:pPr>
        <w:spacing w:after="0"/>
        <w:ind w:left="0"/>
        <w:jc w:val="both"/>
      </w:pPr>
      <w:r>
        <w:rPr>
          <w:rFonts w:ascii="Times New Roman"/>
          <w:b w:val="false"/>
          <w:i w:val="false"/>
          <w:color w:val="000000"/>
          <w:sz w:val="28"/>
        </w:rPr>
        <w:t>
      3) не развитые практические навыки выпускников по применению полученных знаний в реальном производстве.</w:t>
      </w:r>
    </w:p>
    <w:bookmarkEnd w:id="37"/>
    <w:bookmarkStart w:name="z55" w:id="38"/>
    <w:p>
      <w:pPr>
        <w:spacing w:after="0"/>
        <w:ind w:left="0"/>
        <w:jc w:val="both"/>
      </w:pPr>
      <w:r>
        <w:rPr>
          <w:rFonts w:ascii="Times New Roman"/>
          <w:b w:val="false"/>
          <w:i w:val="false"/>
          <w:color w:val="000000"/>
          <w:sz w:val="28"/>
        </w:rPr>
        <w:t xml:space="preserve">
      Причинами, негативно влияющими на качество подготовки специалистов с высшим образованием, являются: </w:t>
      </w:r>
    </w:p>
    <w:bookmarkEnd w:id="38"/>
    <w:bookmarkStart w:name="z56" w:id="39"/>
    <w:p>
      <w:pPr>
        <w:spacing w:after="0"/>
        <w:ind w:left="0"/>
        <w:jc w:val="both"/>
      </w:pPr>
      <w:r>
        <w:rPr>
          <w:rFonts w:ascii="Times New Roman"/>
          <w:b w:val="false"/>
          <w:i w:val="false"/>
          <w:color w:val="000000"/>
          <w:sz w:val="28"/>
        </w:rPr>
        <w:t xml:space="preserve">
      1) ограниченные возможности ППС и обучающихся для освоения передовых знаний и технологий, доступных в мире; </w:t>
      </w:r>
    </w:p>
    <w:bookmarkEnd w:id="39"/>
    <w:bookmarkStart w:name="z57" w:id="40"/>
    <w:p>
      <w:pPr>
        <w:spacing w:after="0"/>
        <w:ind w:left="0"/>
        <w:jc w:val="both"/>
      </w:pPr>
      <w:r>
        <w:rPr>
          <w:rFonts w:ascii="Times New Roman"/>
          <w:b w:val="false"/>
          <w:i w:val="false"/>
          <w:color w:val="000000"/>
          <w:sz w:val="28"/>
        </w:rPr>
        <w:t>
      2) устаревшие технологии обучения, преимущественно основанные на заучивании известных фактов и теоретические знания;</w:t>
      </w:r>
    </w:p>
    <w:bookmarkEnd w:id="40"/>
    <w:bookmarkStart w:name="z58" w:id="41"/>
    <w:p>
      <w:pPr>
        <w:spacing w:after="0"/>
        <w:ind w:left="0"/>
        <w:jc w:val="both"/>
      </w:pPr>
      <w:r>
        <w:rPr>
          <w:rFonts w:ascii="Times New Roman"/>
          <w:b w:val="false"/>
          <w:i w:val="false"/>
          <w:color w:val="000000"/>
          <w:sz w:val="28"/>
        </w:rPr>
        <w:t>
      3) негибкая траектория обучения, ориентированная на подготовку выпускников к выполнению конкретной, узкоспециализированной работы и ограничивающая возможности для творческой деятельности и трудоустройства в других отраслях;</w:t>
      </w:r>
    </w:p>
    <w:bookmarkEnd w:id="41"/>
    <w:bookmarkStart w:name="z59" w:id="42"/>
    <w:p>
      <w:pPr>
        <w:spacing w:after="0"/>
        <w:ind w:left="0"/>
        <w:jc w:val="both"/>
      </w:pPr>
      <w:r>
        <w:rPr>
          <w:rFonts w:ascii="Times New Roman"/>
          <w:b w:val="false"/>
          <w:i w:val="false"/>
          <w:color w:val="000000"/>
          <w:sz w:val="28"/>
        </w:rPr>
        <w:t>
      4) устаревшая материально-техническая база университетов, уровень технологического оснащения которых значительно уступает ведущим агроформированиям, что делает невозможной подготовку специалистов, отвечающих современным требованиям;</w:t>
      </w:r>
    </w:p>
    <w:bookmarkEnd w:id="42"/>
    <w:bookmarkStart w:name="z60" w:id="43"/>
    <w:p>
      <w:pPr>
        <w:spacing w:after="0"/>
        <w:ind w:left="0"/>
        <w:jc w:val="both"/>
      </w:pPr>
      <w:r>
        <w:rPr>
          <w:rFonts w:ascii="Times New Roman"/>
          <w:b w:val="false"/>
          <w:i w:val="false"/>
          <w:color w:val="000000"/>
          <w:sz w:val="28"/>
        </w:rPr>
        <w:t>
      5) недостаточный объем практического обучения, в том числе ввиду дефицита в университетах инфраструктуры для практического обучения.</w:t>
      </w:r>
    </w:p>
    <w:bookmarkEnd w:id="43"/>
    <w:bookmarkStart w:name="z61" w:id="44"/>
    <w:p>
      <w:pPr>
        <w:spacing w:after="0"/>
        <w:ind w:left="0"/>
        <w:jc w:val="both"/>
      </w:pPr>
      <w:r>
        <w:rPr>
          <w:rFonts w:ascii="Times New Roman"/>
          <w:b w:val="false"/>
          <w:i w:val="false"/>
          <w:color w:val="000000"/>
          <w:sz w:val="28"/>
        </w:rPr>
        <w:t xml:space="preserve">
      Программа академической мобильности, реализуемая Министерством образования и науки Республики Казахстан, позволила привлечь зарубежных преподавателей и ученых, а также направить обучающихся за рубеж на один академический период, что в целом существенно продвинула интернационализацию отечественной системы высшего образования. Однако, нестабильное и непрогнозируемое финансирование не позволяет развернуть масштабный трансферт необходимых компетенций из-за рубежа. Другие программы по обучению за рубежом требуют значительного времени на подготовку, что затруднительно из-за высокой загруженности ППС. </w:t>
      </w:r>
    </w:p>
    <w:bookmarkEnd w:id="44"/>
    <w:bookmarkStart w:name="z62" w:id="45"/>
    <w:p>
      <w:pPr>
        <w:spacing w:after="0"/>
        <w:ind w:left="0"/>
        <w:jc w:val="both"/>
      </w:pPr>
      <w:r>
        <w:rPr>
          <w:rFonts w:ascii="Times New Roman"/>
          <w:b w:val="false"/>
          <w:i w:val="false"/>
          <w:color w:val="000000"/>
          <w:sz w:val="28"/>
        </w:rPr>
        <w:t>
      Как свидетельствует опыт зарубежных университетов-партнеров КАТУ, прохождение практики вне вуза (internship) служит дополнительной частью практической подготовки обучающихся и проводится после освоения обучающимися базовых навыков на базе собственной инфраструктуры университетов. В Казахстане прохождение практики на базе сторонних организаций сдерживается их низкой заинтересованностью в синхронизации программы практического обучения с потребностями обучающихся (приоритет текущих задач организации над целями образовательного процесса) и дефицитом финансирования для качественной организации условий для практикантов.</w:t>
      </w:r>
    </w:p>
    <w:bookmarkEnd w:id="45"/>
    <w:bookmarkStart w:name="z63" w:id="46"/>
    <w:p>
      <w:pPr>
        <w:spacing w:after="0"/>
        <w:ind w:left="0"/>
        <w:jc w:val="both"/>
      </w:pPr>
      <w:r>
        <w:rPr>
          <w:rFonts w:ascii="Times New Roman"/>
          <w:b w:val="false"/>
          <w:i w:val="false"/>
          <w:color w:val="000000"/>
          <w:sz w:val="28"/>
        </w:rPr>
        <w:t>
      Также, на уровень подготовки выпускников негативно влияет низкая заинтересованность в качественном сельскохозяйственном образовании со стороны обучающихся. По результатам исследования КАТУ, только 20,1% выпускников программ, связанных с АПК, планируют трудоустройство на селе. Еще 5,2% не исключают такой возможности, а 55,6% не планируют трудоустраиваться в отраслях, связанных с сельским хозяйством</w:t>
      </w:r>
      <w:r>
        <w:rPr>
          <w:rFonts w:ascii="Times New Roman"/>
          <w:b w:val="false"/>
          <w:i w:val="false"/>
          <w:color w:val="000000"/>
          <w:vertAlign w:val="superscript"/>
        </w:rPr>
        <w:t>2</w:t>
      </w:r>
      <w:r>
        <w:rPr>
          <w:rFonts w:ascii="Times New Roman"/>
          <w:b w:val="false"/>
          <w:i w:val="false"/>
          <w:color w:val="000000"/>
          <w:sz w:val="28"/>
        </w:rPr>
        <w:t xml:space="preserve">. Несмотря на то, что при поступлении в вуз 54,2% опрошенных выбирали специальность мотивированно и осознанно, только 37,5% намерены трудоустраиваться по специальности. В целом, похожая ситуация характерна для многих университетов аграрного профиля. К примеру, в AgroParisTech только 2% выпускников трудоустраиваются непосредственно в сельском хозяйстве, а в UC Davis (CAES, Колледж сельского хозяйства и наук об окружающей среде) данный показатель составляет около 40%, что является достаточно высоким показателем среди ведущих в мире аграрных университетов. </w:t>
      </w:r>
    </w:p>
    <w:bookmarkEnd w:id="46"/>
    <w:bookmarkStart w:name="z64" w:id="47"/>
    <w:p>
      <w:pPr>
        <w:spacing w:after="0"/>
        <w:ind w:left="0"/>
        <w:jc w:val="both"/>
      </w:pPr>
      <w:r>
        <w:rPr>
          <w:rFonts w:ascii="Times New Roman"/>
          <w:b w:val="false"/>
          <w:i w:val="false"/>
          <w:color w:val="000000"/>
          <w:sz w:val="28"/>
        </w:rPr>
        <w:t>
      Основными причинами низкой мотивации к трудоустройству в сельском хозяйстве и сельской местности являются:</w:t>
      </w:r>
    </w:p>
    <w:bookmarkEnd w:id="47"/>
    <w:bookmarkStart w:name="z65" w:id="48"/>
    <w:p>
      <w:pPr>
        <w:spacing w:after="0"/>
        <w:ind w:left="0"/>
        <w:jc w:val="both"/>
      </w:pPr>
      <w:r>
        <w:rPr>
          <w:rFonts w:ascii="Times New Roman"/>
          <w:b w:val="false"/>
          <w:i w:val="false"/>
          <w:color w:val="000000"/>
          <w:sz w:val="28"/>
        </w:rPr>
        <w:t>
      1) неконкурентоспособный уровень заработной платы в сравнении с другими отраслями – по данным Комитета по статистике Министерства национальной экономики Республики Казахстан, во втором квартале 2019 года минимальная среднемесячная заработная плата в стране зафиксирована в сельском хозяйстве (112,9 тыс. тенге), что на 39,5% ниже среднего показателя по Республике (186,5 тыс. тенге)</w:t>
      </w:r>
      <w:r>
        <w:rPr>
          <w:rFonts w:ascii="Times New Roman"/>
          <w:b w:val="false"/>
          <w:i w:val="false"/>
          <w:color w:val="000000"/>
          <w:vertAlign w:val="superscript"/>
        </w:rPr>
        <w:t>3</w:t>
      </w:r>
      <w:r>
        <w:rPr>
          <w:rFonts w:ascii="Times New Roman"/>
          <w:b w:val="false"/>
          <w:i w:val="false"/>
          <w:color w:val="000000"/>
          <w:sz w:val="28"/>
        </w:rPr>
        <w:t>;</w:t>
      </w:r>
    </w:p>
    <w:bookmarkEnd w:id="48"/>
    <w:bookmarkStart w:name="z66" w:id="49"/>
    <w:p>
      <w:pPr>
        <w:spacing w:after="0"/>
        <w:ind w:left="0"/>
        <w:jc w:val="both"/>
      </w:pPr>
      <w:r>
        <w:rPr>
          <w:rFonts w:ascii="Times New Roman"/>
          <w:b w:val="false"/>
          <w:i w:val="false"/>
          <w:color w:val="000000"/>
          <w:sz w:val="28"/>
        </w:rPr>
        <w:t>
      2) неразвитая инфраструктура села – как правило, основные проблемы выпускники связывают с отсутствием канализации, центрального отопления и качественной дороги до ближайшего крупного города, а специалисты, уже занятые в сельском хозяйстве, отмечают низкое качество здравоохранения и образования;</w:t>
      </w:r>
    </w:p>
    <w:bookmarkEnd w:id="49"/>
    <w:bookmarkStart w:name="z67" w:id="50"/>
    <w:p>
      <w:pPr>
        <w:spacing w:after="0"/>
        <w:ind w:left="0"/>
        <w:jc w:val="both"/>
      </w:pPr>
      <w:r>
        <w:rPr>
          <w:rFonts w:ascii="Times New Roman"/>
          <w:b w:val="false"/>
          <w:i w:val="false"/>
          <w:color w:val="000000"/>
          <w:sz w:val="28"/>
        </w:rPr>
        <w:t>
      3) неясные карьерные перспективы, высокая физическая нагрузка и сложные условия труда.</w:t>
      </w:r>
    </w:p>
    <w:bookmarkEnd w:id="50"/>
    <w:bookmarkStart w:name="z68" w:id="51"/>
    <w:p>
      <w:pPr>
        <w:spacing w:after="0"/>
        <w:ind w:left="0"/>
        <w:jc w:val="both"/>
      </w:pPr>
      <w:r>
        <w:rPr>
          <w:rFonts w:ascii="Times New Roman"/>
          <w:b w:val="false"/>
          <w:i w:val="false"/>
          <w:color w:val="000000"/>
          <w:sz w:val="28"/>
        </w:rPr>
        <w:t xml:space="preserve">
      Имеется диспропорция при выделении государственных образовательных грантов на сельскохозяйственные специальности. При доле занятых в сельском хозяйстве в размере 14,1% от численности экономически активного населения, на образовательные программы бакалавриата по сельскохозяйственному направлению выделяются около 7,5% от общего количества государственных образовательных грантов. При доле ученых-аграриев в общей численности научных работников в размере 14%, на подготовку ученых-аграриев по программам послевузовского образования выделяются всего 3,2% от общего количества грантов. </w:t>
      </w:r>
    </w:p>
    <w:bookmarkEnd w:id="51"/>
    <w:bookmarkStart w:name="z69" w:id="52"/>
    <w:p>
      <w:pPr>
        <w:spacing w:after="0"/>
        <w:ind w:left="0"/>
        <w:jc w:val="both"/>
      </w:pPr>
      <w:r>
        <w:rPr>
          <w:rFonts w:ascii="Times New Roman"/>
          <w:b w:val="false"/>
          <w:i w:val="false"/>
          <w:color w:val="000000"/>
          <w:sz w:val="28"/>
        </w:rPr>
        <w:t>
      В среднем, количество выделяемых грантов на сельскохозяйственные специальности в Казахстане соответствует 0,17% от общего количества занятых в сельском, лесном и рыбном хозяйстве. Для сравнения, в странах с развитым сельским хозяйством соотношение численности обучающихся по сельскохозяйственным специальностям к общей численности занятых в сельском хозяйстве в несколько раз выше и составляет:</w:t>
      </w:r>
    </w:p>
    <w:bookmarkEnd w:id="52"/>
    <w:bookmarkStart w:name="z70" w:id="53"/>
    <w:p>
      <w:pPr>
        <w:spacing w:after="0"/>
        <w:ind w:left="0"/>
        <w:jc w:val="both"/>
      </w:pPr>
      <w:r>
        <w:rPr>
          <w:rFonts w:ascii="Times New Roman"/>
          <w:b w:val="false"/>
          <w:i w:val="false"/>
          <w:color w:val="000000"/>
          <w:sz w:val="28"/>
        </w:rPr>
        <w:t>
      1) в США – 1,08%;</w:t>
      </w:r>
    </w:p>
    <w:bookmarkEnd w:id="53"/>
    <w:bookmarkStart w:name="z71" w:id="54"/>
    <w:p>
      <w:pPr>
        <w:spacing w:after="0"/>
        <w:ind w:left="0"/>
        <w:jc w:val="both"/>
      </w:pPr>
      <w:r>
        <w:rPr>
          <w:rFonts w:ascii="Times New Roman"/>
          <w:b w:val="false"/>
          <w:i w:val="false"/>
          <w:color w:val="000000"/>
          <w:sz w:val="28"/>
        </w:rPr>
        <w:t>
      2) в Канаде – 1,18%;</w:t>
      </w:r>
    </w:p>
    <w:bookmarkEnd w:id="54"/>
    <w:bookmarkStart w:name="z72" w:id="55"/>
    <w:p>
      <w:pPr>
        <w:spacing w:after="0"/>
        <w:ind w:left="0"/>
        <w:jc w:val="both"/>
      </w:pPr>
      <w:r>
        <w:rPr>
          <w:rFonts w:ascii="Times New Roman"/>
          <w:b w:val="false"/>
          <w:i w:val="false"/>
          <w:color w:val="000000"/>
          <w:sz w:val="28"/>
        </w:rPr>
        <w:t>
      3) во Франции – 1,17%;</w:t>
      </w:r>
    </w:p>
    <w:bookmarkEnd w:id="55"/>
    <w:bookmarkStart w:name="z73" w:id="56"/>
    <w:p>
      <w:pPr>
        <w:spacing w:after="0"/>
        <w:ind w:left="0"/>
        <w:jc w:val="both"/>
      </w:pPr>
      <w:r>
        <w:rPr>
          <w:rFonts w:ascii="Times New Roman"/>
          <w:b w:val="false"/>
          <w:i w:val="false"/>
          <w:color w:val="000000"/>
          <w:sz w:val="28"/>
        </w:rPr>
        <w:t>
      4) в Нидерландах – 0,8%.</w:t>
      </w:r>
    </w:p>
    <w:bookmarkEnd w:id="56"/>
    <w:bookmarkStart w:name="z74" w:id="57"/>
    <w:p>
      <w:pPr>
        <w:spacing w:after="0"/>
        <w:ind w:left="0"/>
        <w:jc w:val="both"/>
      </w:pPr>
      <w:r>
        <w:rPr>
          <w:rFonts w:ascii="Times New Roman"/>
          <w:b w:val="false"/>
          <w:i w:val="false"/>
          <w:color w:val="000000"/>
          <w:sz w:val="28"/>
        </w:rPr>
        <w:t>
      В Республике Казахстан научные исследования по сельскохозяйственным и смежным направлениям проводят:</w:t>
      </w:r>
    </w:p>
    <w:bookmarkEnd w:id="57"/>
    <w:bookmarkStart w:name="z75" w:id="58"/>
    <w:p>
      <w:pPr>
        <w:spacing w:after="0"/>
        <w:ind w:left="0"/>
        <w:jc w:val="both"/>
      </w:pPr>
      <w:r>
        <w:rPr>
          <w:rFonts w:ascii="Times New Roman"/>
          <w:b w:val="false"/>
          <w:i w:val="false"/>
          <w:color w:val="000000"/>
          <w:sz w:val="28"/>
        </w:rPr>
        <w:t>
      1) научно-исследовательские организации и опытные хозяйства НАО "Национальный аграрный научно-образовательный центр" Министерства сельского хозяйства Республики Казахстан, приравненные к государственным научно-исследовательским организациям и составляющие национальную систему сельскохозяйственных исследований;</w:t>
      </w:r>
    </w:p>
    <w:bookmarkEnd w:id="58"/>
    <w:bookmarkStart w:name="z76" w:id="59"/>
    <w:p>
      <w:pPr>
        <w:spacing w:after="0"/>
        <w:ind w:left="0"/>
        <w:jc w:val="both"/>
      </w:pPr>
      <w:r>
        <w:rPr>
          <w:rFonts w:ascii="Times New Roman"/>
          <w:b w:val="false"/>
          <w:i w:val="false"/>
          <w:color w:val="000000"/>
          <w:sz w:val="28"/>
        </w:rPr>
        <w:t>
      2) три университета сельскохозяйственного профиля и несколько региональных вузов;</w:t>
      </w:r>
    </w:p>
    <w:bookmarkEnd w:id="59"/>
    <w:bookmarkStart w:name="z77" w:id="60"/>
    <w:p>
      <w:pPr>
        <w:spacing w:after="0"/>
        <w:ind w:left="0"/>
        <w:jc w:val="both"/>
      </w:pPr>
      <w:r>
        <w:rPr>
          <w:rFonts w:ascii="Times New Roman"/>
          <w:b w:val="false"/>
          <w:i w:val="false"/>
          <w:color w:val="000000"/>
          <w:sz w:val="28"/>
        </w:rPr>
        <w:t>
      3) научно-исследовательские организации Министерства образования и науки Республики Казахстан – Национальный центр биотехнологии, Институт молекулярной биологии и биохимии имени М.А. Айтхожина, Институт биологии и биотехнологии растений, Институт экспериментальной биологии, Институт проблем биологической безопасности и другие.</w:t>
      </w:r>
    </w:p>
    <w:bookmarkEnd w:id="60"/>
    <w:bookmarkStart w:name="z78" w:id="61"/>
    <w:p>
      <w:pPr>
        <w:spacing w:after="0"/>
        <w:ind w:left="0"/>
        <w:jc w:val="both"/>
      </w:pPr>
      <w:r>
        <w:rPr>
          <w:rFonts w:ascii="Times New Roman"/>
          <w:b w:val="false"/>
          <w:i w:val="false"/>
          <w:color w:val="000000"/>
          <w:sz w:val="28"/>
        </w:rPr>
        <w:t>
      В качестве основной проблемы в научном обеспечении АПК сельскохозяйственные товаропроизводители отмечают недостаточную ориентированность научных разработок на актуальные задачи и низкую конкурентоспособность отечественных разработок в сравнении с лучшими зарубежными аналогами. Как правило, отечественные научные разработки уступают успешным аналогам по эффективности, готовности к применению и стоимости внедрения.</w:t>
      </w:r>
    </w:p>
    <w:bookmarkEnd w:id="61"/>
    <w:bookmarkStart w:name="z79" w:id="62"/>
    <w:p>
      <w:pPr>
        <w:spacing w:after="0"/>
        <w:ind w:left="0"/>
        <w:jc w:val="both"/>
      </w:pPr>
      <w:r>
        <w:rPr>
          <w:rFonts w:ascii="Times New Roman"/>
          <w:b w:val="false"/>
          <w:i w:val="false"/>
          <w:color w:val="000000"/>
          <w:sz w:val="28"/>
        </w:rPr>
        <w:t>
      Причинами сложившейся ситуации считаются:</w:t>
      </w:r>
    </w:p>
    <w:bookmarkEnd w:id="62"/>
    <w:bookmarkStart w:name="z80" w:id="63"/>
    <w:p>
      <w:pPr>
        <w:spacing w:after="0"/>
        <w:ind w:left="0"/>
        <w:jc w:val="both"/>
      </w:pPr>
      <w:r>
        <w:rPr>
          <w:rFonts w:ascii="Times New Roman"/>
          <w:b w:val="false"/>
          <w:i w:val="false"/>
          <w:color w:val="000000"/>
          <w:sz w:val="28"/>
        </w:rPr>
        <w:t xml:space="preserve">
      1) отсутствие системы объективной постановки задач для ученых, основанной на существующих и прогнозных потребностях, а не на возможностях ученых; </w:t>
      </w:r>
    </w:p>
    <w:bookmarkEnd w:id="63"/>
    <w:bookmarkStart w:name="z81" w:id="64"/>
    <w:p>
      <w:pPr>
        <w:spacing w:after="0"/>
        <w:ind w:left="0"/>
        <w:jc w:val="both"/>
      </w:pPr>
      <w:r>
        <w:rPr>
          <w:rFonts w:ascii="Times New Roman"/>
          <w:b w:val="false"/>
          <w:i w:val="false"/>
          <w:color w:val="000000"/>
          <w:sz w:val="28"/>
        </w:rPr>
        <w:t>
      2) устаревший подход к организации научных исследований в рамках узкоспециализированных научных школ, без междисциплинарного подхода к исследуемой проблеме, в результате чего фундаментальные знания не находят применения в прикладных научных разработках, а прикладные научные разработки не обеспечивают всестороннего решения поставленных задач;</w:t>
      </w:r>
    </w:p>
    <w:bookmarkEnd w:id="64"/>
    <w:bookmarkStart w:name="z82" w:id="65"/>
    <w:p>
      <w:pPr>
        <w:spacing w:after="0"/>
        <w:ind w:left="0"/>
        <w:jc w:val="both"/>
      </w:pPr>
      <w:r>
        <w:rPr>
          <w:rFonts w:ascii="Times New Roman"/>
          <w:b w:val="false"/>
          <w:i w:val="false"/>
          <w:color w:val="000000"/>
          <w:sz w:val="28"/>
        </w:rPr>
        <w:t>
      3) институциональный разрыв между научными исследованиями и подготовкой научных кадров, при котором научные результаты ученых не находят отражения в образовательном процессе и не влияют на содержание обучения следующего поколения специалистов;</w:t>
      </w:r>
    </w:p>
    <w:bookmarkEnd w:id="65"/>
    <w:bookmarkStart w:name="z83" w:id="66"/>
    <w:p>
      <w:pPr>
        <w:spacing w:after="0"/>
        <w:ind w:left="0"/>
        <w:jc w:val="both"/>
      </w:pPr>
      <w:r>
        <w:rPr>
          <w:rFonts w:ascii="Times New Roman"/>
          <w:b w:val="false"/>
          <w:i w:val="false"/>
          <w:color w:val="000000"/>
          <w:sz w:val="28"/>
        </w:rPr>
        <w:t>
      4) низкий уровень интеграции отечественной науки в мировое научно-образовательное пространство из-за недостаточного владения иностранными языками, ограниченности контактов с ведущими в мире учеными, научными центрами и вузами, что приводит к крайне медленному освоению и внедрению в Казахстане широко известных и применяемых в мире инноваций.</w:t>
      </w:r>
    </w:p>
    <w:bookmarkEnd w:id="66"/>
    <w:bookmarkStart w:name="z84" w:id="67"/>
    <w:p>
      <w:pPr>
        <w:spacing w:after="0"/>
        <w:ind w:left="0"/>
        <w:jc w:val="both"/>
      </w:pPr>
      <w:r>
        <w:rPr>
          <w:rFonts w:ascii="Times New Roman"/>
          <w:b w:val="false"/>
          <w:i w:val="false"/>
          <w:color w:val="000000"/>
          <w:sz w:val="28"/>
        </w:rPr>
        <w:t xml:space="preserve">
      Исторически сельскохозяйственные научные исследования в Казахстане проводились преимущественно в отраслевых научно-исследовательских институтах. До 2010 года научные организации могли подготавливать научные кадры самостоятельно, что не стимулировало развитие сотрудничества с университетами. Наряду с незначительным финансированием университетской науки, данное обстоятельство препятствовало притоку молодежи в науку, привело к старению научных кадров и ограниченности научных исследований исторически сложившимися школами. </w:t>
      </w:r>
    </w:p>
    <w:bookmarkEnd w:id="67"/>
    <w:bookmarkStart w:name="z85" w:id="68"/>
    <w:p>
      <w:pPr>
        <w:spacing w:after="0"/>
        <w:ind w:left="0"/>
        <w:jc w:val="both"/>
      </w:pPr>
      <w:r>
        <w:rPr>
          <w:rFonts w:ascii="Times New Roman"/>
          <w:b w:val="false"/>
          <w:i w:val="false"/>
          <w:color w:val="000000"/>
          <w:sz w:val="28"/>
        </w:rPr>
        <w:t>
      Отсутствие национальной системы технологического прогнозирования и соответствующей компетенции уполномоченных государственных органов привело к тому, что тематики исследований формулируются самими учеными, исходя из возможностей, а не из потребностей субъектов АПК. Соответственно, такие исследования изначально не востребованы и не ориентированы на практическое применение полученных результатов.</w:t>
      </w:r>
    </w:p>
    <w:bookmarkEnd w:id="68"/>
    <w:bookmarkStart w:name="z86" w:id="69"/>
    <w:p>
      <w:pPr>
        <w:spacing w:after="0"/>
        <w:ind w:left="0"/>
        <w:jc w:val="both"/>
      </w:pPr>
      <w:r>
        <w:rPr>
          <w:rFonts w:ascii="Times New Roman"/>
          <w:b w:val="false"/>
          <w:i w:val="false"/>
          <w:color w:val="000000"/>
          <w:sz w:val="28"/>
        </w:rPr>
        <w:t xml:space="preserve">
      В качестве основного фактора, сдерживающего развитие аграрной науки, отмечается низкий уровень финансирования исследований. Как правило, в странах с развитым сельским хозяйством финансирование аграрной науки из государственных источников составляет не менее 1% от валового продукта отрасли, а в Австралии и Франции достигает 3%. В Казахстане данный показатель составил 0,1% в 2018 году, или почти в 10 раз меньше принятых в мире удельных значений. </w:t>
      </w:r>
    </w:p>
    <w:bookmarkEnd w:id="69"/>
    <w:bookmarkStart w:name="z87" w:id="70"/>
    <w:p>
      <w:pPr>
        <w:spacing w:after="0"/>
        <w:ind w:left="0"/>
        <w:jc w:val="both"/>
      </w:pPr>
      <w:r>
        <w:rPr>
          <w:rFonts w:ascii="Times New Roman"/>
          <w:b w:val="false"/>
          <w:i w:val="false"/>
          <w:color w:val="000000"/>
          <w:sz w:val="28"/>
        </w:rPr>
        <w:t>
      С другой стороны, зарубежные ученые и профессора, сотрудничающие с КАТУ, отмечают, что в первую очередь (до значительного увеличения финансирования) должна быть усовершенствована система распределения государственного финансирования. В частности, отмечается необходимость конкретизации технологических задач, на решение которых должны быть нацелены исследования, и повышения объективности отбора проектов и программ исходя из качества идей и реалистичности их реализации. В совокупности с указанными причинами, низкий уровень государственного финансирования значительно ограничивает влияние аграрной науки на эффективность АПК.</w:t>
      </w:r>
    </w:p>
    <w:bookmarkEnd w:id="70"/>
    <w:p>
      <w:pPr>
        <w:spacing w:after="0"/>
        <w:ind w:left="0"/>
        <w:jc w:val="both"/>
      </w:pPr>
      <w:r>
        <w:rPr>
          <w:rFonts w:ascii="Times New Roman"/>
          <w:b/>
          <w:i w:val="false"/>
          <w:color w:val="000000"/>
          <w:sz w:val="28"/>
        </w:rPr>
        <w:t>3.2.Зарубежный опыт подготовки кадров и научных исследований для аграрного сектора</w:t>
      </w:r>
    </w:p>
    <w:bookmarkStart w:name="z89" w:id="71"/>
    <w:p>
      <w:pPr>
        <w:spacing w:after="0"/>
        <w:ind w:left="0"/>
        <w:jc w:val="both"/>
      </w:pPr>
      <w:r>
        <w:rPr>
          <w:rFonts w:ascii="Times New Roman"/>
          <w:b w:val="false"/>
          <w:i w:val="false"/>
          <w:color w:val="000000"/>
          <w:sz w:val="28"/>
        </w:rPr>
        <w:t>
      За последние двадцать лет ресурсы сельскохозяйственных университетов в мире существенно увеличились. Исследовательские аграрные университеты стали реальными центрами концентрации ресурсов (знаний, кадров, инфраструктуры и финансов), обеспечивающими технологическую модернизацию экономики и поддерживающими ее конкурентоспособность на региональном, национальном и международном уровнях. Модель инновационного развития, основанная на потенциале исследовательских университетов, получила название "тройной спирали" (TripleHelix) и успешно применяется в США, Канаде, Австралии, Великобритании, странах Юго-Восточной Азии и других (см. рисунок 3.2.1).</w:t>
      </w:r>
    </w:p>
    <w:bookmarkEnd w:id="71"/>
    <w:bookmarkStart w:name="z90" w:id="72"/>
    <w:p>
      <w:pPr>
        <w:spacing w:after="0"/>
        <w:ind w:left="0"/>
        <w:jc w:val="both"/>
      </w:pPr>
      <w:r>
        <w:rPr>
          <w:rFonts w:ascii="Times New Roman"/>
          <w:b w:val="false"/>
          <w:i w:val="false"/>
          <w:color w:val="000000"/>
          <w:sz w:val="28"/>
        </w:rPr>
        <w:t xml:space="preserve">
      Как отмечают исследователи, причин для перехода к модели "тройной спирали" несколько. Во-первых, усложнилось содержание научных знаний, поэтому для создания конкурентоспособных инноваций необходимы географическая и организационная концентрация идей, талантов, инфраструктуры и финансирования, междисциплинарная академическая среда и высокая степень интеграции в мировое научно-образовательное пространство. Во-вторых, чтобы соответствовать современным темпам технологического развития, необходимы синхронизация процессов генерации и распространения знаний и опыта в единую систему, высокая гибкость и оперативность в вопросах расширения научной компетенции и адаптации к меняющимся потребностям рынка, и относительная защищенность системы управления от внешних факторов, которая позволяет планомерно достигать поставленных целей. </w:t>
      </w:r>
    </w:p>
    <w:bookmarkEnd w:id="72"/>
    <w:bookmarkStart w:name="z91" w:id="73"/>
    <w:p>
      <w:pPr>
        <w:spacing w:after="0"/>
        <w:ind w:left="0"/>
        <w:jc w:val="both"/>
      </w:pPr>
      <w:r>
        <w:rPr>
          <w:rFonts w:ascii="Times New Roman"/>
          <w:b w:val="false"/>
          <w:i w:val="false"/>
          <w:color w:val="000000"/>
          <w:sz w:val="28"/>
        </w:rPr>
        <w:t>
      ____________________________</w:t>
      </w:r>
    </w:p>
    <w:bookmarkEnd w:id="73"/>
    <w:bookmarkStart w:name="z92" w:id="7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По материалам проекта "Разработка рекомендаций по созданию условий, необходимых для привлечения высококвалифицированных специалистов в сельское хозяйство Казахстана", 2015 – 2017 годы, исполнитель - КАТУ, источник финансирования – грант Министерства образования и науки</w:t>
      </w:r>
    </w:p>
    <w:bookmarkEnd w:id="74"/>
    <w:bookmarkStart w:name="z93" w:id="7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https://tengrinews.kz/private_finance/u-kogo-samyie-vyisokie-zarplatyi-v-kazahstane-375580/0</w:t>
      </w:r>
    </w:p>
    <w:bookmarkEnd w:id="75"/>
    <w:bookmarkStart w:name="z94"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77"/>
    <w:p>
      <w:pPr>
        <w:spacing w:after="0"/>
        <w:ind w:left="0"/>
        <w:jc w:val="both"/>
      </w:pPr>
      <w:r>
        <w:rPr>
          <w:rFonts w:ascii="Times New Roman"/>
          <w:b w:val="false"/>
          <w:i w:val="false"/>
          <w:color w:val="000000"/>
          <w:sz w:val="28"/>
        </w:rPr>
        <w:t>
      Рисунок 3.2.1 – Модель "тройной спирали"</w:t>
      </w:r>
    </w:p>
    <w:bookmarkEnd w:id="77"/>
    <w:bookmarkStart w:name="z96" w:id="78"/>
    <w:p>
      <w:pPr>
        <w:spacing w:after="0"/>
        <w:ind w:left="0"/>
        <w:jc w:val="both"/>
      </w:pPr>
      <w:r>
        <w:rPr>
          <w:rFonts w:ascii="Times New Roman"/>
          <w:b w:val="false"/>
          <w:i w:val="false"/>
          <w:color w:val="000000"/>
          <w:sz w:val="28"/>
        </w:rPr>
        <w:t>
      Только исследовательские университеты обеспечивают все указанные условия, что определило их ведущую роль в технологическом развитии АПК в странах с развитым сельским хозяйством. Например, в Нидерландах источником "сельскохозяйственного чуда" является Университет Вагенингена (WUR,Wageningen University &amp; Research Center) – исследовательский аграрный университет № 1 в мире и ядро Продовольственной долины (FoodValley). В США – мировом технологическом лидере в сфере АПК основным фактором развития аграрного сектора исторически является деятельность "land-grant" университетов. Согласно секторальному рейтингу QS в 2019 году 4 из 10 ведущих в мире исследовательских аграрных университетов представляли систему "land-grant"</w:t>
      </w:r>
      <w:r>
        <w:rPr>
          <w:rFonts w:ascii="Times New Roman"/>
          <w:b w:val="false"/>
          <w:i w:val="false"/>
          <w:color w:val="000000"/>
          <w:vertAlign w:val="superscript"/>
        </w:rPr>
        <w:t>4</w:t>
      </w:r>
      <w:r>
        <w:rPr>
          <w:rFonts w:ascii="Times New Roman"/>
          <w:b w:val="false"/>
          <w:i w:val="false"/>
          <w:color w:val="000000"/>
          <w:sz w:val="28"/>
        </w:rPr>
        <w:t xml:space="preserve">. </w:t>
      </w:r>
    </w:p>
    <w:bookmarkEnd w:id="78"/>
    <w:bookmarkStart w:name="z97" w:id="79"/>
    <w:p>
      <w:pPr>
        <w:spacing w:after="0"/>
        <w:ind w:left="0"/>
        <w:jc w:val="both"/>
      </w:pPr>
      <w:r>
        <w:rPr>
          <w:rFonts w:ascii="Times New Roman"/>
          <w:b w:val="false"/>
          <w:i w:val="false"/>
          <w:color w:val="000000"/>
          <w:sz w:val="28"/>
        </w:rPr>
        <w:t>
      Ведущие в мире исследовательские университеты по результативности опережают национальные системы сельскохозяйственных исследований. К примеру, каждый 1 доллар, затраченный на Колледж сельскохозяйственных наук Университета Штата Пенсильвания (Pennsylvania State University College of Agricultura lSciences) из бюджетных источников, обеспечивает конечную экономическую выгоду в 9 долларов. Университет Арканзасa (University of Arkansas, США) на 1 доллар, выделенный из бюджета Штата Арканзас, обеспечивает экономический эффект в размере 14 долларов.</w:t>
      </w:r>
    </w:p>
    <w:bookmarkEnd w:id="79"/>
    <w:bookmarkStart w:name="z98" w:id="80"/>
    <w:p>
      <w:pPr>
        <w:spacing w:after="0"/>
        <w:ind w:left="0"/>
        <w:jc w:val="both"/>
      </w:pPr>
      <w:r>
        <w:rPr>
          <w:rFonts w:ascii="Times New Roman"/>
          <w:b w:val="false"/>
          <w:i w:val="false"/>
          <w:color w:val="000000"/>
          <w:sz w:val="28"/>
        </w:rPr>
        <w:t>
      Как свидетельствует мировой опыт, основным условием для успешного развития исследовательских университетов является концентрация ресурсов на их базе. Механизмы концентрации ресурсов могут быть различными, но в целом их можно свести к двум направлениям:</w:t>
      </w:r>
    </w:p>
    <w:bookmarkEnd w:id="80"/>
    <w:bookmarkStart w:name="z99" w:id="81"/>
    <w:p>
      <w:pPr>
        <w:spacing w:after="0"/>
        <w:ind w:left="0"/>
        <w:jc w:val="both"/>
      </w:pPr>
      <w:r>
        <w:rPr>
          <w:rFonts w:ascii="Times New Roman"/>
          <w:b w:val="false"/>
          <w:i w:val="false"/>
          <w:color w:val="000000"/>
          <w:sz w:val="28"/>
        </w:rPr>
        <w:t>
      1) объединение научных организаций, опытных хозяйств и вузов в составе исследовательских университетов;</w:t>
      </w:r>
    </w:p>
    <w:bookmarkEnd w:id="81"/>
    <w:bookmarkStart w:name="z100" w:id="82"/>
    <w:p>
      <w:pPr>
        <w:spacing w:after="0"/>
        <w:ind w:left="0"/>
        <w:jc w:val="both"/>
      </w:pPr>
      <w:r>
        <w:rPr>
          <w:rFonts w:ascii="Times New Roman"/>
          <w:b w:val="false"/>
          <w:i w:val="false"/>
          <w:color w:val="000000"/>
          <w:sz w:val="28"/>
        </w:rPr>
        <w:t xml:space="preserve">
      2) целевое финансирование исследовательских университетов с целью развития их научного потенциала и повышения качества результатов деятельности. </w:t>
      </w:r>
    </w:p>
    <w:bookmarkEnd w:id="82"/>
    <w:bookmarkStart w:name="z101" w:id="83"/>
    <w:p>
      <w:pPr>
        <w:spacing w:after="0"/>
        <w:ind w:left="0"/>
        <w:jc w:val="both"/>
      </w:pPr>
      <w:r>
        <w:rPr>
          <w:rFonts w:ascii="Times New Roman"/>
          <w:b w:val="false"/>
          <w:i w:val="false"/>
          <w:color w:val="000000"/>
          <w:sz w:val="28"/>
        </w:rPr>
        <w:t>
      Например, основа для развития WUR в качестве одного из лидеров в мировой аграрной науке была заложена в результате реформирования аграрной науки Нидерландов в 1997 году, когда к Университету Вагенингена были присоединены все научные станции и опытные хозяйства, ранее входившие в самостоятельную национальную систему сельскохозяйственных исследований DLO (аналог АО "КазАгроИнновация"). Как указано в стратегии WUR, одним из основных факторов его успеха явилось "… объединение возможностей университета и научных организаций"</w:t>
      </w:r>
      <w:r>
        <w:rPr>
          <w:rFonts w:ascii="Times New Roman"/>
          <w:b w:val="false"/>
          <w:i w:val="false"/>
          <w:color w:val="000000"/>
          <w:vertAlign w:val="superscript"/>
        </w:rPr>
        <w:t>5</w:t>
      </w:r>
      <w:r>
        <w:rPr>
          <w:rFonts w:ascii="Times New Roman"/>
          <w:b w:val="false"/>
          <w:i w:val="false"/>
          <w:color w:val="000000"/>
          <w:sz w:val="28"/>
        </w:rPr>
        <w:t xml:space="preserve">. </w:t>
      </w:r>
    </w:p>
    <w:bookmarkEnd w:id="83"/>
    <w:bookmarkStart w:name="z102" w:id="84"/>
    <w:p>
      <w:pPr>
        <w:spacing w:after="0"/>
        <w:ind w:left="0"/>
        <w:jc w:val="both"/>
      </w:pPr>
      <w:r>
        <w:rPr>
          <w:rFonts w:ascii="Times New Roman"/>
          <w:b w:val="false"/>
          <w:i w:val="false"/>
          <w:color w:val="000000"/>
          <w:sz w:val="28"/>
        </w:rPr>
        <w:t>
      _____________________________________</w:t>
      </w:r>
    </w:p>
    <w:bookmarkEnd w:id="84"/>
    <w:bookmarkStart w:name="z103" w:id="8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https://www.topuniversities.com/university-rankings/university-subject-rankings/2019/agriculture-forestry</w:t>
      </w:r>
    </w:p>
    <w:bookmarkEnd w:id="85"/>
    <w:bookmarkStart w:name="z104" w:id="8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5</w:t>
      </w:r>
      <w:r>
        <w:rPr>
          <w:rFonts w:ascii="Times New Roman"/>
          <w:b w:val="false"/>
          <w:i w:val="false"/>
          <w:color w:val="000000"/>
          <w:sz w:val="28"/>
        </w:rPr>
        <w:t>https://www.wur.nl/en/About-Wageningen.htm</w:t>
      </w:r>
    </w:p>
    <w:bookmarkEnd w:id="86"/>
    <w:bookmarkStart w:name="z105" w:id="8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6</w:t>
      </w:r>
      <w:r>
        <w:rPr>
          <w:rFonts w:ascii="Times New Roman"/>
          <w:b w:val="false"/>
          <w:i w:val="false"/>
          <w:color w:val="000000"/>
          <w:sz w:val="28"/>
        </w:rPr>
        <w:t>http://en.nwsuaf.edu.cn/aboutnwafu/overview/index.htm</w:t>
      </w:r>
    </w:p>
    <w:bookmarkEnd w:id="87"/>
    <w:bookmarkStart w:name="z106" w:id="8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7</w:t>
      </w:r>
      <w:r>
        <w:rPr>
          <w:rFonts w:ascii="Times New Roman"/>
          <w:b w:val="false"/>
          <w:i w:val="false"/>
          <w:color w:val="000000"/>
          <w:sz w:val="28"/>
        </w:rPr>
        <w:t>https://nifa.usda.gov</w:t>
      </w:r>
    </w:p>
    <w:bookmarkEnd w:id="88"/>
    <w:bookmarkStart w:name="z107" w:id="8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8</w:t>
      </w:r>
      <w:r>
        <w:rPr>
          <w:rFonts w:ascii="Times New Roman"/>
          <w:b w:val="false"/>
          <w:i w:val="false"/>
          <w:color w:val="000000"/>
          <w:sz w:val="28"/>
        </w:rPr>
        <w:t>https://www.ars.usda.gov/about-ars/</w:t>
      </w:r>
    </w:p>
    <w:bookmarkEnd w:id="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8" w:id="90"/>
    <w:p>
      <w:pPr>
        <w:spacing w:after="0"/>
        <w:ind w:left="0"/>
        <w:jc w:val="both"/>
      </w:pPr>
      <w:r>
        <w:rPr>
          <w:rFonts w:ascii="Times New Roman"/>
          <w:b w:val="false"/>
          <w:i w:val="false"/>
          <w:color w:val="000000"/>
          <w:sz w:val="28"/>
        </w:rPr>
        <w:t>
      По аналогичной модели был создан Северо-Западный университет сельского и лесного хозяйства в Китае, который в настоящее время является одним из национальных лидеров в аграрной науке и входит в 150 ведущих сельскохозяйственных университетов мира по рейтингу QS. В 1999 году на его базе были объединены университет, колледж, 3 научно-исследовательских института и две региональных академии наук</w:t>
      </w:r>
      <w:r>
        <w:rPr>
          <w:rFonts w:ascii="Times New Roman"/>
          <w:b w:val="false"/>
          <w:i w:val="false"/>
          <w:color w:val="000000"/>
          <w:vertAlign w:val="superscript"/>
        </w:rPr>
        <w:t>6</w:t>
      </w:r>
      <w:r>
        <w:rPr>
          <w:rFonts w:ascii="Times New Roman"/>
          <w:b w:val="false"/>
          <w:i w:val="false"/>
          <w:color w:val="000000"/>
          <w:sz w:val="28"/>
        </w:rPr>
        <w:t>, что привело к кардинальным улучшениям во всех направлениях деятельности.</w:t>
      </w:r>
    </w:p>
    <w:bookmarkEnd w:id="90"/>
    <w:bookmarkStart w:name="z109" w:id="91"/>
    <w:p>
      <w:pPr>
        <w:spacing w:after="0"/>
        <w:ind w:left="0"/>
        <w:jc w:val="both"/>
      </w:pPr>
      <w:r>
        <w:rPr>
          <w:rFonts w:ascii="Times New Roman"/>
          <w:b w:val="false"/>
          <w:i w:val="false"/>
          <w:color w:val="000000"/>
          <w:sz w:val="28"/>
        </w:rPr>
        <w:t>
      Второй механизм концентрации ресурсов на базе исследовательских университетов заключается в создании специальных программ их финансовой поддержки. Например, в 2008 году в США с целью стимулирования исследовательской активности в сельскохозяйственных университетах в Министерстве сельского хозяйства было создано специальное агентство – Национальный институт продовольствия и сельского хозяйства (NIFA</w:t>
      </w:r>
      <w:r>
        <w:rPr>
          <w:rFonts w:ascii="Times New Roman"/>
          <w:b w:val="false"/>
          <w:i w:val="false"/>
          <w:color w:val="000000"/>
          <w:vertAlign w:val="superscript"/>
        </w:rPr>
        <w:t>7</w:t>
      </w:r>
      <w:r>
        <w:rPr>
          <w:rFonts w:ascii="Times New Roman"/>
          <w:b w:val="false"/>
          <w:i w:val="false"/>
          <w:color w:val="000000"/>
          <w:sz w:val="28"/>
        </w:rPr>
        <w:t>). Программа поддерживает три направления деятельности в 112 "land-grant" университетах: научные исследования, подготовку специалистов и распространение знаний (Cooperative Extension). Результативность NIFA подтверждает тот факт, что за 9 лет с даты учреждения ее бюджет вырос почти в 8 раз (с 200 млн долларов до 1 580 млн долларов в год). Начиная с 2012 года, бюджет NIFA превышает бюджет Службы сельскохозяйственных исследований Министерства сельского хозяйства США (ARS USDA) – крупнейшей в мире национальной системы сельскохозяйственных исследований. В 2018 году бюджет ARS USDA (1,2 млрд долларов</w:t>
      </w:r>
      <w:r>
        <w:rPr>
          <w:rFonts w:ascii="Times New Roman"/>
          <w:b w:val="false"/>
          <w:i w:val="false"/>
          <w:color w:val="000000"/>
          <w:vertAlign w:val="superscript"/>
        </w:rPr>
        <w:t>8</w:t>
      </w:r>
      <w:r>
        <w:rPr>
          <w:rFonts w:ascii="Times New Roman"/>
          <w:b w:val="false"/>
          <w:i w:val="false"/>
          <w:color w:val="000000"/>
          <w:sz w:val="28"/>
        </w:rPr>
        <w:t>) был на 31,7% меньше, чем у NIFA. При этом, при бюджете в 3,5 раза меньше и штате исследователей в 10 раз меньше, ученые Колледжа сельского хозяйства и наук об окружающей среде UC Davis ежегодно имеют более 40% цитирований публикаций от общего количества цитирований исследователей ARSUSDA.</w:t>
      </w:r>
    </w:p>
    <w:bookmarkEnd w:id="91"/>
    <w:bookmarkStart w:name="z110" w:id="92"/>
    <w:p>
      <w:pPr>
        <w:spacing w:after="0"/>
        <w:ind w:left="0"/>
        <w:jc w:val="both"/>
      </w:pPr>
      <w:r>
        <w:rPr>
          <w:rFonts w:ascii="Times New Roman"/>
          <w:b w:val="false"/>
          <w:i w:val="false"/>
          <w:color w:val="000000"/>
          <w:sz w:val="28"/>
        </w:rPr>
        <w:t>
      Программы поддержки исследовательского потенциала университетов реализуются в Германии (Universities of Excellence), Китае ("Проект 211 – 100 лучших университетов 21 века", "Проект 985 – Передовые исследования в университетах"), Австралии (CRC – Cooperation Research Centers), России ("5 – 100") и других странах мира. Дополнительно, особая роль университетов в обществе поддерживается широкой системой льгот и преференций. К примеру, университеты в США не платят налогов, их деятельность по распространению знаний обеспечена отдельным, стабильным финансированием, распределяемым ежегодно напрямую университетам на основе специально разработанной формулы.</w:t>
      </w:r>
    </w:p>
    <w:bookmarkEnd w:id="92"/>
    <w:bookmarkStart w:name="z111" w:id="93"/>
    <w:p>
      <w:pPr>
        <w:spacing w:after="0"/>
        <w:ind w:left="0"/>
        <w:jc w:val="both"/>
      </w:pPr>
      <w:r>
        <w:rPr>
          <w:rFonts w:ascii="Times New Roman"/>
          <w:b w:val="false"/>
          <w:i w:val="false"/>
          <w:color w:val="000000"/>
          <w:sz w:val="28"/>
        </w:rPr>
        <w:t>
      В целом, анализ деятельности передовых в мире исследовательских агарных университетов позволяет выделить следующие характеристики:</w:t>
      </w:r>
    </w:p>
    <w:bookmarkEnd w:id="93"/>
    <w:bookmarkStart w:name="z112" w:id="94"/>
    <w:p>
      <w:pPr>
        <w:spacing w:after="0"/>
        <w:ind w:left="0"/>
        <w:jc w:val="both"/>
      </w:pPr>
      <w:r>
        <w:rPr>
          <w:rFonts w:ascii="Times New Roman"/>
          <w:b w:val="false"/>
          <w:i w:val="false"/>
          <w:color w:val="000000"/>
          <w:sz w:val="28"/>
        </w:rPr>
        <w:t xml:space="preserve">
      1) высокое качество человеческого капитала. Развитие и поддержание на высоком уровне квалификации ППС ведущих университетов США, Канады и Австралии обеспечивается их участием в научных исследованиях. Например, каждый преподаватель из UC Davis проводит собственные исследования, финансируемые государством или агробизнесом. При этом часть ППС совмещают научные исследования с преподавательской деятельностью, остальные – с деятельностью в системе распространения знаний (Cooperative Extension). ППС, не имеющий внешнего финансирования научных проектов в течение двух-трех лет, как правило, покидает университет. </w:t>
      </w:r>
    </w:p>
    <w:bookmarkEnd w:id="94"/>
    <w:bookmarkStart w:name="z113" w:id="95"/>
    <w:p>
      <w:pPr>
        <w:spacing w:after="0"/>
        <w:ind w:left="0"/>
        <w:jc w:val="both"/>
      </w:pPr>
      <w:r>
        <w:rPr>
          <w:rFonts w:ascii="Times New Roman"/>
          <w:b w:val="false"/>
          <w:i w:val="false"/>
          <w:color w:val="000000"/>
          <w:sz w:val="28"/>
        </w:rPr>
        <w:t xml:space="preserve">
      Высокие требования к ППС обуславливает выдающееся качество академических и научных результатов UC Davis. При отборе новых преподавателей на освобождающиеся должности ключевым критерием является наличие высоких интеллектуальных способностей, тогда как текущая профессиональная специализация кандидата играет второстепенную роль. </w:t>
      </w:r>
    </w:p>
    <w:bookmarkEnd w:id="95"/>
    <w:bookmarkStart w:name="z114" w:id="96"/>
    <w:p>
      <w:pPr>
        <w:spacing w:after="0"/>
        <w:ind w:left="0"/>
        <w:jc w:val="both"/>
      </w:pPr>
      <w:r>
        <w:rPr>
          <w:rFonts w:ascii="Times New Roman"/>
          <w:b w:val="false"/>
          <w:i w:val="false"/>
          <w:color w:val="000000"/>
          <w:sz w:val="28"/>
        </w:rPr>
        <w:t xml:space="preserve">
      Следует отметить, что качество человеческого капитала неразрывно связано с уровнем оплаты труда преподавателей. Как правило, в каждом университете существует уникальная система оплаты труда, обеспечивающая конкурентоспособные условия в сравнении с другими университетами и сферами деятельности. Помимо оплаты труда, университетами предоставляется целевое финансирование участия в конференциях, оснащения лабораторий, найма ассистентов и других сопутствующих расходов. Только такие условия позволяют привлекать и удерживать наиболее талантливых и перспективных специалистов, поддерживая высокий престиж карьеры ученого-агрария. </w:t>
      </w:r>
    </w:p>
    <w:bookmarkEnd w:id="96"/>
    <w:bookmarkStart w:name="z115" w:id="97"/>
    <w:p>
      <w:pPr>
        <w:spacing w:after="0"/>
        <w:ind w:left="0"/>
        <w:jc w:val="both"/>
      </w:pPr>
      <w:r>
        <w:rPr>
          <w:rFonts w:ascii="Times New Roman"/>
          <w:b w:val="false"/>
          <w:i w:val="false"/>
          <w:color w:val="000000"/>
          <w:sz w:val="28"/>
        </w:rPr>
        <w:t>
      2) Постоянное взаимодействие с работодателями и потребителями научных результатов с целью поддержания актуальности научных результатов и образовательных программ. При этом применяются различные формы сотрудничества: вовлечение представителей агробизнеса в попечительские советы университетов, прямые контакты ППС и агроформирований при разработке образовательных программ, проведении научных исследований и деятельности системы распространения знаний. Как правило, значительная часть ППС вовлечены в систему распространения знаний, что позволяет доводить передовые инновации до конечного потребителя, и служит важным элементом "обратной связи". В свою очередь, по мере роста доверия к ППС со стороны субъектов АПК появляется софинансирование университетов со стороны агробизнеса, которое в среднем составляет около 10% от общего годового бюджета, а в отдельных университетах достигает 30%.</w:t>
      </w:r>
    </w:p>
    <w:bookmarkEnd w:id="97"/>
    <w:bookmarkStart w:name="z116" w:id="98"/>
    <w:p>
      <w:pPr>
        <w:spacing w:after="0"/>
        <w:ind w:left="0"/>
        <w:jc w:val="both"/>
      </w:pPr>
      <w:r>
        <w:rPr>
          <w:rFonts w:ascii="Times New Roman"/>
          <w:b w:val="false"/>
          <w:i w:val="false"/>
          <w:color w:val="000000"/>
          <w:sz w:val="28"/>
        </w:rPr>
        <w:t>
      3) Наличие собственной, современной инфраструктуры образовательной, научно-исследовательской и экспериментальной деятельности, применимой для практических занятий обучающихся, научных исследований и распространения знаний. К примеру, Университет Макгилла (McGill University, Канада) располагает собственной мастерской с оборудованием для обработки дерева, металла и пластмасс, опытным заводом по переработке сельскохозяйственной продукции, промышленными фермами молочного скотоводства, свиноводства и птицеводства, теплицей, фитотроном, дендропарком и заповедником. Институт вина и наук о продовольствии Роберта Мондави UC Davis считается лучшей в мире платформой для изучения технологий виноделия, а ускоритель роста растений Университета Аделаиды (University of Adelaide, Австралия) – одной из лучших платформ для исследования фенотипа полевых культур.</w:t>
      </w:r>
    </w:p>
    <w:bookmarkEnd w:id="98"/>
    <w:bookmarkStart w:name="z117" w:id="99"/>
    <w:p>
      <w:pPr>
        <w:spacing w:after="0"/>
        <w:ind w:left="0"/>
        <w:jc w:val="both"/>
      </w:pPr>
      <w:r>
        <w:rPr>
          <w:rFonts w:ascii="Times New Roman"/>
          <w:b w:val="false"/>
          <w:i w:val="false"/>
          <w:color w:val="000000"/>
          <w:sz w:val="28"/>
        </w:rPr>
        <w:t xml:space="preserve">
      Несмотря на то, что в некоторых университетах инфраструктура также служит источником дополнительных доходов, в целом задачи по максимизации прибыли перед инфраструктурными подразделениями не ставится. Их основной функцией остается поддержка образовательного процесса, научных исследований и мероприятий по распространению знаний, а доходы от реализации продукции направляются на модернизацию оборудования и текущие расходы. </w:t>
      </w:r>
    </w:p>
    <w:bookmarkEnd w:id="99"/>
    <w:bookmarkStart w:name="z118" w:id="100"/>
    <w:p>
      <w:pPr>
        <w:spacing w:after="0"/>
        <w:ind w:left="0"/>
        <w:jc w:val="both"/>
      </w:pPr>
      <w:r>
        <w:rPr>
          <w:rFonts w:ascii="Times New Roman"/>
          <w:b w:val="false"/>
          <w:i w:val="false"/>
          <w:color w:val="000000"/>
          <w:sz w:val="28"/>
        </w:rPr>
        <w:t xml:space="preserve">
      4) все ведущие исследовательские аграрные университеты в мире являются </w:t>
      </w:r>
      <w:r>
        <w:rPr>
          <w:rFonts w:ascii="Times New Roman"/>
          <w:b/>
          <w:i w:val="false"/>
          <w:color w:val="000000"/>
          <w:sz w:val="28"/>
        </w:rPr>
        <w:t>автономными</w:t>
      </w:r>
      <w:r>
        <w:rPr>
          <w:rFonts w:ascii="Times New Roman"/>
          <w:b w:val="false"/>
          <w:i w:val="false"/>
          <w:color w:val="000000"/>
          <w:sz w:val="28"/>
        </w:rPr>
        <w:t>, что подразумевает:</w:t>
      </w:r>
    </w:p>
    <w:bookmarkEnd w:id="100"/>
    <w:bookmarkStart w:name="z119" w:id="101"/>
    <w:p>
      <w:pPr>
        <w:spacing w:after="0"/>
        <w:ind w:left="0"/>
        <w:jc w:val="both"/>
      </w:pPr>
      <w:r>
        <w:rPr>
          <w:rFonts w:ascii="Times New Roman"/>
          <w:b w:val="false"/>
          <w:i w:val="false"/>
          <w:color w:val="000000"/>
          <w:sz w:val="28"/>
        </w:rPr>
        <w:t xml:space="preserve">
      а) </w:t>
      </w:r>
      <w:r>
        <w:rPr>
          <w:rFonts w:ascii="Times New Roman"/>
          <w:b/>
          <w:i w:val="false"/>
          <w:color w:val="000000"/>
          <w:sz w:val="28"/>
        </w:rPr>
        <w:t>академическую автономию</w:t>
      </w:r>
      <w:r>
        <w:rPr>
          <w:rFonts w:ascii="Times New Roman"/>
          <w:b w:val="false"/>
          <w:i w:val="false"/>
          <w:color w:val="000000"/>
          <w:sz w:val="28"/>
        </w:rPr>
        <w:t xml:space="preserve"> как право самостоятельно разрабатывать и реализовывать образовательные программы, инициировать и проводить уникальные научные исследования;</w:t>
      </w:r>
    </w:p>
    <w:bookmarkEnd w:id="101"/>
    <w:bookmarkStart w:name="z120" w:id="102"/>
    <w:p>
      <w:pPr>
        <w:spacing w:after="0"/>
        <w:ind w:left="0"/>
        <w:jc w:val="both"/>
      </w:pPr>
      <w:r>
        <w:rPr>
          <w:rFonts w:ascii="Times New Roman"/>
          <w:b w:val="false"/>
          <w:i w:val="false"/>
          <w:color w:val="000000"/>
          <w:sz w:val="28"/>
        </w:rPr>
        <w:t xml:space="preserve">
      б) </w:t>
      </w:r>
      <w:r>
        <w:rPr>
          <w:rFonts w:ascii="Times New Roman"/>
          <w:b/>
          <w:i w:val="false"/>
          <w:color w:val="000000"/>
          <w:sz w:val="28"/>
        </w:rPr>
        <w:t>финансовую автономию</w:t>
      </w:r>
      <w:r>
        <w:rPr>
          <w:rFonts w:ascii="Times New Roman"/>
          <w:b w:val="false"/>
          <w:i w:val="false"/>
          <w:color w:val="000000"/>
          <w:sz w:val="28"/>
        </w:rPr>
        <w:t xml:space="preserve"> как право самостоятельно и полностью контролировать все собственные ресурсы, в том числе поступающие из государственных источников;</w:t>
      </w:r>
    </w:p>
    <w:bookmarkEnd w:id="102"/>
    <w:bookmarkStart w:name="z121" w:id="103"/>
    <w:p>
      <w:pPr>
        <w:spacing w:after="0"/>
        <w:ind w:left="0"/>
        <w:jc w:val="both"/>
      </w:pPr>
      <w:r>
        <w:rPr>
          <w:rFonts w:ascii="Times New Roman"/>
          <w:b w:val="false"/>
          <w:i w:val="false"/>
          <w:color w:val="000000"/>
          <w:sz w:val="28"/>
        </w:rPr>
        <w:t xml:space="preserve">
      в) </w:t>
      </w:r>
      <w:r>
        <w:rPr>
          <w:rFonts w:ascii="Times New Roman"/>
          <w:b/>
          <w:i w:val="false"/>
          <w:color w:val="000000"/>
          <w:sz w:val="28"/>
        </w:rPr>
        <w:t>организационную автономию</w:t>
      </w:r>
      <w:r>
        <w:rPr>
          <w:rFonts w:ascii="Times New Roman"/>
          <w:b w:val="false"/>
          <w:i w:val="false"/>
          <w:color w:val="000000"/>
          <w:sz w:val="28"/>
        </w:rPr>
        <w:t xml:space="preserve"> как право самостоятельно определять структуру и численность органов управления, распределять их полномочия, создавать или упразднять структурные подразделения, дочерние организации; </w:t>
      </w:r>
    </w:p>
    <w:bookmarkEnd w:id="103"/>
    <w:bookmarkStart w:name="z122" w:id="104"/>
    <w:p>
      <w:pPr>
        <w:spacing w:after="0"/>
        <w:ind w:left="0"/>
        <w:jc w:val="both"/>
      </w:pPr>
      <w:r>
        <w:rPr>
          <w:rFonts w:ascii="Times New Roman"/>
          <w:b w:val="false"/>
          <w:i w:val="false"/>
          <w:color w:val="000000"/>
          <w:sz w:val="28"/>
        </w:rPr>
        <w:t xml:space="preserve">
      г) </w:t>
      </w:r>
      <w:r>
        <w:rPr>
          <w:rFonts w:ascii="Times New Roman"/>
          <w:b/>
          <w:i w:val="false"/>
          <w:color w:val="000000"/>
          <w:sz w:val="28"/>
        </w:rPr>
        <w:t>автономию в области кадровой политики</w:t>
      </w:r>
      <w:r>
        <w:rPr>
          <w:rFonts w:ascii="Times New Roman"/>
          <w:b w:val="false"/>
          <w:i w:val="false"/>
          <w:color w:val="000000"/>
          <w:sz w:val="28"/>
        </w:rPr>
        <w:t xml:space="preserve"> как право самостоятельно определять условия найма, продвижения по службе и оплаты труда ППС.</w:t>
      </w:r>
    </w:p>
    <w:bookmarkEnd w:id="104"/>
    <w:bookmarkStart w:name="z123" w:id="105"/>
    <w:p>
      <w:pPr>
        <w:spacing w:after="0"/>
        <w:ind w:left="0"/>
        <w:jc w:val="both"/>
      </w:pPr>
      <w:r>
        <w:rPr>
          <w:rFonts w:ascii="Times New Roman"/>
          <w:b w:val="false"/>
          <w:i w:val="false"/>
          <w:color w:val="000000"/>
          <w:sz w:val="28"/>
        </w:rPr>
        <w:t xml:space="preserve">
      В более широком смысле </w:t>
      </w:r>
      <w:r>
        <w:rPr>
          <w:rFonts w:ascii="Times New Roman"/>
          <w:b/>
          <w:i w:val="false"/>
          <w:color w:val="000000"/>
          <w:sz w:val="28"/>
        </w:rPr>
        <w:t>автономность предполагает</w:t>
      </w:r>
      <w:r>
        <w:rPr>
          <w:rFonts w:ascii="Times New Roman"/>
          <w:b w:val="false"/>
          <w:i w:val="false"/>
          <w:color w:val="000000"/>
          <w:sz w:val="28"/>
        </w:rPr>
        <w:t xml:space="preserve"> самостоятельное определение целей и способов их достижения каждым университетом в отдельности, в то время как совместно они должны удовлетворять потребности регионов, стран и мирового сообщества. </w:t>
      </w:r>
      <w:r>
        <w:rPr>
          <w:rFonts w:ascii="Times New Roman"/>
          <w:b/>
          <w:i w:val="false"/>
          <w:color w:val="000000"/>
          <w:sz w:val="28"/>
        </w:rPr>
        <w:t>Автономность</w:t>
      </w:r>
      <w:r>
        <w:rPr>
          <w:rFonts w:ascii="Times New Roman"/>
          <w:b w:val="false"/>
          <w:i w:val="false"/>
          <w:color w:val="000000"/>
          <w:sz w:val="28"/>
        </w:rPr>
        <w:t xml:space="preserve"> неотделима от подотчетности перед внутренним университетским сообществом (персоналом и студентами) и перед обществом в целом. </w:t>
      </w:r>
    </w:p>
    <w:bookmarkEnd w:id="105"/>
    <w:bookmarkStart w:name="z124" w:id="106"/>
    <w:p>
      <w:pPr>
        <w:spacing w:after="0"/>
        <w:ind w:left="0"/>
        <w:jc w:val="both"/>
      </w:pPr>
      <w:r>
        <w:rPr>
          <w:rFonts w:ascii="Times New Roman"/>
          <w:b w:val="false"/>
          <w:i w:val="false"/>
          <w:color w:val="000000"/>
          <w:sz w:val="28"/>
        </w:rPr>
        <w:t>
      5) все ведущие в мире исследовательские аграрные университеты совмещают научные исследования и подготовку кадров с реализацией образовательных программ для повышения квалификации специалистов, уже занятых в АПК (наиболее общее название – система распространения знаний). К примеру, в США мероприятия по распространению знаний являются обязательным компонентом "land-grant" миссии университетов, призванной нести пользу штату, стране и мировому сообществу. Деятельность по распространению знаний финансируется Министерством сельского хозяйства Республики Казахстан отдельно. Считается, что система распространения знаний является основным инструментом влияния университетов на эффективность сельского хозяйства и основным фактором, обуславливающим привлекательность университетов для агробизнеса. Благодаря системе распространения знаний, университеты имеют представителей в каждом округе штатов, что позволяет постоянно находиться в прямом контакте с выгодополучателями и оперативно реагировать на возникающие проблемы. Инфраструктура университетов служит площадкой для демонстрации инноваций при их продвижении в АПК.</w:t>
      </w:r>
    </w:p>
    <w:bookmarkEnd w:id="106"/>
    <w:bookmarkStart w:name="z125" w:id="107"/>
    <w:p>
      <w:pPr>
        <w:spacing w:after="0"/>
        <w:ind w:left="0"/>
        <w:jc w:val="both"/>
      </w:pPr>
      <w:r>
        <w:rPr>
          <w:rFonts w:ascii="Times New Roman"/>
          <w:b w:val="false"/>
          <w:i w:val="false"/>
          <w:color w:val="000000"/>
          <w:sz w:val="28"/>
        </w:rPr>
        <w:t>
      В целом, описанную выше модель исследовательских университетов принято относить к "западному типу". В последние десятилетия данная модель планомерно внедряется в странах, не относящихся к технологическим лидерам, но отдающим высокий приоритет развитию сельского хозяйства. К примеру, при поддержке ведущих исследовательских университетов из США, а также за счет возвращения соотечественников, работающих за рубежом, университеты Китая (Китайский сельскохозяйственный университет, Сельскохозяйственный университет Нанджин, Северо-Западный университет сельского и лесного хозяйства и другие) демонстрируют беспрецедентную динамику и успешно конкурируют с исторически сложившимися центрами мировой аграрной науки. Реформы на основе перехода к модели исследовательских аграрных университетов реализуются в Индии, Чили, Малайзии, Вьетнаме и других странах.</w:t>
      </w:r>
    </w:p>
    <w:bookmarkEnd w:id="107"/>
    <w:p>
      <w:pPr>
        <w:spacing w:after="0"/>
        <w:ind w:left="0"/>
        <w:jc w:val="both"/>
      </w:pPr>
      <w:r>
        <w:rPr>
          <w:rFonts w:ascii="Times New Roman"/>
          <w:b/>
          <w:i w:val="false"/>
          <w:color w:val="000000"/>
          <w:sz w:val="28"/>
        </w:rPr>
        <w:t>3.3. Перспективы развития и долгосрочные цели КАТУ</w:t>
      </w:r>
    </w:p>
    <w:bookmarkStart w:name="z127" w:id="108"/>
    <w:p>
      <w:pPr>
        <w:spacing w:after="0"/>
        <w:ind w:left="0"/>
        <w:jc w:val="both"/>
      </w:pPr>
      <w:r>
        <w:rPr>
          <w:rFonts w:ascii="Times New Roman"/>
          <w:b w:val="false"/>
          <w:i w:val="false"/>
          <w:color w:val="000000"/>
          <w:sz w:val="28"/>
        </w:rPr>
        <w:t xml:space="preserve">
      До 2030 года КАТУ видит свое развитие в качестве исследовательского университета высокого уровня, </w:t>
      </w:r>
      <w:r>
        <w:rPr>
          <w:rFonts w:ascii="Times New Roman"/>
          <w:b/>
          <w:i w:val="false"/>
          <w:color w:val="000000"/>
          <w:sz w:val="28"/>
        </w:rPr>
        <w:t>обладающего академической, финансовой и институциональной автономией</w:t>
      </w:r>
      <w:r>
        <w:rPr>
          <w:rFonts w:ascii="Times New Roman"/>
          <w:b w:val="false"/>
          <w:i w:val="false"/>
          <w:color w:val="000000"/>
          <w:sz w:val="28"/>
        </w:rPr>
        <w:t>, с высокими образовательными стандартами, значительными научными результатами и признаваемым влиянием на АПК Республики Казахстан.</w:t>
      </w:r>
    </w:p>
    <w:bookmarkEnd w:id="108"/>
    <w:bookmarkStart w:name="z128" w:id="109"/>
    <w:p>
      <w:pPr>
        <w:spacing w:after="0"/>
        <w:ind w:left="0"/>
        <w:jc w:val="both"/>
      </w:pPr>
      <w:r>
        <w:rPr>
          <w:rFonts w:ascii="Times New Roman"/>
          <w:b w:val="false"/>
          <w:i w:val="false"/>
          <w:color w:val="000000"/>
          <w:sz w:val="28"/>
        </w:rPr>
        <w:t xml:space="preserve">
      На национальном уровне КАТУ будет позиционироваться как первый исследовательский университет международного уровня в сфере АПК, ведущий центр академической и научной компетенции в основных отраслях АПК Северного и Центрального Казахстана, наиболее динамично развивающийся и интегрированный в мировое научно-образовательное пространство университет аграрного профиля. </w:t>
      </w:r>
    </w:p>
    <w:bookmarkEnd w:id="109"/>
    <w:bookmarkStart w:name="z129" w:id="110"/>
    <w:p>
      <w:pPr>
        <w:spacing w:after="0"/>
        <w:ind w:left="0"/>
        <w:jc w:val="both"/>
      </w:pPr>
      <w:r>
        <w:rPr>
          <w:rFonts w:ascii="Times New Roman"/>
          <w:b w:val="false"/>
          <w:i w:val="false"/>
          <w:color w:val="000000"/>
          <w:sz w:val="28"/>
        </w:rPr>
        <w:t>
      На международном уровне КАТУ будет позиционироваться как один из ведущих на постсоветском пространстве исследовательских университетов в сфере АПК и ведущий центр компетенции по вопросам устойчивости сельскохозяйственного производства Центральной Азии.</w:t>
      </w:r>
    </w:p>
    <w:bookmarkEnd w:id="110"/>
    <w:bookmarkStart w:name="z130" w:id="111"/>
    <w:p>
      <w:pPr>
        <w:spacing w:after="0"/>
        <w:ind w:left="0"/>
        <w:jc w:val="both"/>
      </w:pPr>
      <w:r>
        <w:rPr>
          <w:rFonts w:ascii="Times New Roman"/>
          <w:b w:val="false"/>
          <w:i w:val="false"/>
          <w:color w:val="000000"/>
          <w:sz w:val="28"/>
        </w:rPr>
        <w:t>
      Стратегией КАТУ является построение лучшей в Казахстане, соответствующей лучшим в мире моделям, системы научных исследований, опережающей подготовки специалистов и научно-педагогических кадров, и передачи научных результатов в реальный сектор экономики, через:</w:t>
      </w:r>
    </w:p>
    <w:bookmarkEnd w:id="111"/>
    <w:bookmarkStart w:name="z131" w:id="112"/>
    <w:p>
      <w:pPr>
        <w:spacing w:after="0"/>
        <w:ind w:left="0"/>
        <w:jc w:val="both"/>
      </w:pPr>
      <w:r>
        <w:rPr>
          <w:rFonts w:ascii="Times New Roman"/>
          <w:b w:val="false"/>
          <w:i w:val="false"/>
          <w:color w:val="000000"/>
          <w:sz w:val="28"/>
        </w:rPr>
        <w:t>
      1) междисциплинарные научные исследования высокого уровня и активного вовлечения в них ППС, обучающихся и других выгодополучателей;</w:t>
      </w:r>
    </w:p>
    <w:bookmarkEnd w:id="112"/>
    <w:bookmarkStart w:name="z132" w:id="113"/>
    <w:p>
      <w:pPr>
        <w:spacing w:after="0"/>
        <w:ind w:left="0"/>
        <w:jc w:val="both"/>
      </w:pPr>
      <w:r>
        <w:rPr>
          <w:rFonts w:ascii="Times New Roman"/>
          <w:b w:val="false"/>
          <w:i w:val="false"/>
          <w:color w:val="000000"/>
          <w:sz w:val="28"/>
        </w:rPr>
        <w:t>
      2) уникальные образовательные программы, основанные на собственных научных результатах и передовых зарубежных научных достижениях;</w:t>
      </w:r>
    </w:p>
    <w:bookmarkEnd w:id="113"/>
    <w:bookmarkStart w:name="z133" w:id="114"/>
    <w:p>
      <w:pPr>
        <w:spacing w:after="0"/>
        <w:ind w:left="0"/>
        <w:jc w:val="both"/>
      </w:pPr>
      <w:r>
        <w:rPr>
          <w:rFonts w:ascii="Times New Roman"/>
          <w:b w:val="false"/>
          <w:i w:val="false"/>
          <w:color w:val="000000"/>
          <w:sz w:val="28"/>
        </w:rPr>
        <w:t>
      3) предоставление обучающимся широких возможностей для выбора уровня, содержания, формы и сроков обучения;</w:t>
      </w:r>
    </w:p>
    <w:bookmarkEnd w:id="114"/>
    <w:bookmarkStart w:name="z134" w:id="115"/>
    <w:p>
      <w:pPr>
        <w:spacing w:after="0"/>
        <w:ind w:left="0"/>
        <w:jc w:val="both"/>
      </w:pPr>
      <w:r>
        <w:rPr>
          <w:rFonts w:ascii="Times New Roman"/>
          <w:b w:val="false"/>
          <w:i w:val="false"/>
          <w:color w:val="000000"/>
          <w:sz w:val="28"/>
        </w:rPr>
        <w:t>
      4) предоставление ППС широких возможностей для профессионального развития, в том числе путем совмещения научно-исследовательской деятельности с преподаванием, деятельностью по продвижению научных результатов и работой на базе технологических платформ.</w:t>
      </w:r>
    </w:p>
    <w:bookmarkEnd w:id="115"/>
    <w:bookmarkStart w:name="z135" w:id="116"/>
    <w:p>
      <w:pPr>
        <w:spacing w:after="0"/>
        <w:ind w:left="0"/>
        <w:jc w:val="both"/>
      </w:pPr>
      <w:r>
        <w:rPr>
          <w:rFonts w:ascii="Times New Roman"/>
          <w:b w:val="false"/>
          <w:i w:val="false"/>
          <w:color w:val="000000"/>
          <w:sz w:val="28"/>
        </w:rPr>
        <w:t xml:space="preserve">
      Стратегическими целями КАТУ до 2030 года являются: </w:t>
      </w:r>
    </w:p>
    <w:bookmarkEnd w:id="116"/>
    <w:bookmarkStart w:name="z136" w:id="117"/>
    <w:p>
      <w:pPr>
        <w:spacing w:after="0"/>
        <w:ind w:left="0"/>
        <w:jc w:val="both"/>
      </w:pPr>
      <w:r>
        <w:rPr>
          <w:rFonts w:ascii="Times New Roman"/>
          <w:b w:val="false"/>
          <w:i w:val="false"/>
          <w:color w:val="000000"/>
          <w:sz w:val="28"/>
        </w:rPr>
        <w:t>
      1) улучшение позиций в международных рейтингах университетов – вхождение по рейтингу QS (1) в 600 лучших университетов мира и в 150 лучших университетов мира по направлению "Сельское и лесное хозяйство" (QS Ranking by subject, Agriculture &amp; Forestry</w:t>
      </w:r>
      <w:r>
        <w:rPr>
          <w:rFonts w:ascii="Times New Roman"/>
          <w:b w:val="false"/>
          <w:i w:val="false"/>
          <w:color w:val="000000"/>
          <w:vertAlign w:val="superscript"/>
        </w:rPr>
        <w:t>9</w:t>
      </w:r>
      <w:r>
        <w:rPr>
          <w:rFonts w:ascii="Times New Roman"/>
          <w:b w:val="false"/>
          <w:i w:val="false"/>
          <w:color w:val="000000"/>
          <w:sz w:val="28"/>
        </w:rPr>
        <w:t>);</w:t>
      </w:r>
    </w:p>
    <w:bookmarkEnd w:id="117"/>
    <w:bookmarkStart w:name="z137" w:id="118"/>
    <w:p>
      <w:pPr>
        <w:spacing w:after="0"/>
        <w:ind w:left="0"/>
        <w:jc w:val="both"/>
      </w:pPr>
      <w:r>
        <w:rPr>
          <w:rFonts w:ascii="Times New Roman"/>
          <w:b w:val="false"/>
          <w:i w:val="false"/>
          <w:color w:val="000000"/>
          <w:sz w:val="28"/>
        </w:rPr>
        <w:t>
      2) трудоустройство не менее 75% выпускников по специальности в течение 3 месяцев после завершения обучения, подтвержденное независимыми источниками;</w:t>
      </w:r>
    </w:p>
    <w:bookmarkEnd w:id="118"/>
    <w:bookmarkStart w:name="z138" w:id="119"/>
    <w:p>
      <w:pPr>
        <w:spacing w:after="0"/>
        <w:ind w:left="0"/>
        <w:jc w:val="both"/>
      </w:pPr>
      <w:r>
        <w:rPr>
          <w:rFonts w:ascii="Times New Roman"/>
          <w:b w:val="false"/>
          <w:i w:val="false"/>
          <w:color w:val="000000"/>
          <w:sz w:val="28"/>
        </w:rPr>
        <w:t>
      3) среднее количество цитирований одной публикации по данным базы Web of Science или Scopus – не менее 2;</w:t>
      </w:r>
    </w:p>
    <w:bookmarkEnd w:id="119"/>
    <w:bookmarkStart w:name="z139" w:id="120"/>
    <w:p>
      <w:pPr>
        <w:spacing w:after="0"/>
        <w:ind w:left="0"/>
        <w:jc w:val="both"/>
      </w:pPr>
      <w:r>
        <w:rPr>
          <w:rFonts w:ascii="Times New Roman"/>
          <w:b w:val="false"/>
          <w:i w:val="false"/>
          <w:color w:val="000000"/>
          <w:sz w:val="28"/>
        </w:rPr>
        <w:t>
      4) доля в общем доходе КАТУ доходов от научной деятельности – не менее 30%, от внедрения научных результатов – не менее 12,5%;</w:t>
      </w:r>
    </w:p>
    <w:bookmarkEnd w:id="120"/>
    <w:bookmarkStart w:name="z140" w:id="121"/>
    <w:p>
      <w:pPr>
        <w:spacing w:after="0"/>
        <w:ind w:left="0"/>
        <w:jc w:val="both"/>
      </w:pPr>
      <w:r>
        <w:rPr>
          <w:rFonts w:ascii="Times New Roman"/>
          <w:b w:val="false"/>
          <w:i w:val="false"/>
          <w:color w:val="000000"/>
          <w:sz w:val="28"/>
        </w:rPr>
        <w:t>
      5) международная аккредитация не менее 50% образовательных учебных программ.</w:t>
      </w:r>
    </w:p>
    <w:bookmarkEnd w:id="121"/>
    <w:bookmarkStart w:name="z141" w:id="122"/>
    <w:p>
      <w:pPr>
        <w:spacing w:after="0"/>
        <w:ind w:left="0"/>
        <w:jc w:val="both"/>
      </w:pPr>
      <w:r>
        <w:rPr>
          <w:rFonts w:ascii="Times New Roman"/>
          <w:b w:val="false"/>
          <w:i w:val="false"/>
          <w:color w:val="000000"/>
          <w:sz w:val="28"/>
        </w:rPr>
        <w:t>
      ________________________________</w:t>
      </w:r>
    </w:p>
    <w:bookmarkEnd w:id="122"/>
    <w:bookmarkStart w:name="z142" w:id="12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9</w:t>
      </w:r>
      <w:r>
        <w:rPr>
          <w:rFonts w:ascii="Times New Roman"/>
          <w:b w:val="false"/>
          <w:i w:val="false"/>
          <w:color w:val="000000"/>
          <w:sz w:val="28"/>
        </w:rPr>
        <w:t>https://www.topuniversities.com/university-rankings/university-subject-rankings/2019/agriculture-forestry</w:t>
      </w:r>
    </w:p>
    <w:bookmarkEnd w:id="123"/>
    <w:p>
      <w:pPr>
        <w:spacing w:after="0"/>
        <w:ind w:left="0"/>
        <w:jc w:val="both"/>
      </w:pPr>
      <w:r>
        <w:rPr>
          <w:rFonts w:ascii="Times New Roman"/>
          <w:b/>
          <w:i w:val="false"/>
          <w:color w:val="000000"/>
          <w:sz w:val="28"/>
        </w:rPr>
        <w:t>4. Блок аналитического и прогностического обоснования Программы</w:t>
      </w:r>
    </w:p>
    <w:p>
      <w:pPr>
        <w:spacing w:after="0"/>
        <w:ind w:left="0"/>
        <w:jc w:val="both"/>
      </w:pPr>
      <w:r>
        <w:rPr>
          <w:rFonts w:ascii="Times New Roman"/>
          <w:b/>
          <w:i w:val="false"/>
          <w:color w:val="000000"/>
          <w:sz w:val="28"/>
        </w:rPr>
        <w:t>4.1. Анализ состояния деятельности КАТУ, ключевых проблем и их причин</w:t>
      </w:r>
    </w:p>
    <w:bookmarkStart w:name="z145" w:id="124"/>
    <w:p>
      <w:pPr>
        <w:spacing w:after="0"/>
        <w:ind w:left="0"/>
        <w:jc w:val="both"/>
      </w:pPr>
      <w:r>
        <w:rPr>
          <w:rFonts w:ascii="Times New Roman"/>
          <w:b w:val="false"/>
          <w:i w:val="false"/>
          <w:color w:val="000000"/>
          <w:sz w:val="28"/>
        </w:rPr>
        <w:t>
      В 2013 году КАТУ приступил к реформированию в исследовательский аграрный университет западного типа. С целью адаптации передовой практики 28 июня 2014 года заключено Соглашение о сотрудничестве с UC Davis, в соответствии с которым оказывается консультационная поддержка КАТУ в реформировании системы управления, образовательного процесса и научных исследований. По примеру UC Davis пересмотрена миссия, видение и стратегия КАТУ. Начиная с 2015 года, 15 преподавателей и 5 руководителей КАТУ прошли стажировки на базе UC Davis. В рамках академической мобильности 2 магистранта и 1 студент бакалавриата завершили обучение в течение полной четверти. Кроме того, 2 исследователя КАТУ поступили в магистратуру UC Davis (Науки о растениях) и Университета Штата Пенсильвания (Pennsylvania State University, Сельскохозяйственная инженерия), и 1 преподаватель – в докторантуру UC Davis (Наука о мясе). С учетом положительных результатов сотрудничества, 5 июня 2018 года Соглашение продлено до июня 2022 года.</w:t>
      </w:r>
    </w:p>
    <w:bookmarkEnd w:id="124"/>
    <w:bookmarkStart w:name="z146" w:id="125"/>
    <w:p>
      <w:pPr>
        <w:spacing w:after="0"/>
        <w:ind w:left="0"/>
        <w:jc w:val="both"/>
      </w:pPr>
      <w:r>
        <w:rPr>
          <w:rFonts w:ascii="Times New Roman"/>
          <w:b w:val="false"/>
          <w:i w:val="false"/>
          <w:color w:val="000000"/>
          <w:sz w:val="28"/>
        </w:rPr>
        <w:t>
      В январе 2019 года подписано Соглашение о сотрудничестве с AgroParisTech (№ 4 в мире в сфере сельского и лесного хозяйства), нацеленное на поддержку КАТУ в усилении образовательного процесса и улучшении качества академической среды. В частности, предусматривается разработка и поэтапное внедрение двухдипломных магистерских программ по защите растений, почвоведению и животноводству.</w:t>
      </w:r>
    </w:p>
    <w:bookmarkEnd w:id="125"/>
    <w:bookmarkStart w:name="z147" w:id="126"/>
    <w:p>
      <w:pPr>
        <w:spacing w:after="0"/>
        <w:ind w:left="0"/>
        <w:jc w:val="both"/>
      </w:pPr>
      <w:r>
        <w:rPr>
          <w:rFonts w:ascii="Times New Roman"/>
          <w:b w:val="false"/>
          <w:i w:val="false"/>
          <w:color w:val="000000"/>
          <w:sz w:val="28"/>
        </w:rPr>
        <w:t xml:space="preserve">
      С 2019 года в состав правления КАТУ входит доктор Ги Риба, бывший вице-президент и генеральный директор Национального института сельскохозяйственных исследований Франции (INRA, № 2 национальная система сельскохозяйственных исследований в мире). Доктор Ги Риба координирует реформирование системы организации научных исследований и сотрудничество с AgroParisTech. В мае 2019 года, в качестве независимого директора в Совет директоров КАТУ избран профессор Нил Ван Алфен, почетный декан Колледжа сельского хозяйства и окружающей среды UC Davis, внесший значительный вклад в укрепление позиций данного университета в числе ведущих в мире центров аграрной науки и образования. </w:t>
      </w:r>
    </w:p>
    <w:bookmarkEnd w:id="126"/>
    <w:bookmarkStart w:name="z148" w:id="127"/>
    <w:p>
      <w:pPr>
        <w:spacing w:after="0"/>
        <w:ind w:left="0"/>
        <w:jc w:val="both"/>
      </w:pPr>
      <w:r>
        <w:rPr>
          <w:rFonts w:ascii="Times New Roman"/>
          <w:b w:val="false"/>
          <w:i w:val="false"/>
          <w:color w:val="000000"/>
          <w:sz w:val="28"/>
        </w:rPr>
        <w:t>
      В составе КАТУ имеются 5 кампусов (см. рисунок 4.1.1):</w:t>
      </w:r>
    </w:p>
    <w:bookmarkEnd w:id="127"/>
    <w:bookmarkStart w:name="z149"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29"/>
    <w:p>
      <w:pPr>
        <w:spacing w:after="0"/>
        <w:ind w:left="0"/>
        <w:jc w:val="both"/>
      </w:pPr>
      <w:r>
        <w:rPr>
          <w:rFonts w:ascii="Times New Roman"/>
          <w:b w:val="false"/>
          <w:i w:val="false"/>
          <w:color w:val="000000"/>
          <w:sz w:val="28"/>
        </w:rPr>
        <w:t>
      Рисунок 4.1.1 – Существующая кампусная сеть КАТУ</w:t>
      </w:r>
    </w:p>
    <w:bookmarkEnd w:id="129"/>
    <w:bookmarkStart w:name="z151" w:id="130"/>
    <w:p>
      <w:pPr>
        <w:spacing w:after="0"/>
        <w:ind w:left="0"/>
        <w:jc w:val="both"/>
      </w:pPr>
      <w:r>
        <w:rPr>
          <w:rFonts w:ascii="Times New Roman"/>
          <w:b w:val="false"/>
          <w:i w:val="false"/>
          <w:color w:val="000000"/>
          <w:sz w:val="28"/>
        </w:rPr>
        <w:t>
      1) главный кампус (г. Нур-Султан, в квадрате пр. Победы – ул. Алтынсарина – ул. Бейбитшилик – ул. Молдагуловой) – основное размещение инфраструктуры и администрации КАТУ;</w:t>
      </w:r>
    </w:p>
    <w:bookmarkEnd w:id="130"/>
    <w:bookmarkStart w:name="z152" w:id="131"/>
    <w:p>
      <w:pPr>
        <w:spacing w:after="0"/>
        <w:ind w:left="0"/>
        <w:jc w:val="both"/>
      </w:pPr>
      <w:r>
        <w:rPr>
          <w:rFonts w:ascii="Times New Roman"/>
          <w:b w:val="false"/>
          <w:i w:val="false"/>
          <w:color w:val="000000"/>
          <w:sz w:val="28"/>
        </w:rPr>
        <w:t>
      2) кампус "Учхоз" (г. Нур-Султан, пос. Интернациональное) – основное размещение Факультета ветеринарии и технологии животноводства КАТУ;</w:t>
      </w:r>
    </w:p>
    <w:bookmarkEnd w:id="131"/>
    <w:bookmarkStart w:name="z153" w:id="132"/>
    <w:p>
      <w:pPr>
        <w:spacing w:after="0"/>
        <w:ind w:left="0"/>
        <w:jc w:val="both"/>
      </w:pPr>
      <w:r>
        <w:rPr>
          <w:rFonts w:ascii="Times New Roman"/>
          <w:b w:val="false"/>
          <w:i w:val="false"/>
          <w:color w:val="000000"/>
          <w:sz w:val="28"/>
        </w:rPr>
        <w:t>
      3) кампус "Щучинск" (Акмолинская область, Бурабайский район) – действующий кампус, имеющий необходимую инфраструктуру для обучения и научных исследований в области лесного хозяйства;</w:t>
      </w:r>
    </w:p>
    <w:bookmarkEnd w:id="132"/>
    <w:bookmarkStart w:name="z154" w:id="133"/>
    <w:p>
      <w:pPr>
        <w:spacing w:after="0"/>
        <w:ind w:left="0"/>
        <w:jc w:val="both"/>
      </w:pPr>
      <w:r>
        <w:rPr>
          <w:rFonts w:ascii="Times New Roman"/>
          <w:b w:val="false"/>
          <w:i w:val="false"/>
          <w:color w:val="000000"/>
          <w:sz w:val="28"/>
        </w:rPr>
        <w:t>
      4) кампус "Дударай" (Акмолинская область, Коргалжинский район) – кампус, где проводится практическое обучение охотоведению;</w:t>
      </w:r>
    </w:p>
    <w:bookmarkEnd w:id="133"/>
    <w:bookmarkStart w:name="z155" w:id="134"/>
    <w:p>
      <w:pPr>
        <w:spacing w:after="0"/>
        <w:ind w:left="0"/>
        <w:jc w:val="both"/>
      </w:pPr>
      <w:r>
        <w:rPr>
          <w:rFonts w:ascii="Times New Roman"/>
          <w:b w:val="false"/>
          <w:i w:val="false"/>
          <w:color w:val="000000"/>
          <w:sz w:val="28"/>
        </w:rPr>
        <w:t xml:space="preserve">
      5) научно-экспериментальный кампус полевых работ (далее – полевой кампус) – опытное учебное хозяйство площадью 1 152 га на территории Целиноградского района Акмолинской области, в районе поселка Сарыдор сельского округа Кабанбай Батыра, на расстоянии 28 км от кампуса "Учхоз". </w:t>
      </w:r>
    </w:p>
    <w:bookmarkEnd w:id="134"/>
    <w:bookmarkStart w:name="z156" w:id="135"/>
    <w:p>
      <w:pPr>
        <w:spacing w:after="0"/>
        <w:ind w:left="0"/>
        <w:jc w:val="both"/>
      </w:pPr>
      <w:r>
        <w:rPr>
          <w:rFonts w:ascii="Times New Roman"/>
          <w:b w:val="false"/>
          <w:i w:val="false"/>
          <w:color w:val="000000"/>
          <w:sz w:val="28"/>
        </w:rPr>
        <w:t>
      Полевой кампус создан в 2015 году по рекомендации UC Davis</w:t>
      </w:r>
      <w:r>
        <w:rPr>
          <w:rFonts w:ascii="Times New Roman"/>
          <w:b w:val="false"/>
          <w:i w:val="false"/>
          <w:color w:val="000000"/>
          <w:vertAlign w:val="superscript"/>
        </w:rPr>
        <w:t>10</w:t>
      </w:r>
      <w:r>
        <w:rPr>
          <w:rFonts w:ascii="Times New Roman"/>
          <w:b w:val="false"/>
          <w:i w:val="false"/>
          <w:color w:val="000000"/>
          <w:sz w:val="28"/>
        </w:rPr>
        <w:t xml:space="preserve">. Проведено электричество, восстановлена скважина воды, приобретена сельскохозяйственная техника, и введены в оборот 300 га пашни. Из блочно-модульных строений возведены помещения для проживания обучающихся, столовая, кухня, аудитория, офисный и складской модули. Совместно с партнерами из Китая заложены экспериментальный ботанический сад, орошаемый стационар по выращиванию картофеля на площади 40 га с дождевальной системой орошения, полевые стационары по испытанию сортов зарубежной селекции. Все расходы произведены КАТУ за счет собственных средств и ресурсов партнеров. </w:t>
      </w:r>
    </w:p>
    <w:bookmarkEnd w:id="135"/>
    <w:bookmarkStart w:name="z157" w:id="136"/>
    <w:p>
      <w:pPr>
        <w:spacing w:after="0"/>
        <w:ind w:left="0"/>
        <w:jc w:val="both"/>
      </w:pPr>
      <w:r>
        <w:rPr>
          <w:rFonts w:ascii="Times New Roman"/>
          <w:b w:val="false"/>
          <w:i w:val="false"/>
          <w:color w:val="000000"/>
          <w:sz w:val="28"/>
        </w:rPr>
        <w:t>
      Существующая кампусная сеть КАТУ позволяет качественно проводить исследования и подготовку специалистов, и обеспечивает определенные конкурентные преимущества для университета по некоторым направлениям. Однако, не обеспечен охват всех направлений академического профиля и основных сельскохозяйственных зон Целевого региона. Например, в кампусе "Дударай" отсутствуют условия для образовательного процесса, проживания ППС и обучающихся, что ограничивает его использование. Научно-экспериментальный кампус полевых работ расположен в зоне с нетипичными почвами, что ограничивает применимость полученных результатов на практике. Из-за нехватки помещений в кампусе "Щучинск" отсутствует возможность для подготовки специалистов на междисциплинарной основе, с увязкой вопросов лесного хозяйства с науками об окружающей среде, управлением природными ресурсами, и другими сопутствующими областями. Таким образом, для эффективной трансформации КАТУ в исследовательский аграрный университет имеется объективная необходимость в дальнейшем расширении кампусной сети.</w:t>
      </w:r>
    </w:p>
    <w:bookmarkEnd w:id="136"/>
    <w:bookmarkStart w:name="z158" w:id="137"/>
    <w:p>
      <w:pPr>
        <w:spacing w:after="0"/>
        <w:ind w:left="0"/>
        <w:jc w:val="both"/>
      </w:pPr>
      <w:r>
        <w:rPr>
          <w:rFonts w:ascii="Times New Roman"/>
          <w:b w:val="false"/>
          <w:i w:val="false"/>
          <w:color w:val="000000"/>
          <w:sz w:val="28"/>
        </w:rPr>
        <w:t>
      _________________________________</w:t>
      </w:r>
    </w:p>
    <w:bookmarkEnd w:id="137"/>
    <w:bookmarkStart w:name="z159" w:id="13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10</w:t>
      </w:r>
      <w:r>
        <w:rPr>
          <w:rFonts w:ascii="Times New Roman"/>
          <w:b w:val="false"/>
          <w:i w:val="false"/>
          <w:color w:val="000000"/>
          <w:sz w:val="28"/>
        </w:rPr>
        <w:t>Земли существовавшего до переноса столицы в г. Нур-Султан учебного хозяйства КАТУ были изъяты в связи с расширением территории столицы</w:t>
      </w:r>
    </w:p>
    <w:bookmarkEnd w:id="1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60" w:id="139"/>
    <w:p>
      <w:pPr>
        <w:spacing w:after="0"/>
        <w:ind w:left="0"/>
        <w:jc w:val="both"/>
      </w:pPr>
      <w:r>
        <w:rPr>
          <w:rFonts w:ascii="Times New Roman"/>
          <w:b w:val="false"/>
          <w:i w:val="false"/>
          <w:color w:val="000000"/>
          <w:sz w:val="28"/>
        </w:rPr>
        <w:t xml:space="preserve">
      Общий доход КАТУ в 2018 году составил 6 370,8 млн тенге, или вырос в 2,1 раза в сравнении с 2011 годом (см. рисунок 4.1.2). Основную долю в структуре доходов составляет оплата за обучение (75,7%), включая государственные образовательные гранты. Вместе с тем, в связи с существующим регулированием соотношения преподавателей и студентов и низкой стоимостью обучения, увеличение контингента обучающихся не обеспечивает дополнительного финансирования для реализации стратегических инициатив по развитию КАТУ, так как практически полностью расходуется на операционные затраты. В основном, дополнительные доходы направляются на заработную плату работников (61,4% от расходов в 2018 году), модернизацию оборудования и обслуживание инфраструктуры. </w:t>
      </w:r>
    </w:p>
    <w:bookmarkEnd w:id="139"/>
    <w:bookmarkStart w:name="z161"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41"/>
    <w:p>
      <w:pPr>
        <w:spacing w:after="0"/>
        <w:ind w:left="0"/>
        <w:jc w:val="both"/>
      </w:pPr>
      <w:r>
        <w:rPr>
          <w:rFonts w:ascii="Times New Roman"/>
          <w:b w:val="false"/>
          <w:i w:val="false"/>
          <w:color w:val="000000"/>
          <w:sz w:val="28"/>
        </w:rPr>
        <w:t>
      Рисунок 4.1.2 – Доходы и расходы КАТУ</w:t>
      </w:r>
    </w:p>
    <w:bookmarkEnd w:id="141"/>
    <w:bookmarkStart w:name="z163" w:id="142"/>
    <w:p>
      <w:pPr>
        <w:spacing w:after="0"/>
        <w:ind w:left="0"/>
        <w:jc w:val="both"/>
      </w:pPr>
      <w:r>
        <w:rPr>
          <w:rFonts w:ascii="Times New Roman"/>
          <w:b w:val="false"/>
          <w:i w:val="false"/>
          <w:color w:val="000000"/>
          <w:sz w:val="28"/>
        </w:rPr>
        <w:t>
      Инвестиции в сравнении с 2015 годом увеличились в 2,5 раза. Основным источником роста является финансирование из государственных источников, выделяемое нерегулярно и нацеленное на определенные, специализированные цели. Инвестиции из собственных средств, напротив, являются относительно стабильными (36,2% от общего объема инвестиций в 2018 году, 37,0% – в 2017 году), но направлены на поддержание работоспособности имеющихся зданий, машин и оборудования. Реализация долгосрочных, масштабных проектов по модернизации инфраструктуры за счет собственных средств не представляется возможной из-за их дефицита.</w:t>
      </w:r>
    </w:p>
    <w:bookmarkEnd w:id="142"/>
    <w:bookmarkStart w:name="z164" w:id="143"/>
    <w:p>
      <w:pPr>
        <w:spacing w:after="0"/>
        <w:ind w:left="0"/>
        <w:jc w:val="both"/>
      </w:pPr>
      <w:r>
        <w:rPr>
          <w:rFonts w:ascii="Times New Roman"/>
          <w:b w:val="false"/>
          <w:i w:val="false"/>
          <w:color w:val="000000"/>
          <w:sz w:val="28"/>
        </w:rPr>
        <w:t>
      Контингент обучающихся в КАТУ по состоянию на 1 октября 2018 года составлял 11 543 чел., из них на программах магистратуры – 1 159 чел. (10,0%), докторантуры – 71 чел. (0,6%). В сравнении с 2010 – 2011 учебным годом, данный показатель увеличился на 23,8%. Более половины контингента составляют обучающиеся на основе государственного образовательного гранта (см. рисунок 4.1.3).</w:t>
      </w:r>
    </w:p>
    <w:bookmarkEnd w:id="143"/>
    <w:bookmarkStart w:name="z165"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45"/>
    <w:p>
      <w:pPr>
        <w:spacing w:after="0"/>
        <w:ind w:left="0"/>
        <w:jc w:val="both"/>
      </w:pPr>
      <w:r>
        <w:rPr>
          <w:rFonts w:ascii="Times New Roman"/>
          <w:b w:val="false"/>
          <w:i w:val="false"/>
          <w:color w:val="000000"/>
          <w:sz w:val="28"/>
        </w:rPr>
        <w:t>
      Рисунок 4.1.3 – Численность обучающихся в КАТУ</w:t>
      </w:r>
    </w:p>
    <w:bookmarkEnd w:id="145"/>
    <w:bookmarkStart w:name="z167" w:id="146"/>
    <w:p>
      <w:pPr>
        <w:spacing w:after="0"/>
        <w:ind w:left="0"/>
        <w:jc w:val="both"/>
      </w:pPr>
      <w:r>
        <w:rPr>
          <w:rFonts w:ascii="Times New Roman"/>
          <w:b w:val="false"/>
          <w:i w:val="false"/>
          <w:color w:val="000000"/>
          <w:sz w:val="28"/>
        </w:rPr>
        <w:t>
      Размещение увеличивающегося контингента обучающихся производится за счет оптимизации использования имеющихся помещений. Строительство дополнительных зданий и сооружений не представляется возможным по причине отсутствия финансирования, что влечет увеличение нагрузки на инфраструктуру и расходов на ее содержание.</w:t>
      </w:r>
    </w:p>
    <w:bookmarkEnd w:id="146"/>
    <w:bookmarkStart w:name="z168" w:id="147"/>
    <w:p>
      <w:pPr>
        <w:spacing w:after="0"/>
        <w:ind w:left="0"/>
        <w:jc w:val="both"/>
      </w:pPr>
      <w:r>
        <w:rPr>
          <w:rFonts w:ascii="Times New Roman"/>
          <w:b w:val="false"/>
          <w:i w:val="false"/>
          <w:color w:val="000000"/>
          <w:sz w:val="28"/>
        </w:rPr>
        <w:t xml:space="preserve">
      Несмотря на уменьшение доли поступающих на программы бакалавриата, их численность значительно преобладает в сравнении с другими уровнями подготовки (см. рисунок 4.1.4). В целях оптимизации нагрузки на ППС, расширения направлений и углубления научных исследований необходимо кардинально увеличить численность магистрантов и докторантов PhD. К примеру, в UC Davis доля обучающихся по программам послевузовского обучения составляет 15,9% или в 1,5 раза больше, в Университете Вагенингена (Нидерланды, № 1 в мире в области сельского и лесного хозяйства) – 59,2%, в Университете Texas A&amp;M (США, в ТОП-10 исследовательских аграрных университетов мира) – 17,7%. В разрезе направлений подготовки, в 2018 – 2019 учебном году 41,6% обучающихся приходились на технические науки и технологии, 27,1% – на сельскохозяйственные науки и ветеринарию, 13,7% – на социальные науки и бизнес. Наименьшая доля обучающихся приходилась на естественные науки (2,3%) и образование (1,8%). Наибольший рост контингента обучающихся в сравнении с 2011 годом отмечен на ветеринарии (+90,7%), естественных (+44,8%) и сельскохозяйственных науках (+37,7%). В целом, контингент обучающихся увеличился по всем направлениям, за исключением образования (-47,6%), социальных наук и бизнеса (-23,7%). </w:t>
      </w:r>
    </w:p>
    <w:bookmarkEnd w:id="147"/>
    <w:bookmarkStart w:name="z169"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49"/>
    <w:p>
      <w:pPr>
        <w:spacing w:after="0"/>
        <w:ind w:left="0"/>
        <w:jc w:val="both"/>
      </w:pPr>
      <w:r>
        <w:rPr>
          <w:rFonts w:ascii="Times New Roman"/>
          <w:b w:val="false"/>
          <w:i w:val="false"/>
          <w:color w:val="000000"/>
          <w:sz w:val="28"/>
        </w:rPr>
        <w:t>
      Рисунок 4.1.4 – Численность поступающих в КАТУ</w:t>
      </w:r>
    </w:p>
    <w:bookmarkEnd w:id="149"/>
    <w:bookmarkStart w:name="z171" w:id="150"/>
    <w:p>
      <w:pPr>
        <w:spacing w:after="0"/>
        <w:ind w:left="0"/>
        <w:jc w:val="both"/>
      </w:pPr>
      <w:r>
        <w:rPr>
          <w:rFonts w:ascii="Times New Roman"/>
          <w:b w:val="false"/>
          <w:i w:val="false"/>
          <w:color w:val="000000"/>
          <w:sz w:val="28"/>
        </w:rPr>
        <w:t>
      Вместе с тем, 85,1% обучающихся по образовательным программам, связанным с АПК, являются обладателями государственных образовательных грантов. Популярность этих программ среди абитуриентов очень ограничена. К примеру, в 2015 году только 29,4% обучающихся выбрали специальность "Агрономия" мотивированно и осознанно. В случае повторного поступления, 38,8% обучающихся выбрали бы другую специальность, а на их фактический выбор повлияла доступность образовательного гранта и низкий конкурс</w:t>
      </w:r>
      <w:r>
        <w:rPr>
          <w:rFonts w:ascii="Times New Roman"/>
          <w:b w:val="false"/>
          <w:i w:val="false"/>
          <w:color w:val="000000"/>
          <w:vertAlign w:val="superscript"/>
        </w:rPr>
        <w:t>11</w:t>
      </w:r>
      <w:r>
        <w:rPr>
          <w:rFonts w:ascii="Times New Roman"/>
          <w:b w:val="false"/>
          <w:i w:val="false"/>
          <w:color w:val="000000"/>
          <w:sz w:val="28"/>
        </w:rPr>
        <w:t xml:space="preserve">. Таким образом, привлечение КАТУ дополнительных доходов в форме оплаты за обучение возможно только путем увеличения стоимости государственного образовательного гранта. </w:t>
      </w:r>
    </w:p>
    <w:bookmarkEnd w:id="150"/>
    <w:bookmarkStart w:name="z172" w:id="151"/>
    <w:p>
      <w:pPr>
        <w:spacing w:after="0"/>
        <w:ind w:left="0"/>
        <w:jc w:val="both"/>
      </w:pPr>
      <w:r>
        <w:rPr>
          <w:rFonts w:ascii="Times New Roman"/>
          <w:b w:val="false"/>
          <w:i w:val="false"/>
          <w:color w:val="000000"/>
          <w:sz w:val="28"/>
        </w:rPr>
        <w:t>
      В рамках трансформации в исследовательский аграрный университет начато обновление содержания образовательных программ. В 2015, 2016 и 2018 годах совместно с 9 профессорами UC Davis, профессором Университета Арканзаса (University of Arkansas, США), и профессором Университета Штата Вашингтон (Washington State University, США) разработаны 7 новых магистерских программ и дизайн учебно-производственной инфраструктуры для их реализации (см. рисунок 4.1.5). Их внедрение, а также работа над двух дипломными образовательными программами с AgroParisTech, позволили выявить следующие факторы, сдерживающие модернизацию образовательного процесса:</w:t>
      </w:r>
    </w:p>
    <w:bookmarkEnd w:id="151"/>
    <w:bookmarkStart w:name="z173" w:id="152"/>
    <w:p>
      <w:pPr>
        <w:spacing w:after="0"/>
        <w:ind w:left="0"/>
        <w:jc w:val="both"/>
      </w:pPr>
      <w:r>
        <w:rPr>
          <w:rFonts w:ascii="Times New Roman"/>
          <w:b w:val="false"/>
          <w:i w:val="false"/>
          <w:color w:val="000000"/>
          <w:sz w:val="28"/>
        </w:rPr>
        <w:t>
      1) несоответствие инфраструктуры современным требованиям и содержанию образовательных программ, за исключением технологических платформ, создание которых начато в рамках ГПИИР и ГПРАПК и которые специально проектировались под новые условия образовательного процесса;</w:t>
      </w:r>
    </w:p>
    <w:bookmarkEnd w:id="152"/>
    <w:bookmarkStart w:name="z174" w:id="153"/>
    <w:p>
      <w:pPr>
        <w:spacing w:after="0"/>
        <w:ind w:left="0"/>
        <w:jc w:val="both"/>
      </w:pPr>
      <w:r>
        <w:rPr>
          <w:rFonts w:ascii="Times New Roman"/>
          <w:b w:val="false"/>
          <w:i w:val="false"/>
          <w:color w:val="000000"/>
          <w:sz w:val="28"/>
        </w:rPr>
        <w:t>
      2) устаревшая компетенция по многим современным научным и технологическим направлениям, особенно в области естественных наук;</w:t>
      </w:r>
    </w:p>
    <w:bookmarkEnd w:id="153"/>
    <w:bookmarkStart w:name="z175" w:id="154"/>
    <w:p>
      <w:pPr>
        <w:spacing w:after="0"/>
        <w:ind w:left="0"/>
        <w:jc w:val="both"/>
      </w:pPr>
      <w:r>
        <w:rPr>
          <w:rFonts w:ascii="Times New Roman"/>
          <w:b w:val="false"/>
          <w:i w:val="false"/>
          <w:color w:val="000000"/>
          <w:sz w:val="28"/>
        </w:rPr>
        <w:t>
      3) не достаточный уровень владения английским языком и развития англоязычной языковой среды в целом, что ограничивает доступ ППС и обучающихся к передовым знаниям и научным достижениям;</w:t>
      </w:r>
    </w:p>
    <w:bookmarkEnd w:id="154"/>
    <w:bookmarkStart w:name="z176" w:id="155"/>
    <w:p>
      <w:pPr>
        <w:spacing w:after="0"/>
        <w:ind w:left="0"/>
        <w:jc w:val="both"/>
      </w:pPr>
      <w:r>
        <w:rPr>
          <w:rFonts w:ascii="Times New Roman"/>
          <w:b w:val="false"/>
          <w:i w:val="false"/>
          <w:color w:val="000000"/>
          <w:sz w:val="28"/>
        </w:rPr>
        <w:t>
      __________________________________</w:t>
      </w:r>
    </w:p>
    <w:bookmarkEnd w:id="155"/>
    <w:bookmarkStart w:name="z177" w:id="15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11</w:t>
      </w:r>
      <w:r>
        <w:rPr>
          <w:rFonts w:ascii="Times New Roman"/>
          <w:b w:val="false"/>
          <w:i w:val="false"/>
          <w:color w:val="000000"/>
          <w:sz w:val="28"/>
        </w:rPr>
        <w:t>По материалам проекта "Разработка рекомендаций по созданию условий, необходимых для привлечения высококвалифицированных специалистов в сельское хозяйство Казахстана", 2015 – 2017 годы, исполнитель – КАТУ, источник финансирования – грант Министерства образования и науки РК</w:t>
      </w:r>
    </w:p>
    <w:bookmarkEnd w:id="1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8" w:id="157"/>
    <w:p>
      <w:pPr>
        <w:spacing w:after="0"/>
        <w:ind w:left="0"/>
        <w:jc w:val="both"/>
      </w:pPr>
      <w:r>
        <w:rPr>
          <w:rFonts w:ascii="Times New Roman"/>
          <w:b w:val="false"/>
          <w:i w:val="false"/>
          <w:color w:val="000000"/>
          <w:sz w:val="28"/>
        </w:rPr>
        <w:t>
      4) устаревшие методы преподавания, основанные преимущественно на заучивании известных фактов, а не на развитии навыков самостоятельного применения знаний на практике;</w:t>
      </w:r>
    </w:p>
    <w:bookmarkEnd w:id="157"/>
    <w:bookmarkStart w:name="z179" w:id="158"/>
    <w:p>
      <w:pPr>
        <w:spacing w:after="0"/>
        <w:ind w:left="0"/>
        <w:jc w:val="both"/>
      </w:pPr>
      <w:r>
        <w:rPr>
          <w:rFonts w:ascii="Times New Roman"/>
          <w:b w:val="false"/>
          <w:i w:val="false"/>
          <w:color w:val="000000"/>
          <w:sz w:val="28"/>
        </w:rPr>
        <w:t>
      5) традиционно сложившаяся академическая структура по модели "одна кафедра – одна специальность", при которой междисциплинарный подход не применяется, что ограничивает возможности для трудоустройства выпускников.</w:t>
      </w:r>
    </w:p>
    <w:bookmarkEnd w:id="158"/>
    <w:bookmarkStart w:name="z180"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 w:id="160"/>
    <w:p>
      <w:pPr>
        <w:spacing w:after="0"/>
        <w:ind w:left="0"/>
        <w:jc w:val="both"/>
      </w:pPr>
      <w:r>
        <w:rPr>
          <w:rFonts w:ascii="Times New Roman"/>
          <w:b w:val="false"/>
          <w:i w:val="false"/>
          <w:color w:val="000000"/>
          <w:sz w:val="28"/>
        </w:rPr>
        <w:t>
      Рисунок 4.1.5 – Новые программы магистратуры КАТУ, разработанные совместно с университетами-партнерами</w:t>
      </w:r>
    </w:p>
    <w:bookmarkEnd w:id="160"/>
    <w:bookmarkStart w:name="z182" w:id="161"/>
    <w:p>
      <w:pPr>
        <w:spacing w:after="0"/>
        <w:ind w:left="0"/>
        <w:jc w:val="both"/>
      </w:pPr>
      <w:r>
        <w:rPr>
          <w:rFonts w:ascii="Times New Roman"/>
          <w:b w:val="false"/>
          <w:i w:val="false"/>
          <w:color w:val="000000"/>
          <w:sz w:val="28"/>
        </w:rPr>
        <w:t>
      В рамках модернизации образовательного процесса усилена практическая подготовка обучающихся. Практические занятия по 82 дисциплинам перенесены на базу соответствующих организаций по модели дуального обучения, продолжительность производственной практики за весь период обучения увеличена с 3 до 7 месяцев. Начата синхронизация академического календаря с сезонностью полевых сельскохозяйственных работ путем переноса практических занятий в Полевой кампус, а также перенос экспериментальных посевов по научным исследованиям, дипломным работам и диссертациям. Однако, нехватка средств для обеспечения необходимой продолжительности практического обучения и прекращение финансирования разработки новых образовательных программ, существенно тормозят начатую работу и осложняют интеграцию уже разработанных программ в образовательный процесс.</w:t>
      </w:r>
    </w:p>
    <w:bookmarkEnd w:id="161"/>
    <w:bookmarkStart w:name="z183" w:id="162"/>
    <w:p>
      <w:pPr>
        <w:spacing w:after="0"/>
        <w:ind w:left="0"/>
        <w:jc w:val="both"/>
      </w:pPr>
      <w:r>
        <w:rPr>
          <w:rFonts w:ascii="Times New Roman"/>
          <w:b w:val="false"/>
          <w:i w:val="false"/>
          <w:color w:val="000000"/>
          <w:sz w:val="28"/>
        </w:rPr>
        <w:t>
      Численность штатного ППС на 1 июня 2019 года составляла 884 единиц, из них 83 – доктора наук, 60 – PhD и 367 – кандидаты наук. Доля ППС с ученой степенью в сравнении с 2011 годом увеличилась с 53,8% до 60,4%. Существенно выросла численность кандидатов наук и PhD, в том числе с международным опытом (см. рисунок 4.1.6), – 151 преподаватель владеет английским языком (17%), около 100 преподавателей имеют продолжительный международный опыт (участие в международных проектах, обучение или продолжительные стажировки за рубежом). Количество преподавателей с международным опытом в сравнении с 2011 годом увеличилось более чем в 10 раз.</w:t>
      </w:r>
    </w:p>
    <w:bookmarkEnd w:id="162"/>
    <w:bookmarkStart w:name="z184"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 w:id="164"/>
    <w:p>
      <w:pPr>
        <w:spacing w:after="0"/>
        <w:ind w:left="0"/>
        <w:jc w:val="both"/>
      </w:pPr>
      <w:r>
        <w:rPr>
          <w:rFonts w:ascii="Times New Roman"/>
          <w:b w:val="false"/>
          <w:i w:val="false"/>
          <w:color w:val="000000"/>
          <w:sz w:val="28"/>
        </w:rPr>
        <w:t>
      Рисунок 4.1.6 – Динамика численности и качественный состав ППС КАТУ</w:t>
      </w:r>
    </w:p>
    <w:bookmarkEnd w:id="164"/>
    <w:bookmarkStart w:name="z186" w:id="165"/>
    <w:p>
      <w:pPr>
        <w:spacing w:after="0"/>
        <w:ind w:left="0"/>
        <w:jc w:val="both"/>
      </w:pPr>
      <w:r>
        <w:rPr>
          <w:rFonts w:ascii="Times New Roman"/>
          <w:b w:val="false"/>
          <w:i w:val="false"/>
          <w:color w:val="000000"/>
          <w:sz w:val="28"/>
        </w:rPr>
        <w:t>
      В 2013 – 2018 годах зарубежные стажировки прошли 636 преподавателей и ученых КАТУ. Однако только 30 стажировок (4,7%) имели продолжительность более одного месяца, в том числе 16 стажировок – в UC Davis. В то же время, внедрение новых образовательных программ и дисциплин по рекомендациям работодателей и университетов-партнеров, расширение научных исследований и повышение требований к организации образовательного процесса требуют активизации программ повышения квалификации ППС. По рекомендации UC Davis, наиболее эффективной формой являются долгосрочные стажировки (до одного академического периода) или обучение на послевузовских программах в университетах-партнерах КАТУ, по модели которых реформируется образовательный процесс.</w:t>
      </w:r>
    </w:p>
    <w:bookmarkEnd w:id="165"/>
    <w:bookmarkStart w:name="z187" w:id="166"/>
    <w:p>
      <w:pPr>
        <w:spacing w:after="0"/>
        <w:ind w:left="0"/>
        <w:jc w:val="both"/>
      </w:pPr>
      <w:r>
        <w:rPr>
          <w:rFonts w:ascii="Times New Roman"/>
          <w:b w:val="false"/>
          <w:i w:val="false"/>
          <w:color w:val="000000"/>
          <w:sz w:val="28"/>
        </w:rPr>
        <w:t xml:space="preserve">
      С целью привлечения и удержания наиболее квалифицированных преподавателей и ученых, КАТУ стремится регулярно повышать заработную плату ППС (см. рисунок 4.1.7). Однако, в сравнении с 2011 году заработная плата увеличилась на 64,1%, дефицит ресурсов КАТУ не позволяет обеспечить существенного прогресса в данном вопросе. </w:t>
      </w:r>
    </w:p>
    <w:bookmarkEnd w:id="166"/>
    <w:bookmarkStart w:name="z188" w:id="167"/>
    <w:p>
      <w:pPr>
        <w:spacing w:after="0"/>
        <w:ind w:left="0"/>
        <w:jc w:val="both"/>
      </w:pPr>
      <w:r>
        <w:rPr>
          <w:rFonts w:ascii="Times New Roman"/>
          <w:b w:val="false"/>
          <w:i w:val="false"/>
          <w:color w:val="000000"/>
          <w:sz w:val="28"/>
        </w:rPr>
        <w:t>
      Так, в 2018 году размер среднемесячной заработной платы ППС составлял 167,2 тыс. тенге, что меньше среднего уровня заработной платы в Республике Казахстан (176,1 тыс. тенге в месяц), и в 2 раза меньше, чем заработная плата по виду деятельности "Профессиональная, научная и техническая деятельность" (332,5 тыс. тенге в месяц)</w:t>
      </w:r>
      <w:r>
        <w:rPr>
          <w:rFonts w:ascii="Times New Roman"/>
          <w:b w:val="false"/>
          <w:i w:val="false"/>
          <w:color w:val="000000"/>
          <w:vertAlign w:val="superscript"/>
        </w:rPr>
        <w:t>12</w:t>
      </w:r>
      <w:r>
        <w:rPr>
          <w:rFonts w:ascii="Times New Roman"/>
          <w:b w:val="false"/>
          <w:i w:val="false"/>
          <w:color w:val="000000"/>
          <w:sz w:val="28"/>
        </w:rPr>
        <w:t xml:space="preserve">. </w:t>
      </w:r>
    </w:p>
    <w:bookmarkEnd w:id="167"/>
    <w:bookmarkStart w:name="z189" w:id="168"/>
    <w:p>
      <w:pPr>
        <w:spacing w:after="0"/>
        <w:ind w:left="0"/>
        <w:jc w:val="both"/>
      </w:pPr>
      <w:r>
        <w:rPr>
          <w:rFonts w:ascii="Times New Roman"/>
          <w:b w:val="false"/>
          <w:i w:val="false"/>
          <w:color w:val="000000"/>
          <w:sz w:val="28"/>
        </w:rPr>
        <w:t>
      _______________________________</w:t>
      </w:r>
    </w:p>
    <w:bookmarkEnd w:id="168"/>
    <w:bookmarkStart w:name="z190" w:id="16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12</w:t>
      </w:r>
      <w:r>
        <w:rPr>
          <w:rFonts w:ascii="Times New Roman"/>
          <w:b w:val="false"/>
          <w:i w:val="false"/>
          <w:color w:val="000000"/>
          <w:sz w:val="28"/>
        </w:rPr>
        <w:t>https://kursiv.kz/news/ekonomika/2019-01/srednyaya-zarplata-v-kazakhstane-sostavila-176-050-tenge</w:t>
      </w:r>
    </w:p>
    <w:bookmarkEnd w:id="169"/>
    <w:bookmarkStart w:name="z191"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 w:id="171"/>
    <w:p>
      <w:pPr>
        <w:spacing w:after="0"/>
        <w:ind w:left="0"/>
        <w:jc w:val="both"/>
      </w:pPr>
      <w:r>
        <w:rPr>
          <w:rFonts w:ascii="Times New Roman"/>
          <w:b w:val="false"/>
          <w:i w:val="false"/>
          <w:color w:val="000000"/>
          <w:sz w:val="28"/>
        </w:rPr>
        <w:t>
      Рисунок 4.1.7 – Заработная плата ППС КАТУ</w:t>
      </w:r>
    </w:p>
    <w:bookmarkEnd w:id="171"/>
    <w:bookmarkStart w:name="z193" w:id="172"/>
    <w:p>
      <w:pPr>
        <w:spacing w:after="0"/>
        <w:ind w:left="0"/>
        <w:jc w:val="both"/>
      </w:pPr>
      <w:r>
        <w:rPr>
          <w:rFonts w:ascii="Times New Roman"/>
          <w:b w:val="false"/>
          <w:i w:val="false"/>
          <w:color w:val="000000"/>
          <w:sz w:val="28"/>
        </w:rPr>
        <w:t>
      С целью освоения и распространения передовых зарубежных технологий на базе КАТУ в партнерстве с зарубежными партнерами созданы и действуют 5 международных центров компетенции: Казахстанско-Китайский центр науки и образования, Казахстанско-Белорусский центр подготовки и переподготовки инженерных кадров, Центр точного земледелия CLAAS, Центр точного земледелия John Deere, и Центр картофеля XISEN (КНР). За 5 лет на оснащение, совместные научные исследования, стажировки и обучение ППС и обучающихся через международные центры привлечены более 1 млрд тенге.</w:t>
      </w:r>
    </w:p>
    <w:bookmarkEnd w:id="172"/>
    <w:bookmarkStart w:name="z194" w:id="173"/>
    <w:p>
      <w:pPr>
        <w:spacing w:after="0"/>
        <w:ind w:left="0"/>
        <w:jc w:val="both"/>
      </w:pPr>
      <w:r>
        <w:rPr>
          <w:rFonts w:ascii="Times New Roman"/>
          <w:b w:val="false"/>
          <w:i w:val="false"/>
          <w:color w:val="000000"/>
          <w:sz w:val="28"/>
        </w:rPr>
        <w:t xml:space="preserve">
      КАТУ имеет 182 действующих соглашения о сотрудничестве с зарубежными университетами и научно-исследовательскими организациями. Из них 62 (34%) соглашения приходятся на организации из Российской Федерации, 59 (32%) – из Европейского Союза, 11 (6%) – из КНР, 9 (5%) – из США. Численность иностранных студентов является относительно стабильной и в основном обеспечивается за счет межправительственных соглашений о подготовке кадров, а также привлечением обучающихся на казахском или русском языках из соседних государств (см. рисунок 4.1.8). </w:t>
      </w:r>
    </w:p>
    <w:bookmarkEnd w:id="173"/>
    <w:bookmarkStart w:name="z195"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 w:id="175"/>
    <w:p>
      <w:pPr>
        <w:spacing w:after="0"/>
        <w:ind w:left="0"/>
        <w:jc w:val="both"/>
      </w:pPr>
      <w:r>
        <w:rPr>
          <w:rFonts w:ascii="Times New Roman"/>
          <w:b w:val="false"/>
          <w:i w:val="false"/>
          <w:color w:val="000000"/>
          <w:sz w:val="28"/>
        </w:rPr>
        <w:t>
      Рисунок 4.1.8 – Численность иностранных студентов и участников академической мобильности</w:t>
      </w:r>
    </w:p>
    <w:bookmarkEnd w:id="175"/>
    <w:bookmarkStart w:name="z197" w:id="176"/>
    <w:p>
      <w:pPr>
        <w:spacing w:after="0"/>
        <w:ind w:left="0"/>
        <w:jc w:val="both"/>
      </w:pPr>
      <w:r>
        <w:rPr>
          <w:rFonts w:ascii="Times New Roman"/>
          <w:b w:val="false"/>
          <w:i w:val="false"/>
          <w:color w:val="000000"/>
          <w:sz w:val="28"/>
        </w:rPr>
        <w:t>
      Крайне низкой остается численность обучающихся-участников внешней академической мобильности (0,01% от общего контингента в 2018 году).</w:t>
      </w:r>
    </w:p>
    <w:bookmarkEnd w:id="176"/>
    <w:bookmarkStart w:name="z198" w:id="177"/>
    <w:p>
      <w:pPr>
        <w:spacing w:after="0"/>
        <w:ind w:left="0"/>
        <w:jc w:val="both"/>
      </w:pPr>
      <w:r>
        <w:rPr>
          <w:rFonts w:ascii="Times New Roman"/>
          <w:b w:val="false"/>
          <w:i w:val="false"/>
          <w:color w:val="000000"/>
          <w:sz w:val="28"/>
        </w:rPr>
        <w:t>
      Несмотря на увеличение численности кандидатов и улучшение качества их языковой подготовки, отсутствие стабильного финансирования не позволяет реализовывать долгосрочные проекты в данном направлении. К примеру, в 2019 году КАТУ не выделено финансирование на академическую мобильность, хотя имеются договоренности с UC Davis о приеме обучающихся из КАТУ.</w:t>
      </w:r>
    </w:p>
    <w:bookmarkEnd w:id="177"/>
    <w:bookmarkStart w:name="z199" w:id="178"/>
    <w:p>
      <w:pPr>
        <w:spacing w:after="0"/>
        <w:ind w:left="0"/>
        <w:jc w:val="both"/>
      </w:pPr>
      <w:r>
        <w:rPr>
          <w:rFonts w:ascii="Times New Roman"/>
          <w:b w:val="false"/>
          <w:i w:val="false"/>
          <w:color w:val="000000"/>
          <w:sz w:val="28"/>
        </w:rPr>
        <w:t xml:space="preserve">
      Всего за 2011 – 2018 годы в КАТУ преподавали 181 зарубежных профессоров (см. рисунок 4.1.9). </w:t>
      </w:r>
    </w:p>
    <w:bookmarkEnd w:id="178"/>
    <w:bookmarkStart w:name="z200" w:id="179"/>
    <w:p>
      <w:pPr>
        <w:spacing w:after="0"/>
        <w:ind w:left="0"/>
        <w:jc w:val="both"/>
      </w:pPr>
      <w:r>
        <w:rPr>
          <w:rFonts w:ascii="Times New Roman"/>
          <w:b w:val="false"/>
          <w:i w:val="false"/>
          <w:color w:val="000000"/>
          <w:sz w:val="28"/>
        </w:rPr>
        <w:t xml:space="preserve">
      В 2019 году финансирование КАТУ на приглашение зарубежных профессоров прекращено, что негативно повлияло на интенсивность академического сотрудничества с партнерами, в том числе с UC Davis. В целом, нестабильное финансирование не позволяет осуществлять долгосрочное планирование (известные профессора формируют свой график на годы вперед), поэтому потенциал новых образовательных программ полностью не используется, а незначительная численность зарубежных преподавателей не влияет на позиции КАТУ в международных рейтингах университетов. </w:t>
      </w:r>
    </w:p>
    <w:bookmarkEnd w:id="179"/>
    <w:bookmarkStart w:name="z201"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 w:id="181"/>
    <w:p>
      <w:pPr>
        <w:spacing w:after="0"/>
        <w:ind w:left="0"/>
        <w:jc w:val="both"/>
      </w:pPr>
      <w:r>
        <w:rPr>
          <w:rFonts w:ascii="Times New Roman"/>
          <w:b w:val="false"/>
          <w:i w:val="false"/>
          <w:color w:val="000000"/>
          <w:sz w:val="28"/>
        </w:rPr>
        <w:t>
      Рисунок 4.1.9 – Динамика численности и качественный состав ППС КАТУ</w:t>
      </w:r>
    </w:p>
    <w:bookmarkEnd w:id="181"/>
    <w:bookmarkStart w:name="z203" w:id="182"/>
    <w:p>
      <w:pPr>
        <w:spacing w:after="0"/>
        <w:ind w:left="0"/>
        <w:jc w:val="both"/>
      </w:pPr>
      <w:r>
        <w:rPr>
          <w:rFonts w:ascii="Times New Roman"/>
          <w:b w:val="false"/>
          <w:i w:val="false"/>
          <w:color w:val="000000"/>
          <w:sz w:val="28"/>
        </w:rPr>
        <w:t>
      Общая площадь зданий и сооружений, принадлежащих КАТУ, составляет 78 928,1м</w:t>
      </w:r>
      <w:r>
        <w:rPr>
          <w:rFonts w:ascii="Times New Roman"/>
          <w:b w:val="false"/>
          <w:i w:val="false"/>
          <w:color w:val="000000"/>
          <w:vertAlign w:val="superscript"/>
        </w:rPr>
        <w:t>2</w:t>
      </w:r>
      <w:r>
        <w:rPr>
          <w:rFonts w:ascii="Times New Roman"/>
          <w:b w:val="false"/>
          <w:i w:val="false"/>
          <w:color w:val="000000"/>
          <w:sz w:val="28"/>
        </w:rPr>
        <w:t>, в том числе учебно-лабораторного назначения – 9 812,9 м</w:t>
      </w:r>
      <w:r>
        <w:rPr>
          <w:rFonts w:ascii="Times New Roman"/>
          <w:b w:val="false"/>
          <w:i w:val="false"/>
          <w:color w:val="000000"/>
          <w:vertAlign w:val="superscript"/>
        </w:rPr>
        <w:t>2</w:t>
      </w:r>
      <w:r>
        <w:rPr>
          <w:rFonts w:ascii="Times New Roman"/>
          <w:b w:val="false"/>
          <w:i w:val="false"/>
          <w:color w:val="000000"/>
          <w:sz w:val="28"/>
        </w:rPr>
        <w:t>. Из-за дефицита собственных средств, 9 из 26 зданий эксплуатируются без капитального ремонта с даты строительства, 11 зданий – более 10 лет. Требуется расширение библиотеки, имеется дефицит лабораторных и вспомогательных помещений, отсутствуют помещения для реализации новых международных проектов. Значительная часть помещений, в которых размещаются лаборатории, не отвечает современным требованиям и международным стандартам. Кроме того, современные методы подготовки кадров предполагают наличие помещений для коллективной работы студентов, для индивидуальной работы и совещаний, которые не предусмотрены в зданиях, построенных более 40 лет назад.</w:t>
      </w:r>
    </w:p>
    <w:bookmarkEnd w:id="182"/>
    <w:bookmarkStart w:name="z204" w:id="183"/>
    <w:p>
      <w:pPr>
        <w:spacing w:after="0"/>
        <w:ind w:left="0"/>
        <w:jc w:val="both"/>
      </w:pPr>
      <w:r>
        <w:rPr>
          <w:rFonts w:ascii="Times New Roman"/>
          <w:b w:val="false"/>
          <w:i w:val="false"/>
          <w:color w:val="000000"/>
          <w:sz w:val="28"/>
        </w:rPr>
        <w:t>
      В результате участия КАТУ в ГПИИР и ГПАПК частично обновлено научно-исследовательское, учебное и вспомогательное оборудование. В рамках ГПИИР, на основе рекомендаций профессоров из UC Davisначато создание 4 технологических платформ (далее – ТП, см. раздел 8.2.2.):</w:t>
      </w:r>
    </w:p>
    <w:bookmarkEnd w:id="183"/>
    <w:bookmarkStart w:name="z205" w:id="184"/>
    <w:p>
      <w:pPr>
        <w:spacing w:after="0"/>
        <w:ind w:left="0"/>
        <w:jc w:val="both"/>
      </w:pPr>
      <w:r>
        <w:rPr>
          <w:rFonts w:ascii="Times New Roman"/>
          <w:b w:val="false"/>
          <w:i w:val="false"/>
          <w:color w:val="000000"/>
          <w:sz w:val="28"/>
        </w:rPr>
        <w:t>
      1) ТП "Агроинженерия", в составе:</w:t>
      </w:r>
    </w:p>
    <w:bookmarkEnd w:id="184"/>
    <w:bookmarkStart w:name="z206"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540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конструкторского бюро;</w:t>
      </w:r>
      <w:r>
        <w:br/>
      </w:r>
      <w:r>
        <w:rPr>
          <w:rFonts w:ascii="Times New Roman"/>
          <w:b w:val="false"/>
          <w:i w:val="false"/>
          <w:color w:val="000000"/>
          <w:sz w:val="28"/>
        </w:rPr>
        <w:t>
</w:t>
      </w:r>
    </w:p>
    <w:bookmarkStart w:name="z207"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540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производственно-экспериментального цеха металлообработки и сварки;</w:t>
      </w:r>
      <w:r>
        <w:br/>
      </w:r>
      <w:r>
        <w:rPr>
          <w:rFonts w:ascii="Times New Roman"/>
          <w:b w:val="false"/>
          <w:i w:val="false"/>
          <w:color w:val="000000"/>
          <w:sz w:val="28"/>
        </w:rPr>
        <w:t>
</w:t>
      </w:r>
    </w:p>
    <w:bookmarkStart w:name="z208"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540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лаборатории "Эксплуатация сельскохозяйственных машин и оборудования";</w:t>
      </w:r>
      <w:r>
        <w:br/>
      </w:r>
      <w:r>
        <w:rPr>
          <w:rFonts w:ascii="Times New Roman"/>
          <w:b w:val="false"/>
          <w:i w:val="false"/>
          <w:color w:val="000000"/>
          <w:sz w:val="28"/>
        </w:rPr>
        <w:t>
</w:t>
      </w:r>
    </w:p>
    <w:bookmarkStart w:name="z209"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540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лаборатории "Прикладная робототехника";</w:t>
      </w:r>
      <w:r>
        <w:br/>
      </w:r>
      <w:r>
        <w:rPr>
          <w:rFonts w:ascii="Times New Roman"/>
          <w:b w:val="false"/>
          <w:i w:val="false"/>
          <w:color w:val="000000"/>
          <w:sz w:val="28"/>
        </w:rPr>
        <w:t>
</w:t>
      </w:r>
    </w:p>
    <w:bookmarkStart w:name="z210" w:id="189"/>
    <w:p>
      <w:pPr>
        <w:spacing w:after="0"/>
        <w:ind w:left="0"/>
        <w:jc w:val="both"/>
      </w:pPr>
      <w:r>
        <w:rPr>
          <w:rFonts w:ascii="Times New Roman"/>
          <w:b w:val="false"/>
          <w:i w:val="false"/>
          <w:color w:val="000000"/>
          <w:sz w:val="28"/>
        </w:rPr>
        <w:t>
      2) ТП "Переработка сельскохозяйственной продукции", в составе:</w:t>
      </w:r>
    </w:p>
    <w:bookmarkEnd w:id="189"/>
    <w:bookmarkStart w:name="z211"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540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лаборатории "Биохимия";</w:t>
      </w:r>
      <w:r>
        <w:br/>
      </w:r>
      <w:r>
        <w:rPr>
          <w:rFonts w:ascii="Times New Roman"/>
          <w:b w:val="false"/>
          <w:i w:val="false"/>
          <w:color w:val="000000"/>
          <w:sz w:val="28"/>
        </w:rPr>
        <w:t>
</w:t>
      </w:r>
    </w:p>
    <w:bookmarkStart w:name="z212"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540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производственно-экспериментальных цехов переработки мяса, молока и производства растительного масла;</w:t>
      </w:r>
      <w:r>
        <w:br/>
      </w:r>
      <w:r>
        <w:rPr>
          <w:rFonts w:ascii="Times New Roman"/>
          <w:b w:val="false"/>
          <w:i w:val="false"/>
          <w:color w:val="000000"/>
          <w:sz w:val="28"/>
        </w:rPr>
        <w:t>
</w:t>
      </w:r>
    </w:p>
    <w:bookmarkStart w:name="z213"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540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учебной мини-пекарни;</w:t>
      </w:r>
      <w:r>
        <w:br/>
      </w:r>
      <w:r>
        <w:rPr>
          <w:rFonts w:ascii="Times New Roman"/>
          <w:b w:val="false"/>
          <w:i w:val="false"/>
          <w:color w:val="000000"/>
          <w:sz w:val="28"/>
        </w:rPr>
        <w:t>
</w:t>
      </w:r>
    </w:p>
    <w:bookmarkStart w:name="z214" w:id="193"/>
    <w:p>
      <w:pPr>
        <w:spacing w:after="0"/>
        <w:ind w:left="0"/>
        <w:jc w:val="both"/>
      </w:pPr>
      <w:r>
        <w:rPr>
          <w:rFonts w:ascii="Times New Roman"/>
          <w:b w:val="false"/>
          <w:i w:val="false"/>
          <w:color w:val="000000"/>
          <w:sz w:val="28"/>
        </w:rPr>
        <w:t>
      3) ТП "Производство продукции растениеводства", в составе:</w:t>
      </w:r>
    </w:p>
    <w:bookmarkEnd w:id="193"/>
    <w:bookmarkStart w:name="z215"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540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вегетария;</w:t>
      </w:r>
      <w:r>
        <w:br/>
      </w:r>
      <w:r>
        <w:rPr>
          <w:rFonts w:ascii="Times New Roman"/>
          <w:b w:val="false"/>
          <w:i w:val="false"/>
          <w:color w:val="000000"/>
          <w:sz w:val="28"/>
        </w:rPr>
        <w:t>
</w:t>
      </w:r>
    </w:p>
    <w:bookmarkStart w:name="z216"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540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лаборатории "Агроэкологические исследования";</w:t>
      </w:r>
      <w:r>
        <w:br/>
      </w:r>
      <w:r>
        <w:rPr>
          <w:rFonts w:ascii="Times New Roman"/>
          <w:b w:val="false"/>
          <w:i w:val="false"/>
          <w:color w:val="000000"/>
          <w:sz w:val="28"/>
        </w:rPr>
        <w:t>
</w:t>
      </w:r>
    </w:p>
    <w:bookmarkStart w:name="z217"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540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полевых стационаров по земледелию;</w:t>
      </w:r>
      <w:r>
        <w:br/>
      </w:r>
      <w:r>
        <w:rPr>
          <w:rFonts w:ascii="Times New Roman"/>
          <w:b w:val="false"/>
          <w:i w:val="false"/>
          <w:color w:val="000000"/>
          <w:sz w:val="28"/>
        </w:rPr>
        <w:t>
</w:t>
      </w:r>
    </w:p>
    <w:bookmarkStart w:name="z218"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540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лаборатории "Почвенные исследования";</w:t>
      </w:r>
      <w:r>
        <w:br/>
      </w:r>
      <w:r>
        <w:rPr>
          <w:rFonts w:ascii="Times New Roman"/>
          <w:b w:val="false"/>
          <w:i w:val="false"/>
          <w:color w:val="000000"/>
          <w:sz w:val="28"/>
        </w:rPr>
        <w:t>
</w:t>
      </w:r>
    </w:p>
    <w:bookmarkStart w:name="z219" w:id="198"/>
    <w:p>
      <w:pPr>
        <w:spacing w:after="0"/>
        <w:ind w:left="0"/>
        <w:jc w:val="both"/>
      </w:pPr>
      <w:r>
        <w:rPr>
          <w:rFonts w:ascii="Times New Roman"/>
          <w:b w:val="false"/>
          <w:i w:val="false"/>
          <w:color w:val="000000"/>
          <w:sz w:val="28"/>
        </w:rPr>
        <w:t>
      4) ТП "Производство продукции животноводства", в составе:</w:t>
      </w:r>
    </w:p>
    <w:bookmarkEnd w:id="198"/>
    <w:bookmarkStart w:name="z220"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540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центра аквакультуры и рыбного хозяйства;</w:t>
      </w:r>
      <w:r>
        <w:br/>
      </w:r>
      <w:r>
        <w:rPr>
          <w:rFonts w:ascii="Times New Roman"/>
          <w:b w:val="false"/>
          <w:i w:val="false"/>
          <w:color w:val="000000"/>
          <w:sz w:val="28"/>
        </w:rPr>
        <w:t>
</w:t>
      </w:r>
    </w:p>
    <w:bookmarkStart w:name="z221"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540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лаборатории качества кормов, молока и мяса;</w:t>
      </w:r>
      <w:r>
        <w:br/>
      </w:r>
      <w:r>
        <w:rPr>
          <w:rFonts w:ascii="Times New Roman"/>
          <w:b w:val="false"/>
          <w:i w:val="false"/>
          <w:color w:val="000000"/>
          <w:sz w:val="28"/>
        </w:rPr>
        <w:t>
</w:t>
      </w:r>
    </w:p>
    <w:bookmarkStart w:name="z222"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540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учебно-экспериментальной мини-фермы;</w:t>
      </w:r>
      <w:r>
        <w:br/>
      </w:r>
      <w:r>
        <w:rPr>
          <w:rFonts w:ascii="Times New Roman"/>
          <w:b w:val="false"/>
          <w:i w:val="false"/>
          <w:color w:val="000000"/>
          <w:sz w:val="28"/>
        </w:rPr>
        <w:t>
</w:t>
      </w:r>
    </w:p>
    <w:bookmarkStart w:name="z223"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540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лаборатории "Птицеводство".</w:t>
      </w:r>
      <w:r>
        <w:br/>
      </w:r>
      <w:r>
        <w:rPr>
          <w:rFonts w:ascii="Times New Roman"/>
          <w:b w:val="false"/>
          <w:i w:val="false"/>
          <w:color w:val="000000"/>
          <w:sz w:val="28"/>
        </w:rPr>
        <w:t>
</w:t>
      </w:r>
    </w:p>
    <w:bookmarkStart w:name="z224" w:id="203"/>
    <w:p>
      <w:pPr>
        <w:spacing w:after="0"/>
        <w:ind w:left="0"/>
        <w:jc w:val="both"/>
      </w:pPr>
      <w:r>
        <w:rPr>
          <w:rFonts w:ascii="Times New Roman"/>
          <w:b w:val="false"/>
          <w:i w:val="false"/>
          <w:color w:val="000000"/>
          <w:sz w:val="28"/>
        </w:rPr>
        <w:t xml:space="preserve">
      Действует Научно-исследовательская платформа сельскохозяйственной биотехнологии (2016 год, оснащена из собственных средств) в составе лабораторий иммунохимии, молекулярной биологии, биотехнологии растений и микробиологии. На основе разработанного в 2018 году финансово-экономического обоснования, на базе Центра ГИС-технологий создан Центр технологической компетенции в области цифровизации АПК, с обустройством полигонов в области точного земледелия и технологий SmartAgriculture. Основная полевая инфраструктура размещена на базе ТОО "Северо-Казахстанская сельскохозяйственная опытная станция". </w:t>
      </w:r>
    </w:p>
    <w:bookmarkEnd w:id="203"/>
    <w:bookmarkStart w:name="z225" w:id="204"/>
    <w:p>
      <w:pPr>
        <w:spacing w:after="0"/>
        <w:ind w:left="0"/>
        <w:jc w:val="both"/>
      </w:pPr>
      <w:r>
        <w:rPr>
          <w:rFonts w:ascii="Times New Roman"/>
          <w:b w:val="false"/>
          <w:i w:val="false"/>
          <w:color w:val="000000"/>
          <w:sz w:val="28"/>
        </w:rPr>
        <w:t xml:space="preserve">
      Благодаря созданию ТП и инвестициям за счет собственных средств, в 2018 году средний износ оборудования составлял 17,6% и сократился в 3,6 раза в сравнении с 2011 годом. За счет собственных средств КАТУ обновлены служебные автомобили и автобусы, сельскохозяйственная техника, компьютеры. Высокая степень обеспечения лабораторной базой биологических дисциплин, дисциплин в области растениеводства, животноводства, сельскохозяйственной инженерии и переработки сельскохозяйственной продукции. Вместе с тем, по рекомендации AgroParisTech и других университетов-партнеров КАТУ, требуется завершить строительство Учебно-научного животноводческого комплекса на базе полевого кампуса, также расширить инфраструктуру в области естественных наук, защиты растений, компьютерных технологий, пищевой безопасности и ветеринарии. </w:t>
      </w:r>
    </w:p>
    <w:bookmarkEnd w:id="204"/>
    <w:bookmarkStart w:name="z226" w:id="205"/>
    <w:p>
      <w:pPr>
        <w:spacing w:after="0"/>
        <w:ind w:left="0"/>
        <w:jc w:val="both"/>
      </w:pPr>
      <w:r>
        <w:rPr>
          <w:rFonts w:ascii="Times New Roman"/>
          <w:b w:val="false"/>
          <w:i w:val="false"/>
          <w:color w:val="000000"/>
          <w:sz w:val="28"/>
        </w:rPr>
        <w:t>
      В целом, несмотря на наличие проблемных вопросов, в результате начатой трансформации в исследовательский аграрный университет достигнут значительный процесс во всех направлениях деятельности КАТУ и университет считается одним из наиболее динамично развивающихся в системе высшего образования Казахстана. Трудоустройство выпускников увеличилось с 42% в 2011 году до 84% в 2018 году. Значительно увеличилась численность студентов из других вузов Казахстана, желающих обучаться в КАТУ по программе академической мобильности, что свидетельствует об улучшении академической репутации КАТУ (см. рисунок 4.1.10).</w:t>
      </w:r>
    </w:p>
    <w:bookmarkEnd w:id="205"/>
    <w:bookmarkStart w:name="z227"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 w:id="207"/>
    <w:p>
      <w:pPr>
        <w:spacing w:after="0"/>
        <w:ind w:left="0"/>
        <w:jc w:val="both"/>
      </w:pPr>
      <w:r>
        <w:rPr>
          <w:rFonts w:ascii="Times New Roman"/>
          <w:b w:val="false"/>
          <w:i w:val="false"/>
          <w:color w:val="000000"/>
          <w:sz w:val="28"/>
        </w:rPr>
        <w:t>
      Рисунок 4.1.10 – Внутренняя академическая мобильность обучающихся в КАТУ</w:t>
      </w:r>
    </w:p>
    <w:bookmarkEnd w:id="207"/>
    <w:p>
      <w:pPr>
        <w:spacing w:after="0"/>
        <w:ind w:left="0"/>
        <w:jc w:val="both"/>
      </w:pPr>
      <w:r>
        <w:rPr>
          <w:rFonts w:ascii="Times New Roman"/>
          <w:b/>
          <w:i w:val="false"/>
          <w:color w:val="000000"/>
          <w:sz w:val="28"/>
        </w:rPr>
        <w:t>4.2. Оценка инновационного потенциала КАТУ</w:t>
      </w:r>
    </w:p>
    <w:bookmarkStart w:name="z230" w:id="208"/>
    <w:p>
      <w:pPr>
        <w:spacing w:after="0"/>
        <w:ind w:left="0"/>
        <w:jc w:val="both"/>
      </w:pPr>
      <w:r>
        <w:rPr>
          <w:rFonts w:ascii="Times New Roman"/>
          <w:b w:val="false"/>
          <w:i w:val="false"/>
          <w:color w:val="000000"/>
          <w:sz w:val="28"/>
        </w:rPr>
        <w:t xml:space="preserve">
      Изначально КАТУ создавался с целью подготовки кадров, поэтому научные исследования не получили в университете широкого распространения. Поэтому, с началом трансформации в исследовательский аграрный университет акцент был сделан на расширение спектра и объема научных исследований как основы инновационного потенциала. </w:t>
      </w:r>
    </w:p>
    <w:bookmarkEnd w:id="208"/>
    <w:bookmarkStart w:name="z231" w:id="209"/>
    <w:p>
      <w:pPr>
        <w:spacing w:after="0"/>
        <w:ind w:left="0"/>
        <w:jc w:val="both"/>
      </w:pPr>
      <w:r>
        <w:rPr>
          <w:rFonts w:ascii="Times New Roman"/>
          <w:b w:val="false"/>
          <w:i w:val="false"/>
          <w:color w:val="000000"/>
          <w:sz w:val="28"/>
        </w:rPr>
        <w:t xml:space="preserve">
      В результате планомерной работы по привлечению внешнего финансирования науки и вовлечению ППС в научные исследования, в 2018 году финансирование научных исследований увеличилось в 12 раз в сравнении с 2011 годом и в 2 раза в сравнении с 2015 годом (см. рисунок 4.2.1). Доля доходов от научных исследований в совокупном доходе КАТУ составила 17,2%, что является наивысшим показателем за всю историю КАТУ. </w:t>
      </w:r>
    </w:p>
    <w:bookmarkEnd w:id="209"/>
    <w:bookmarkStart w:name="z232" w:id="210"/>
    <w:p>
      <w:pPr>
        <w:spacing w:after="0"/>
        <w:ind w:left="0"/>
        <w:jc w:val="both"/>
      </w:pPr>
      <w:r>
        <w:rPr>
          <w:rFonts w:ascii="Times New Roman"/>
          <w:b w:val="false"/>
          <w:i w:val="false"/>
          <w:color w:val="000000"/>
          <w:sz w:val="28"/>
        </w:rPr>
        <w:t>
      Вместе с тем, в 13,7 раза увеличился заказ на услуги и продукцию научно-технического характера из негосударственных источников – с 12,5 млн тенге до 171,3 млн тенге (см. рисунок 4.2.2).</w:t>
      </w:r>
    </w:p>
    <w:bookmarkEnd w:id="210"/>
    <w:bookmarkStart w:name="z233"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212"/>
    <w:p>
      <w:pPr>
        <w:spacing w:after="0"/>
        <w:ind w:left="0"/>
        <w:jc w:val="both"/>
      </w:pPr>
      <w:r>
        <w:rPr>
          <w:rFonts w:ascii="Times New Roman"/>
          <w:b w:val="false"/>
          <w:i w:val="false"/>
          <w:color w:val="000000"/>
          <w:sz w:val="28"/>
        </w:rPr>
        <w:t>
      Рисунок 4.2.1 – Финансирование научных исследований в КАТУ</w:t>
      </w:r>
    </w:p>
    <w:bookmarkEnd w:id="212"/>
    <w:bookmarkStart w:name="z235"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214"/>
    <w:p>
      <w:pPr>
        <w:spacing w:after="0"/>
        <w:ind w:left="0"/>
        <w:jc w:val="both"/>
      </w:pPr>
      <w:r>
        <w:rPr>
          <w:rFonts w:ascii="Times New Roman"/>
          <w:b w:val="false"/>
          <w:i w:val="false"/>
          <w:color w:val="000000"/>
          <w:sz w:val="28"/>
        </w:rPr>
        <w:t>
      Рисунок 4.2.2 – Финансирование исследований и внедрения научных результатов из негосударственных источников</w:t>
      </w:r>
    </w:p>
    <w:bookmarkEnd w:id="214"/>
    <w:bookmarkStart w:name="z237" w:id="215"/>
    <w:p>
      <w:pPr>
        <w:spacing w:after="0"/>
        <w:ind w:left="0"/>
        <w:jc w:val="both"/>
      </w:pPr>
      <w:r>
        <w:rPr>
          <w:rFonts w:ascii="Times New Roman"/>
          <w:b w:val="false"/>
          <w:i w:val="false"/>
          <w:color w:val="000000"/>
          <w:sz w:val="28"/>
        </w:rPr>
        <w:t>
      Помимо расширения сотрудничества с потребителями научных результатов КАТУ, рост обусловлен повышением конкурентоспособности инновационного потенциала КАТУ и его переориентацией на актуальные потребности реального сектора экономики (в первую очередь АПК).</w:t>
      </w:r>
    </w:p>
    <w:bookmarkEnd w:id="215"/>
    <w:bookmarkStart w:name="z238" w:id="216"/>
    <w:p>
      <w:pPr>
        <w:spacing w:after="0"/>
        <w:ind w:left="0"/>
        <w:jc w:val="both"/>
      </w:pPr>
      <w:r>
        <w:rPr>
          <w:rFonts w:ascii="Times New Roman"/>
          <w:b w:val="false"/>
          <w:i w:val="false"/>
          <w:color w:val="000000"/>
          <w:sz w:val="28"/>
        </w:rPr>
        <w:t>
      В 2018 году в финансируемых научных исследованиях участвовали 315 единиц ППС (35,6%, в 3 раза больше, чем в 2011 году), 51 студентов (0,5%), 66 магистрантов (5,7%) и 69 докторантов PhD (97,2%). Ненулевой индекс Хирша имеют 237 человек (27,9% от общей численности ППС). Вместе с тем, не все направления академического профиля КАТУ в равной мере вовлечены в научные исследования. Существенной активизации требуют исследования в области биоинформатики, генетики сельскохозяйственных животных, защиты растений, переработки и хранения сельскохозяйственной продукции, развития сельских территорий, энергообеспечения сельского хозяйства, экологии и управления природными ресурсами, и ряда других направлений.</w:t>
      </w:r>
    </w:p>
    <w:bookmarkEnd w:id="216"/>
    <w:bookmarkStart w:name="z239" w:id="217"/>
    <w:p>
      <w:pPr>
        <w:spacing w:after="0"/>
        <w:ind w:left="0"/>
        <w:jc w:val="both"/>
      </w:pPr>
      <w:r>
        <w:rPr>
          <w:rFonts w:ascii="Times New Roman"/>
          <w:b w:val="false"/>
          <w:i w:val="false"/>
          <w:color w:val="000000"/>
          <w:sz w:val="28"/>
        </w:rPr>
        <w:t xml:space="preserve">
      Начат ряд международных проектов, в которых участвуют более 20 зарубежных ученых. К примеру, совместно с учеными из Австралии реализуется научно-техническая программа "Применение достижений молекулярной генетики для создания новых высокопродуктивных селекционных линий мягкой пшеницы, ячменя и нута, адаптированных к климатическим условиям Северного и Центрального Казахстана", целью которой является создание засухоустойчивых сортов с принципиально новыми генотипами, полученными с применением передовых биотехнологий. </w:t>
      </w:r>
    </w:p>
    <w:bookmarkEnd w:id="217"/>
    <w:bookmarkStart w:name="z240" w:id="218"/>
    <w:p>
      <w:pPr>
        <w:spacing w:after="0"/>
        <w:ind w:left="0"/>
        <w:jc w:val="both"/>
      </w:pPr>
      <w:r>
        <w:rPr>
          <w:rFonts w:ascii="Times New Roman"/>
          <w:b w:val="false"/>
          <w:i w:val="false"/>
          <w:color w:val="000000"/>
          <w:sz w:val="28"/>
        </w:rPr>
        <w:t>
      За счет финансирования из-за рубежа реализуются 3 научных проектов. К примеру, в рамках гранта Китайской Академии наук, совместно с Синцзянским Институтом экологии и географии реализуется проект "Парк дружбы", нацеленный на интродукцию в Казахстане стрессоустойчивых древесных и кустарниковых культур для декоративного озеленения населенных пунктов и других хозяйственных целей.</w:t>
      </w:r>
    </w:p>
    <w:bookmarkEnd w:id="218"/>
    <w:bookmarkStart w:name="z241" w:id="219"/>
    <w:p>
      <w:pPr>
        <w:spacing w:after="0"/>
        <w:ind w:left="0"/>
        <w:jc w:val="both"/>
      </w:pPr>
      <w:r>
        <w:rPr>
          <w:rFonts w:ascii="Times New Roman"/>
          <w:b w:val="false"/>
          <w:i w:val="false"/>
          <w:color w:val="000000"/>
          <w:sz w:val="28"/>
        </w:rPr>
        <w:t>
      С целью поддержки научных исследований полностью модернизирована библиотека и регулярно обновляется библиотечный фонд. Книжный фонд библиотеки составляет 790 441 экземпляров. Для поддержки новых магистерских программ приобретены 40 наименований современной учебной литературы, применяемой в UC Davis. Обеспечен доступ ППС и обучающихся к 29 электронным ресурсам, из которых 21 – на английском языке, а 11 ресурсов являются лицензионными. Всего указанные электронные ресурсы содержат более 370 тыс. источников, из которых 58% – на английском языке. Для доступа к электронным ресурсам читальный зал оборудован 50 компьютерами, подключенными к интернету и базе данных нормативных правовых актов Республики Казахстан "Параграф".</w:t>
      </w:r>
    </w:p>
    <w:bookmarkEnd w:id="219"/>
    <w:bookmarkStart w:name="z242" w:id="220"/>
    <w:p>
      <w:pPr>
        <w:spacing w:after="0"/>
        <w:ind w:left="0"/>
        <w:jc w:val="both"/>
      </w:pPr>
      <w:r>
        <w:rPr>
          <w:rFonts w:ascii="Times New Roman"/>
          <w:b w:val="false"/>
          <w:i w:val="false"/>
          <w:color w:val="000000"/>
          <w:sz w:val="28"/>
        </w:rPr>
        <w:t>
      Предпринятые меры по активизации научных исследований позволили повысить качество научных результатов. В изданиях наукометрических баз Web of Science и Scopus в 2018 году опубликованы 144 публикации (см. рисунок 4.2.3), когда как в 2011 году такие публикации не имелись. За 2015 – 2018 годы 14 статей опубликованы в изданиях с квартилем Q1 базы WebofScience, 35 публикаций – в изданиях с процентилем 50-100 базы Scopus, что соответствует наиболее престижным и авторитетным изданиям в соответствующих областях знаний. Данная динамика позволила КАТУ войти в 10 наиболее результативных научных организаций Казахстана по качеству публикаций, опередив большинство научно-исследовательских институтов.</w:t>
      </w:r>
    </w:p>
    <w:bookmarkEnd w:id="220"/>
    <w:bookmarkStart w:name="z243"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222"/>
    <w:p>
      <w:pPr>
        <w:spacing w:after="0"/>
        <w:ind w:left="0"/>
        <w:jc w:val="both"/>
      </w:pPr>
      <w:r>
        <w:rPr>
          <w:rFonts w:ascii="Times New Roman"/>
          <w:b w:val="false"/>
          <w:i w:val="false"/>
          <w:color w:val="000000"/>
          <w:sz w:val="28"/>
        </w:rPr>
        <w:t>
      Рисунок 4.2.3 – Научные публикации КАТУ</w:t>
      </w:r>
    </w:p>
    <w:bookmarkEnd w:id="222"/>
    <w:bookmarkStart w:name="z245" w:id="223"/>
    <w:p>
      <w:pPr>
        <w:spacing w:after="0"/>
        <w:ind w:left="0"/>
        <w:jc w:val="both"/>
      </w:pPr>
      <w:r>
        <w:rPr>
          <w:rFonts w:ascii="Times New Roman"/>
          <w:b w:val="false"/>
          <w:i w:val="false"/>
          <w:color w:val="000000"/>
          <w:sz w:val="28"/>
        </w:rPr>
        <w:t>
      С другой стороны, расширение научных исследований позволило активизировать деятельность по внедрению научных результатов в практику. По примеру "land-grant" университетов США и исследовательских аграрных университетов других стран с развитым сельским хозяйством, в 2017 году на базе КАТУ образован Офис распространения знаний "Extension – KATU". Основными направлениями его деятельности являются:</w:t>
      </w:r>
    </w:p>
    <w:bookmarkEnd w:id="223"/>
    <w:bookmarkStart w:name="z246" w:id="224"/>
    <w:p>
      <w:pPr>
        <w:spacing w:after="0"/>
        <w:ind w:left="0"/>
        <w:jc w:val="both"/>
      </w:pPr>
      <w:r>
        <w:rPr>
          <w:rFonts w:ascii="Times New Roman"/>
          <w:b w:val="false"/>
          <w:i w:val="false"/>
          <w:color w:val="000000"/>
          <w:sz w:val="28"/>
        </w:rPr>
        <w:t>
      1) распространение информации технологического характера через информационные системы, средства массовой информации, прямую рассылку, и иные каналы;</w:t>
      </w:r>
    </w:p>
    <w:bookmarkEnd w:id="224"/>
    <w:bookmarkStart w:name="z247" w:id="225"/>
    <w:p>
      <w:pPr>
        <w:spacing w:after="0"/>
        <w:ind w:left="0"/>
        <w:jc w:val="both"/>
      </w:pPr>
      <w:r>
        <w:rPr>
          <w:rFonts w:ascii="Times New Roman"/>
          <w:b w:val="false"/>
          <w:i w:val="false"/>
          <w:color w:val="000000"/>
          <w:sz w:val="28"/>
        </w:rPr>
        <w:t>
      2) краткосрочные обучающие семинары с демонстрацией практики применения инноваций и обучением их использованию в производстве;</w:t>
      </w:r>
    </w:p>
    <w:bookmarkEnd w:id="225"/>
    <w:bookmarkStart w:name="z248" w:id="226"/>
    <w:p>
      <w:pPr>
        <w:spacing w:after="0"/>
        <w:ind w:left="0"/>
        <w:jc w:val="both"/>
      </w:pPr>
      <w:r>
        <w:rPr>
          <w:rFonts w:ascii="Times New Roman"/>
          <w:b w:val="false"/>
          <w:i w:val="false"/>
          <w:color w:val="000000"/>
          <w:sz w:val="28"/>
        </w:rPr>
        <w:t>
      3) прямое консультирование субъектов АПК путем выезда в хозяйства, на предприятия.</w:t>
      </w:r>
    </w:p>
    <w:bookmarkEnd w:id="226"/>
    <w:bookmarkStart w:name="z249" w:id="227"/>
    <w:p>
      <w:pPr>
        <w:spacing w:after="0"/>
        <w:ind w:left="0"/>
        <w:jc w:val="both"/>
      </w:pPr>
      <w:r>
        <w:rPr>
          <w:rFonts w:ascii="Times New Roman"/>
          <w:b w:val="false"/>
          <w:i w:val="false"/>
          <w:color w:val="000000"/>
          <w:sz w:val="28"/>
        </w:rPr>
        <w:t>
      В 2016 – 2017 годах, за счет грантов Программы развития ООН (UNDP) запущены программы по распространению знаний в сфере управления тепличным хозяйством, рыбного хозяйства и аквакультуры. В 2017 году проведены курсы повышения квалификации для акимов сельских округов по вопросам сельскохозяйственной кооперации. В 2018 году совместно с профессорами из UC Davis и Университета Штата Вашингтон (Washington State University, США) разработана программа повышения квалификации работников АПК по точному земледелию, запущен специальный раздел на сайте КАТУ и дистанционное консультирование на базе приложения WhatsApp. Всего, начиная с 2016 года, проведены 28 семинаров по 5 направлениям, на которых завершили обучение 757 слушателей. Из них 3 семинара проведены за счет самих слушателей.</w:t>
      </w:r>
    </w:p>
    <w:bookmarkEnd w:id="227"/>
    <w:bookmarkStart w:name="z250" w:id="228"/>
    <w:p>
      <w:pPr>
        <w:spacing w:after="0"/>
        <w:ind w:left="0"/>
        <w:jc w:val="both"/>
      </w:pPr>
      <w:r>
        <w:rPr>
          <w:rFonts w:ascii="Times New Roman"/>
          <w:b w:val="false"/>
          <w:i w:val="false"/>
          <w:color w:val="000000"/>
          <w:sz w:val="28"/>
        </w:rPr>
        <w:t xml:space="preserve">
      Несмотря на положительную динамику, инновационный потенциал и академический профиль КАТУ позволяют значительно расширить инструментарий системы распространения знаний для поддержки развития АПК. Однако КАТУ напрямую не участвует в реализации соответствующих бюджетных программ, а отсутствие целевого, стабильного финансирования не позволяет полноценно привлечь ППС к данной работе и обеспечить постоянную "обратную связь" с субъектами АПК. </w:t>
      </w:r>
    </w:p>
    <w:bookmarkEnd w:id="228"/>
    <w:bookmarkStart w:name="z251" w:id="229"/>
    <w:p>
      <w:pPr>
        <w:spacing w:after="0"/>
        <w:ind w:left="0"/>
        <w:jc w:val="both"/>
      </w:pPr>
      <w:r>
        <w:rPr>
          <w:rFonts w:ascii="Times New Roman"/>
          <w:b w:val="false"/>
          <w:i w:val="false"/>
          <w:color w:val="000000"/>
          <w:sz w:val="28"/>
        </w:rPr>
        <w:t>
      С 2013 года действует Офис коммерциализации технологий КАТУ. В 2017 и 2018 годах с его поддержкой запущены 3 инновационных компании, проекты которых основаны на научных разработках КАТУ: по производству биоудобрения из куриного помета, кормовых добавок для жвачных животных, повышающих качество усвоения кормов, и чизеров для почвообрабатывающих орудий с одновременным внесением удобрений под почву. Финансирование привлечено из средств АО "Фонд науки", проекта Всемирного Банка "Стимулирование продуктивных инноваций" и от субъектов АПК, выступивших партнерами КАТУ. Отработан механизм участия КАТУ в подобных проектах, не влекущий аффилиированности с государственными органами, согласно которому КАТУ приобретает в создаваемых компаниях неснижаемую долю в размере 9% в обмен на административную, организационную и ресурсную поддержку. Как и в других вопросах, развитию Офиса коммерциализации технологий КАТУ препятствует дефицит средств на его поддержку.</w:t>
      </w:r>
    </w:p>
    <w:bookmarkEnd w:id="229"/>
    <w:bookmarkStart w:name="z252" w:id="230"/>
    <w:p>
      <w:pPr>
        <w:spacing w:after="0"/>
        <w:ind w:left="0"/>
        <w:jc w:val="both"/>
      </w:pPr>
      <w:r>
        <w:rPr>
          <w:rFonts w:ascii="Times New Roman"/>
          <w:b w:val="false"/>
          <w:i w:val="false"/>
          <w:color w:val="000000"/>
          <w:sz w:val="28"/>
        </w:rPr>
        <w:t xml:space="preserve">
      В целом, предпринятые КАТУ меры позволили сформировать основу для развития инновационного потенциала, и при условии их дальнейшей поддержки позволят значительно влиять на эффективность АПК и сопутствующих отраслей. </w:t>
      </w:r>
    </w:p>
    <w:bookmarkEnd w:id="230"/>
    <w:bookmarkStart w:name="z253" w:id="231"/>
    <w:p>
      <w:pPr>
        <w:spacing w:after="0"/>
        <w:ind w:left="0"/>
        <w:jc w:val="left"/>
      </w:pPr>
      <w:r>
        <w:rPr>
          <w:rFonts w:ascii="Times New Roman"/>
          <w:b/>
          <w:i w:val="false"/>
          <w:color w:val="000000"/>
        </w:rPr>
        <w:t xml:space="preserve"> 4.3. Прогноз тенденций изменения рынка труда и потребности в кадрах</w:t>
      </w:r>
    </w:p>
    <w:bookmarkEnd w:id="231"/>
    <w:bookmarkStart w:name="z254" w:id="232"/>
    <w:p>
      <w:pPr>
        <w:spacing w:after="0"/>
        <w:ind w:left="0"/>
        <w:jc w:val="both"/>
      </w:pPr>
      <w:r>
        <w:rPr>
          <w:rFonts w:ascii="Times New Roman"/>
          <w:b w:val="false"/>
          <w:i w:val="false"/>
          <w:color w:val="000000"/>
          <w:sz w:val="28"/>
        </w:rPr>
        <w:t>
      Целевым регионом КАТУ, на потребности которого нацелена научно-исследовательская, образовательная и инновационная деятельность КАТУ, является Северный и Центральный Казахстан: Акмолинская, Костанайская, Северо-Казахстанская, Карагандинская и Павлодарская области. К Целевому региону также относится проект развития продовольственного пояса столицы Республики Казахстан, города Нур-Султана (население 1 078,4 тыс. человек), целью которого является обеспечение возрастающих потребностей города в качественном, доступном продовольствии и расширение его ассортимента на столичном рынке путем ускоренного развития сельскохозяйственного производства в прилегающих регионах.</w:t>
      </w:r>
    </w:p>
    <w:bookmarkEnd w:id="232"/>
    <w:bookmarkStart w:name="z255" w:id="233"/>
    <w:p>
      <w:pPr>
        <w:spacing w:after="0"/>
        <w:ind w:left="0"/>
        <w:jc w:val="both"/>
      </w:pPr>
      <w:r>
        <w:rPr>
          <w:rFonts w:ascii="Times New Roman"/>
          <w:b w:val="false"/>
          <w:i w:val="false"/>
          <w:color w:val="000000"/>
          <w:sz w:val="28"/>
        </w:rPr>
        <w:t>
      Единые данные о потребности в специалистах с высшим образованием в АПК как основной области академического профиля КАТУ, как и объективная методика ее прогнозирования, отсутствуют. В этой связи, при определении потребности в выпускниках КАТУ традиционно основывается на собственных данных, формируемых на основе опросов местных исполнительных органов и прямых контактов с работодателями. В среднем, в ноябре 2013 года дефицит специалистов с высшим образованием в АПК оценивался в 1 500 человек и оставался относительно неизменным на протяжении 5 предыдущих лет. По результатам исследования, проведенного КАТУ в августе – октябре 2016 года, в сельском хозяйстве к 2020 году прогнозируется потребность в специалистах с высшим образованием в количестве 2 334 специалиста</w:t>
      </w:r>
      <w:r>
        <w:rPr>
          <w:rFonts w:ascii="Times New Roman"/>
          <w:b w:val="false"/>
          <w:i w:val="false"/>
          <w:color w:val="000000"/>
          <w:vertAlign w:val="superscript"/>
        </w:rPr>
        <w:t>13</w:t>
      </w:r>
      <w:r>
        <w:rPr>
          <w:rFonts w:ascii="Times New Roman"/>
          <w:b w:val="false"/>
          <w:i w:val="false"/>
          <w:color w:val="000000"/>
          <w:sz w:val="28"/>
        </w:rPr>
        <w:t>.</w:t>
      </w:r>
    </w:p>
    <w:bookmarkEnd w:id="233"/>
    <w:bookmarkStart w:name="z256" w:id="234"/>
    <w:p>
      <w:pPr>
        <w:spacing w:after="0"/>
        <w:ind w:left="0"/>
        <w:jc w:val="both"/>
      </w:pPr>
      <w:r>
        <w:rPr>
          <w:rFonts w:ascii="Times New Roman"/>
          <w:b w:val="false"/>
          <w:i w:val="false"/>
          <w:color w:val="000000"/>
          <w:sz w:val="28"/>
        </w:rPr>
        <w:t>
      Исследование многолетних данных и построение многофакторной модели учеными КАТУ позволило спрогнозировать потребность сельского хозяйства Акмолинской области в специалистах с высшим образованием на 2018 – 2020 годы в размере 5,21% от численности занятых в отрасли по пессимистическому сценарию и 10,82% – по оптимистическому сценарию развития АПК</w:t>
      </w:r>
      <w:r>
        <w:rPr>
          <w:rFonts w:ascii="Times New Roman"/>
          <w:b w:val="false"/>
          <w:i w:val="false"/>
          <w:color w:val="000000"/>
          <w:vertAlign w:val="superscript"/>
        </w:rPr>
        <w:t>14</w:t>
      </w:r>
      <w:r>
        <w:rPr>
          <w:rFonts w:ascii="Times New Roman"/>
          <w:b w:val="false"/>
          <w:i w:val="false"/>
          <w:color w:val="000000"/>
          <w:sz w:val="28"/>
        </w:rPr>
        <w:t>. То есть, только для сельского хозяйства Акмолинской области необходимы не менее 6,37 тыс. новых специалистов с высшим образованием, или около 2 тыс. специалистов в год.</w:t>
      </w:r>
    </w:p>
    <w:bookmarkEnd w:id="234"/>
    <w:bookmarkStart w:name="z257" w:id="235"/>
    <w:p>
      <w:pPr>
        <w:spacing w:after="0"/>
        <w:ind w:left="0"/>
        <w:jc w:val="both"/>
      </w:pPr>
      <w:r>
        <w:rPr>
          <w:rFonts w:ascii="Times New Roman"/>
          <w:b w:val="false"/>
          <w:i w:val="false"/>
          <w:color w:val="000000"/>
          <w:sz w:val="28"/>
        </w:rPr>
        <w:t>
      __________________________________</w:t>
      </w:r>
    </w:p>
    <w:bookmarkEnd w:id="235"/>
    <w:bookmarkStart w:name="z258" w:id="23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13</w:t>
      </w:r>
      <w:r>
        <w:rPr>
          <w:rFonts w:ascii="Times New Roman"/>
          <w:b w:val="false"/>
          <w:i w:val="false"/>
          <w:color w:val="000000"/>
          <w:sz w:val="28"/>
        </w:rPr>
        <w:t>Собственные исследования КАТУ, письмо на имя Заместителя Премьер-Министра – Министра сельского хозяйства Республики Казахстан от 21 октября 2016 года № 12000/2238.</w:t>
      </w:r>
    </w:p>
    <w:bookmarkEnd w:id="236"/>
    <w:bookmarkStart w:name="z259" w:id="23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14</w:t>
      </w:r>
      <w:r>
        <w:rPr>
          <w:rFonts w:ascii="Times New Roman"/>
          <w:b w:val="false"/>
          <w:i w:val="false"/>
          <w:color w:val="000000"/>
          <w:sz w:val="28"/>
        </w:rPr>
        <w:t>По материалам проекта "Обоснование и прогнозирование потребности в специалистах с высшим профессиональным образованием в АПК Акмолинской области", 2015 – 2017 годы, исполнитель – КАТУ, источник финансирования – грант Министерства образования и науки.</w:t>
      </w:r>
    </w:p>
    <w:bookmarkEnd w:id="237"/>
    <w:bookmarkStart w:name="z260" w:id="23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15</w:t>
      </w:r>
      <w:r>
        <w:rPr>
          <w:rFonts w:ascii="Times New Roman"/>
          <w:b w:val="false"/>
          <w:i w:val="false"/>
          <w:color w:val="000000"/>
          <w:sz w:val="28"/>
        </w:rPr>
        <w:t>http://www.stat.gov.kz, на 1 января 2019 года</w:t>
      </w:r>
    </w:p>
    <w:bookmarkEnd w:id="238"/>
    <w:bookmarkStart w:name="z261" w:id="23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16</w:t>
      </w:r>
      <w:r>
        <w:rPr>
          <w:rFonts w:ascii="Times New Roman"/>
          <w:b w:val="false"/>
          <w:i w:val="false"/>
          <w:color w:val="000000"/>
          <w:sz w:val="28"/>
        </w:rPr>
        <w:t>Здесь и далее – статистические данные приведены по материалам Комитета по статистике Министерства национальной экономики Республики Казахстан, www.stat.gov.kz, разделы "Труд", "Сельское хозяйство"</w:t>
      </w:r>
    </w:p>
    <w:bookmarkEnd w:id="2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2" w:id="240"/>
    <w:p>
      <w:pPr>
        <w:spacing w:after="0"/>
        <w:ind w:left="0"/>
        <w:jc w:val="both"/>
      </w:pPr>
      <w:r>
        <w:rPr>
          <w:rFonts w:ascii="Times New Roman"/>
          <w:b w:val="false"/>
          <w:i w:val="false"/>
          <w:color w:val="000000"/>
          <w:sz w:val="28"/>
        </w:rPr>
        <w:t>
      С целью оценки изменения рынка труда, при разработке Программы проведен анализ макроэкономической среды Целевого региона, формирующей объективный спрос на выпускников. По состоянию на начало 2019 года, в сельской местности проживали 41,9% населения Казахстана (7,69 млн человек), из них 36% – в Целевом регионе</w:t>
      </w:r>
      <w:r>
        <w:rPr>
          <w:rFonts w:ascii="Times New Roman"/>
          <w:b w:val="false"/>
          <w:i w:val="false"/>
          <w:color w:val="000000"/>
          <w:vertAlign w:val="superscript"/>
        </w:rPr>
        <w:t>15</w:t>
      </w:r>
      <w:r>
        <w:rPr>
          <w:rFonts w:ascii="Times New Roman"/>
          <w:b w:val="false"/>
          <w:i w:val="false"/>
          <w:color w:val="000000"/>
          <w:sz w:val="28"/>
        </w:rPr>
        <w:t>. Непосредственно в сфере сельского, лесного и рыбного хозяйства заняты 1,23 млн человек, или 14,1% экономически активного населения. При этом доля сельского хозяйства в валовом внутреннем продукте в 2018 году составила 10,9%, что подтверждает низкую производительность труда в сравнении со средней в экономике.</w:t>
      </w:r>
    </w:p>
    <w:bookmarkEnd w:id="240"/>
    <w:bookmarkStart w:name="z263" w:id="241"/>
    <w:p>
      <w:pPr>
        <w:spacing w:after="0"/>
        <w:ind w:left="0"/>
        <w:jc w:val="both"/>
      </w:pPr>
      <w:r>
        <w:rPr>
          <w:rFonts w:ascii="Times New Roman"/>
          <w:b w:val="false"/>
          <w:i w:val="false"/>
          <w:color w:val="000000"/>
          <w:sz w:val="28"/>
        </w:rPr>
        <w:t>
      В сельском, лесном и рыбном хозяйстве Целевого региона в 2018 году были заняты 442,6 тыс. человек</w:t>
      </w:r>
      <w:r>
        <w:rPr>
          <w:rFonts w:ascii="Times New Roman"/>
          <w:b w:val="false"/>
          <w:i w:val="false"/>
          <w:color w:val="000000"/>
          <w:vertAlign w:val="superscript"/>
        </w:rPr>
        <w:t>16</w:t>
      </w:r>
      <w:r>
        <w:rPr>
          <w:rFonts w:ascii="Times New Roman"/>
          <w:b w:val="false"/>
          <w:i w:val="false"/>
          <w:color w:val="000000"/>
          <w:sz w:val="28"/>
        </w:rPr>
        <w:t>, или 36,0% от общего количество занятых в данных отраслях в Республике Казахстан. Доля занятых в сельском, лесном и рыбном хозяйстве от численности экономически активного населения в Северо-Казахстанской области составила 31,9%, в Акмолинской – 29,9%, в Костанайской – 26,3%, в Павлодарской – 16,7%, в Карагандинской – 4,8%. Доля занятых в сельском лесном и рыбном хозяйстве в Целевом регионе в 1,4 раза больше (19,7%), чем в среднем в Казахстане, что подтверждает важность АПК для социально-экономического развития Целевого региона.</w:t>
      </w:r>
    </w:p>
    <w:bookmarkEnd w:id="241"/>
    <w:bookmarkStart w:name="z264" w:id="242"/>
    <w:p>
      <w:pPr>
        <w:spacing w:after="0"/>
        <w:ind w:left="0"/>
        <w:jc w:val="both"/>
      </w:pPr>
      <w:r>
        <w:rPr>
          <w:rFonts w:ascii="Times New Roman"/>
          <w:b w:val="false"/>
          <w:i w:val="false"/>
          <w:color w:val="000000"/>
          <w:sz w:val="28"/>
        </w:rPr>
        <w:t>
      Несмотря на увеличение численности занятых Республике Казахстан в 2010 – 2018 годы на 7,1%, в сельском, лесном и рыбном хозяйстве численность занятых уменьшилась на 46,5%. В Целевом регионе численность занятых в сельском, лесном и рыбном хозяйстве сократилась на 40,1%, что меньше, чем в среднем по стране (см. таблицу 4.3.1).</w:t>
      </w:r>
    </w:p>
    <w:bookmarkEnd w:id="242"/>
    <w:bookmarkStart w:name="z265" w:id="243"/>
    <w:p>
      <w:pPr>
        <w:spacing w:after="0"/>
        <w:ind w:left="0"/>
        <w:jc w:val="left"/>
      </w:pPr>
      <w:r>
        <w:rPr>
          <w:rFonts w:ascii="Times New Roman"/>
          <w:b/>
          <w:i w:val="false"/>
          <w:color w:val="000000"/>
        </w:rPr>
        <w:t xml:space="preserve"> Таблица 4.3.1 – Занятость населения в сельском, лесном и рыбном хозяйстве</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1"/>
        <w:gridCol w:w="1204"/>
        <w:gridCol w:w="1467"/>
        <w:gridCol w:w="1542"/>
        <w:gridCol w:w="1542"/>
        <w:gridCol w:w="1428"/>
        <w:gridCol w:w="1428"/>
        <w:gridCol w:w="2828"/>
      </w:tblGrid>
      <w:tr>
        <w:trPr>
          <w:trHeight w:val="30" w:hRule="atLeast"/>
        </w:trPr>
        <w:tc>
          <w:tcPr>
            <w:tcW w:w="8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2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44"/>
          <w:p>
            <w:pPr>
              <w:spacing w:after="20"/>
              <w:ind w:left="20"/>
              <w:jc w:val="both"/>
            </w:pPr>
            <w:r>
              <w:rPr>
                <w:rFonts w:ascii="Times New Roman"/>
                <w:b w:val="false"/>
                <w:i w:val="false"/>
                <w:color w:val="000000"/>
                <w:sz w:val="20"/>
              </w:rPr>
              <w:t>
Ед.</w:t>
            </w:r>
            <w:r>
              <w:br/>
            </w:r>
            <w:r>
              <w:rPr>
                <w:rFonts w:ascii="Times New Roman"/>
                <w:b w:val="false"/>
                <w:i w:val="false"/>
                <w:color w:val="000000"/>
                <w:sz w:val="20"/>
              </w:rPr>
              <w:t>
изм.</w:t>
            </w:r>
          </w:p>
          <w:bookmarkEnd w:id="24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по годам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к 2010, %</w:t>
            </w:r>
          </w:p>
        </w:tc>
      </w:tr>
      <w:tr>
        <w:trPr>
          <w:trHeight w:val="30" w:hRule="atLeast"/>
        </w:trPr>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занятых, всего</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8 114,2</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8 553,4</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8585,1</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8695,0</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в сельском, лесном и рыбном хозяйстве</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2 294,9</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1 385,5</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1319,0</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1228,2</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8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Целевой регион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517,4</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481,9</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442,6</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1.1.</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bl>
    <w:bookmarkStart w:name="z267" w:id="245"/>
    <w:p>
      <w:pPr>
        <w:spacing w:after="0"/>
        <w:ind w:left="0"/>
        <w:jc w:val="both"/>
      </w:pPr>
      <w:r>
        <w:rPr>
          <w:rFonts w:ascii="Times New Roman"/>
          <w:b w:val="false"/>
          <w:i w:val="false"/>
          <w:color w:val="000000"/>
          <w:sz w:val="28"/>
        </w:rPr>
        <w:t xml:space="preserve">
      На фоне сокращения общей численности занятых, в сельском хозяйстве имеется проблема омоложения кадров. В 2018 году в сравнении с 2015 годом, численность занятых в сельском хозяйстве в возрасте старше 65 лет увеличилась на 34,3% (на 9,7 тыс. человек), а доля в общей численности занятых – с 2,1% до 3,1%. На долю сельского хозяйства приходилось 64,5% от общей численности занятых в возрасте старше 65 лет. </w:t>
      </w:r>
    </w:p>
    <w:bookmarkEnd w:id="245"/>
    <w:bookmarkStart w:name="z268" w:id="246"/>
    <w:p>
      <w:pPr>
        <w:spacing w:after="0"/>
        <w:ind w:left="0"/>
        <w:jc w:val="both"/>
      </w:pPr>
      <w:r>
        <w:rPr>
          <w:rFonts w:ascii="Times New Roman"/>
          <w:b w:val="false"/>
          <w:i w:val="false"/>
          <w:color w:val="000000"/>
          <w:sz w:val="28"/>
        </w:rPr>
        <w:t>
      Доля занятых в сельском хозяйстве в возрасте старше 55 лет составляла 20% (15,1% – в 2015 году, 13,6% – в 2011 году), в то время как в экономике в целом на данную возрастную группу приходилось 10,6% занятых. Старше 45 лет в 2018 году в сельском хозяйстве были 41,4% занятых (в 2015 году – 37,2%)</w:t>
      </w:r>
      <w:r>
        <w:rPr>
          <w:rFonts w:ascii="Times New Roman"/>
          <w:b w:val="false"/>
          <w:i w:val="false"/>
          <w:color w:val="000000"/>
          <w:vertAlign w:val="superscript"/>
        </w:rPr>
        <w:t>17</w:t>
      </w:r>
      <w:r>
        <w:rPr>
          <w:rFonts w:ascii="Times New Roman"/>
          <w:b w:val="false"/>
          <w:i w:val="false"/>
          <w:color w:val="000000"/>
          <w:sz w:val="28"/>
        </w:rPr>
        <w:t>.</w:t>
      </w:r>
    </w:p>
    <w:bookmarkEnd w:id="246"/>
    <w:bookmarkStart w:name="z269" w:id="247"/>
    <w:p>
      <w:pPr>
        <w:spacing w:after="0"/>
        <w:ind w:left="0"/>
        <w:jc w:val="both"/>
      </w:pPr>
      <w:r>
        <w:rPr>
          <w:rFonts w:ascii="Times New Roman"/>
          <w:b w:val="false"/>
          <w:i w:val="false"/>
          <w:color w:val="000000"/>
          <w:sz w:val="28"/>
        </w:rPr>
        <w:t xml:space="preserve">
      Доля занятых в сельском хозяйстве в возрасте от 25 до 28 лет (что в целом соответствует завершению обучения в вузе) в 2018 году составляла 9,9%. Ниже была только доля работников в возрасте старше 65 лет (3,1%). В сравнении с 2015 годом, численность занятых в данной возрастной категории сократилась на 12,3%, а их доля в общей численности занятых – с 10,3% до 9,9%. </w:t>
      </w:r>
    </w:p>
    <w:bookmarkEnd w:id="247"/>
    <w:bookmarkStart w:name="z270" w:id="248"/>
    <w:p>
      <w:pPr>
        <w:spacing w:after="0"/>
        <w:ind w:left="0"/>
        <w:jc w:val="both"/>
      </w:pPr>
      <w:r>
        <w:rPr>
          <w:rFonts w:ascii="Times New Roman"/>
          <w:b w:val="false"/>
          <w:i w:val="false"/>
          <w:color w:val="000000"/>
          <w:sz w:val="28"/>
        </w:rPr>
        <w:t>
      Как отмечалось выше (см. раздел 4.3.1), по мнению работодателей наиболее важной проблемой является качественный дефицит специалистов – несоответствие знаний и навыков выпускников характеру выполняемой работы и ожидаемой от них эффективности. Как правило, чем современнее применяемые агроформированием технологии, тем острее проявляется данная проблема. Другими словами, имеющийся спрос на специалистов для АПК требует не только увеличения количества выпускников, но и кардинальных изменений модели и содержания их обучения. Особенно проявляется нехватка инженерно-технического персонала старшего звена и специалистов по управлению производственными процессами. Отсутствуют специалисты по относительно новым отраслям АПК: точному земледелию, биологическим методам защиты растений, интенсивному животноводству, глубокой переработке сельскохозяйственного сырья, и другим. К примеру, из-за дефицита специалистов в Казахстане крупные птицефабрики Акмолинской области вынуждены приглашать на ключевые производственные позиции специалистов из Украины и Беларуси. Так, на Макинской птицефабрике работают 30 специалистов из указанных стран.</w:t>
      </w:r>
    </w:p>
    <w:bookmarkEnd w:id="248"/>
    <w:bookmarkStart w:name="z271" w:id="249"/>
    <w:p>
      <w:pPr>
        <w:spacing w:after="0"/>
        <w:ind w:left="0"/>
        <w:jc w:val="both"/>
      </w:pPr>
      <w:r>
        <w:rPr>
          <w:rFonts w:ascii="Times New Roman"/>
          <w:b w:val="false"/>
          <w:i w:val="false"/>
          <w:color w:val="000000"/>
          <w:sz w:val="28"/>
        </w:rPr>
        <w:t>
      Валовый выпуск продукции сельского хозяйства в Республике Казахстан в 2018 году в сравнении с 2010 годом увеличился в 2,5 раза в тенге, но уменьшился на 5,8% в долларах США (см. таблицу 4.3.2)</w:t>
      </w:r>
      <w:r>
        <w:rPr>
          <w:rFonts w:ascii="Times New Roman"/>
          <w:b w:val="false"/>
          <w:i w:val="false"/>
          <w:color w:val="000000"/>
          <w:vertAlign w:val="superscript"/>
        </w:rPr>
        <w:t>18</w:t>
      </w:r>
      <w:r>
        <w:rPr>
          <w:rFonts w:ascii="Times New Roman"/>
          <w:b w:val="false"/>
          <w:i w:val="false"/>
          <w:color w:val="000000"/>
          <w:sz w:val="28"/>
        </w:rPr>
        <w:t>.</w:t>
      </w:r>
    </w:p>
    <w:bookmarkEnd w:id="249"/>
    <w:bookmarkStart w:name="z272" w:id="250"/>
    <w:p>
      <w:pPr>
        <w:spacing w:after="0"/>
        <w:ind w:left="0"/>
        <w:jc w:val="both"/>
      </w:pPr>
      <w:r>
        <w:rPr>
          <w:rFonts w:ascii="Times New Roman"/>
          <w:b w:val="false"/>
          <w:i w:val="false"/>
          <w:color w:val="000000"/>
          <w:sz w:val="28"/>
        </w:rPr>
        <w:t>
      _________________________________</w:t>
      </w:r>
    </w:p>
    <w:bookmarkEnd w:id="250"/>
    <w:bookmarkStart w:name="z273" w:id="25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17</w:t>
      </w:r>
      <w:r>
        <w:rPr>
          <w:rFonts w:ascii="Times New Roman"/>
          <w:b w:val="false"/>
          <w:i w:val="false"/>
          <w:color w:val="000000"/>
          <w:sz w:val="28"/>
        </w:rPr>
        <w:t>По материалам официального сайта Комитета по статистике Министерства национальной экономики Республики Казахстан, http://stat.gov.kz/official/industry/25/statistic/7</w:t>
      </w:r>
    </w:p>
    <w:bookmarkEnd w:id="251"/>
    <w:bookmarkStart w:name="z274" w:id="25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18</w:t>
      </w:r>
      <w:r>
        <w:rPr>
          <w:rFonts w:ascii="Times New Roman"/>
          <w:b w:val="false"/>
          <w:i w:val="false"/>
          <w:color w:val="000000"/>
          <w:sz w:val="28"/>
        </w:rPr>
        <w:t>Здесь и далее, курс доллара США принят по данным http://kurstenge.kz/archive/usd: (1) на 31.12.2010 = 147,4 тг/долл., (2) на 31.12.2016= 333,29тг/долл., (4) на 31.12.2017 = 332,33 тг/долл., (4) на 31.12.2018 = 384,2 тг/долл.</w:t>
      </w:r>
    </w:p>
    <w:bookmarkEnd w:id="252"/>
    <w:bookmarkStart w:name="z275" w:id="253"/>
    <w:p>
      <w:pPr>
        <w:spacing w:after="0"/>
        <w:ind w:left="0"/>
        <w:jc w:val="left"/>
      </w:pPr>
      <w:r>
        <w:rPr>
          <w:rFonts w:ascii="Times New Roman"/>
          <w:b/>
          <w:i w:val="false"/>
          <w:color w:val="000000"/>
        </w:rPr>
        <w:t xml:space="preserve"> Таблица 4.3.2 – Валовый выпуск продукции сельского хозяйства</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2"/>
        <w:gridCol w:w="673"/>
        <w:gridCol w:w="1194"/>
        <w:gridCol w:w="1630"/>
        <w:gridCol w:w="1632"/>
        <w:gridCol w:w="1633"/>
        <w:gridCol w:w="1633"/>
        <w:gridCol w:w="2993"/>
      </w:tblGrid>
      <w:tr>
        <w:trPr>
          <w:trHeight w:val="30" w:hRule="atLeast"/>
        </w:trPr>
        <w:tc>
          <w:tcPr>
            <w:tcW w:w="9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по годам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к 2010, %</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Валовый выпуск всего</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тг</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1 822,1</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3 684,4</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4 070,9</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4 474,1</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Целевой регион</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тг</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714,2</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1 479,6</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1 700,1</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1 814,2</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Растениеводство</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тг</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895,4</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2 047,6</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2 249,2</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2 411,5</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9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Целевой регион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тг</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926, 3</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1 085,5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1 136,2</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2.</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тг</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тг</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тг</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тг</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тг</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289,8</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366,1</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Животноводство</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тг</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1 621,5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1 810,9</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2 050,4</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9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Целевой регион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тг</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355,1</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546,6</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673,9</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тг</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106, 4</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тг</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тг</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98, 4</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тг</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87, 7</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тг</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bl>
    <w:p>
      <w:pPr>
        <w:spacing w:after="0"/>
        <w:ind w:left="0"/>
        <w:jc w:val="left"/>
      </w:pPr>
      <w:r>
        <w:br/>
      </w:r>
      <w:r>
        <w:rPr>
          <w:rFonts w:ascii="Times New Roman"/>
          <w:b w:val="false"/>
          <w:i w:val="false"/>
          <w:color w:val="000000"/>
          <w:sz w:val="28"/>
        </w:rPr>
        <w:t>
</w:t>
      </w:r>
    </w:p>
    <w:bookmarkStart w:name="z276" w:id="254"/>
    <w:p>
      <w:pPr>
        <w:spacing w:after="0"/>
        <w:ind w:left="0"/>
        <w:jc w:val="both"/>
      </w:pPr>
      <w:r>
        <w:rPr>
          <w:rFonts w:ascii="Times New Roman"/>
          <w:b w:val="false"/>
          <w:i w:val="false"/>
          <w:color w:val="000000"/>
          <w:sz w:val="28"/>
        </w:rPr>
        <w:t>
      Основной отраслью специализации АПК Целевого региона является растениеводство – 62,6% от валового продукта сельского хозяйства. В Целевом регионе производят 87,1% валового сбора пшеницы, 60,0% масличных, 49,9% картофеля, и 18,6% овощей. С 2010 года доля продукции растениеводства увеличилась на 12,5 процентных пунктов (с 50,1%), а в последние 3 года его доля остается фактически на одном уровне. В 2018 году в сравнении с 2010 годом валовый выпуск растениеводства увеличился в 3,6 раза в тенге. В долларах США по Республике Казахстан валовый выпуск продукции растениеводства увеличился на 39,6%, а в Целевом регионе – на 41,8%.</w:t>
      </w:r>
    </w:p>
    <w:bookmarkEnd w:id="254"/>
    <w:bookmarkStart w:name="z277" w:id="255"/>
    <w:p>
      <w:pPr>
        <w:spacing w:after="0"/>
        <w:ind w:left="0"/>
        <w:jc w:val="both"/>
      </w:pPr>
      <w:r>
        <w:rPr>
          <w:rFonts w:ascii="Times New Roman"/>
          <w:b w:val="false"/>
          <w:i w:val="false"/>
          <w:color w:val="000000"/>
          <w:sz w:val="28"/>
        </w:rPr>
        <w:t>
      В растениеводстве Целевого региона последовательно проводится диверсификация, нацеленная на расширение ассортимента возделываемых культур и снижение доли пшеницы в валовом сборе. Соответственно, имеется потребность в компетенциях по возделыванию альтернативных культур – масличных, кормовых, бобовых, овощных, в том числе в системе сложившихся севооборотов, с применением интегрированных систем защиты растений, высокопроизводительных машин и оборудования, технологий точного земледелия и дистанционного контроля производственного процесса.</w:t>
      </w:r>
    </w:p>
    <w:bookmarkEnd w:id="255"/>
    <w:bookmarkStart w:name="z278" w:id="256"/>
    <w:p>
      <w:pPr>
        <w:spacing w:after="0"/>
        <w:ind w:left="0"/>
        <w:jc w:val="both"/>
      </w:pPr>
      <w:r>
        <w:rPr>
          <w:rFonts w:ascii="Times New Roman"/>
          <w:b w:val="false"/>
          <w:i w:val="false"/>
          <w:color w:val="000000"/>
          <w:sz w:val="28"/>
        </w:rPr>
        <w:t xml:space="preserve">
      В Целевом регионе сосредоточены 30,4% поголовья крупного рогатого скота,15,2% – овец и коз, 49,9% – сельскохозяйственной птицы, производятся 30,9% мяса, 38,8% молока, 58,7% яиц и 29,5% мяса птицы. Производство продукции животноводства в 2018 году в сравнении с 2010 годом увеличилось в 2,1 раза, что меньше, чем в среднем по Республике Казахстан (2,6 раза). Валовый продукт животноводства Целевого региона в долларах США сократился на 20%, при том, что в целом по Казахстану он увеличился на 1,6%. С учетом наличия кормовых ресурсов, расширения мер государственной поддержки и упрощения доступа к внешним рынкам, запланирован значительный рост производства продукции животноводства, что позволяет ожидать увеличение потребности в соответствующих специалистах. </w:t>
      </w:r>
    </w:p>
    <w:bookmarkEnd w:id="256"/>
    <w:bookmarkStart w:name="z279" w:id="257"/>
    <w:p>
      <w:pPr>
        <w:spacing w:after="0"/>
        <w:ind w:left="0"/>
        <w:jc w:val="both"/>
      </w:pPr>
      <w:r>
        <w:rPr>
          <w:rFonts w:ascii="Times New Roman"/>
          <w:b w:val="false"/>
          <w:i w:val="false"/>
          <w:color w:val="000000"/>
          <w:sz w:val="28"/>
        </w:rPr>
        <w:t>
      В сравнении с 2010 годом, в 2018 году в Республике Казахстан производительность труда в сельском хозяйстве выросла в 4,6 раза в тенге и на 76% в долларах США</w:t>
      </w:r>
      <w:r>
        <w:rPr>
          <w:rFonts w:ascii="Times New Roman"/>
          <w:b w:val="false"/>
          <w:i w:val="false"/>
          <w:color w:val="000000"/>
          <w:vertAlign w:val="superscript"/>
        </w:rPr>
        <w:t>19</w:t>
      </w:r>
      <w:r>
        <w:rPr>
          <w:rFonts w:ascii="Times New Roman"/>
          <w:b w:val="false"/>
          <w:i w:val="false"/>
          <w:color w:val="000000"/>
          <w:sz w:val="28"/>
        </w:rPr>
        <w:t xml:space="preserve"> (см. таблицу 4.3.3). Несмотря на то, что темпы роста производительности труда в Целевом регионе ниже, чем в среднем в Казахстане, производительность труда в сельском хозяйстве Целевого региона в 2018 году была на 12,5% больше среднего показателя по стране. Однако по производительности труда в сельском хозяйстве Казахстан значительно отстает от стран с развитым сельским хозяйством. К примеру, производительность труда одного работника в сельском хозяйстве Канады в 2015 году составила 67,6 тыс. долларов</w:t>
      </w:r>
      <w:r>
        <w:rPr>
          <w:rFonts w:ascii="Times New Roman"/>
          <w:b w:val="false"/>
          <w:i w:val="false"/>
          <w:color w:val="000000"/>
          <w:vertAlign w:val="superscript"/>
        </w:rPr>
        <w:t>20</w:t>
      </w:r>
      <w:r>
        <w:rPr>
          <w:rFonts w:ascii="Times New Roman"/>
          <w:b w:val="false"/>
          <w:i w:val="false"/>
          <w:color w:val="000000"/>
          <w:sz w:val="28"/>
        </w:rPr>
        <w:t>, или в 8,5 раз больше, чем в Казахстане, в США – 59,1 тыс. долларов</w:t>
      </w:r>
      <w:r>
        <w:rPr>
          <w:rFonts w:ascii="Times New Roman"/>
          <w:b w:val="false"/>
          <w:i w:val="false"/>
          <w:color w:val="000000"/>
          <w:vertAlign w:val="superscript"/>
        </w:rPr>
        <w:t>21</w:t>
      </w:r>
      <w:r>
        <w:rPr>
          <w:rFonts w:ascii="Times New Roman"/>
          <w:b w:val="false"/>
          <w:i w:val="false"/>
          <w:color w:val="000000"/>
          <w:sz w:val="28"/>
        </w:rPr>
        <w:t>, или в 7,4 раза больше, в Австралии – 87,9 тыс. долларов</w:t>
      </w:r>
      <w:r>
        <w:rPr>
          <w:rFonts w:ascii="Times New Roman"/>
          <w:b w:val="false"/>
          <w:i w:val="false"/>
          <w:color w:val="000000"/>
          <w:vertAlign w:val="superscript"/>
        </w:rPr>
        <w:t>22</w:t>
      </w:r>
      <w:r>
        <w:rPr>
          <w:rFonts w:ascii="Times New Roman"/>
          <w:b w:val="false"/>
          <w:i w:val="false"/>
          <w:color w:val="000000"/>
          <w:sz w:val="28"/>
        </w:rPr>
        <w:t xml:space="preserve"> или в 11 раз больше.</w:t>
      </w:r>
    </w:p>
    <w:bookmarkEnd w:id="257"/>
    <w:bookmarkStart w:name="z280" w:id="258"/>
    <w:p>
      <w:pPr>
        <w:spacing w:after="0"/>
        <w:ind w:left="0"/>
        <w:jc w:val="both"/>
      </w:pPr>
      <w:r>
        <w:rPr>
          <w:rFonts w:ascii="Times New Roman"/>
          <w:b w:val="false"/>
          <w:i w:val="false"/>
          <w:color w:val="000000"/>
          <w:sz w:val="28"/>
        </w:rPr>
        <w:t>
      В Канаде, с которой часто сравнивают сельское хозяйство Северного Казахстана из-за относительно схожих природно-климатических условий, объем производства продукции растениеводства с одного гектара пашни в 2015 году составил 2 952,6 долларов США. В Республике Казахстан данный показатель составил 210,2 долларов США с гектара, или в 14 раз меньше</w:t>
      </w:r>
      <w:r>
        <w:rPr>
          <w:rFonts w:ascii="Times New Roman"/>
          <w:b w:val="false"/>
          <w:i w:val="false"/>
          <w:color w:val="000000"/>
          <w:vertAlign w:val="superscript"/>
        </w:rPr>
        <w:t>23</w:t>
      </w:r>
      <w:r>
        <w:rPr>
          <w:rFonts w:ascii="Times New Roman"/>
          <w:b w:val="false"/>
          <w:i w:val="false"/>
          <w:color w:val="000000"/>
          <w:sz w:val="28"/>
        </w:rPr>
        <w:t>. Таким образом, в сельском хозяйстве Целевого региона, где в 2018 году располагались 76,2% посевной площади Казахстана, имеется значительный потенциал для увеличения производительности труда, который остается не реализованным. В свою очередь, одним из необходимых условий для его реализации является подготовка специалистов необходимой квалификации, владеющих современными знаниями и умеющих применять их на практике.</w:t>
      </w:r>
    </w:p>
    <w:bookmarkEnd w:id="258"/>
    <w:bookmarkStart w:name="z281" w:id="259"/>
    <w:p>
      <w:pPr>
        <w:spacing w:after="0"/>
        <w:ind w:left="0"/>
        <w:jc w:val="both"/>
      </w:pPr>
      <w:r>
        <w:rPr>
          <w:rFonts w:ascii="Times New Roman"/>
          <w:b w:val="false"/>
          <w:i w:val="false"/>
          <w:color w:val="000000"/>
          <w:sz w:val="28"/>
        </w:rPr>
        <w:t>
      ______________________________</w:t>
      </w:r>
    </w:p>
    <w:bookmarkEnd w:id="259"/>
    <w:bookmarkStart w:name="z282" w:id="26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19</w:t>
      </w:r>
      <w:r>
        <w:rPr>
          <w:rFonts w:ascii="Times New Roman"/>
          <w:b w:val="false"/>
          <w:i w:val="false"/>
          <w:color w:val="000000"/>
          <w:sz w:val="28"/>
        </w:rPr>
        <w:t>Рассчитано на основании данных Комитета по статистике Министерства национальной экономики Республики Казахстан, путем деления валового выпуска продукции сельского хозяйства на численность занятых в сельском, лесном и рыбном хозяйстве</w:t>
      </w:r>
    </w:p>
    <w:bookmarkEnd w:id="260"/>
    <w:bookmarkStart w:name="z283" w:id="26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20</w:t>
      </w:r>
      <w:r>
        <w:rPr>
          <w:rFonts w:ascii="Times New Roman"/>
          <w:b w:val="false"/>
          <w:i w:val="false"/>
          <w:color w:val="000000"/>
          <w:sz w:val="28"/>
        </w:rPr>
        <w:t>Canada National Statistic Agency, http://www.statcan.gc.ca/tables-tableaux/sum-som/l01/cst01/econ41-eng.htm</w:t>
      </w:r>
    </w:p>
    <w:bookmarkEnd w:id="261"/>
    <w:bookmarkStart w:name="z284" w:id="26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21</w:t>
      </w:r>
      <w:r>
        <w:rPr>
          <w:rFonts w:ascii="Times New Roman"/>
          <w:b w:val="false"/>
          <w:i w:val="false"/>
          <w:color w:val="000000"/>
          <w:sz w:val="28"/>
        </w:rPr>
        <w:t>htpps://stats.oecd.org</w:t>
      </w:r>
    </w:p>
    <w:bookmarkEnd w:id="262"/>
    <w:bookmarkStart w:name="z285" w:id="26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22</w:t>
      </w:r>
      <w:r>
        <w:rPr>
          <w:rFonts w:ascii="Times New Roman"/>
          <w:b w:val="false"/>
          <w:i w:val="false"/>
          <w:color w:val="000000"/>
          <w:sz w:val="28"/>
        </w:rPr>
        <w:t>http://www.abs.gov.au/Agriculture, htpps://stats.oecd.org</w:t>
      </w:r>
    </w:p>
    <w:bookmarkEnd w:id="263"/>
    <w:bookmarkStart w:name="z286" w:id="26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23</w:t>
      </w:r>
      <w:r>
        <w:rPr>
          <w:rFonts w:ascii="Times New Roman"/>
          <w:b w:val="false"/>
          <w:i w:val="false"/>
          <w:color w:val="000000"/>
          <w:sz w:val="28"/>
        </w:rPr>
        <w:t>Рассчитано на основе данных Министерства сельского хозяйства Канады (Agriculture&amp;Agri-foodCanada, http://www.agr.gc.ca/eng/industry-markets-and-trade/statistics-and-market-information/?id=1361289956531) и Комитета по статистики Республики Казахстан, путем деления валового выпуска продукции растениеводства на общую посевную площадь в 2015 году.</w:t>
      </w:r>
    </w:p>
    <w:bookmarkEnd w:id="264"/>
    <w:bookmarkStart w:name="z287" w:id="265"/>
    <w:p>
      <w:pPr>
        <w:spacing w:after="0"/>
        <w:ind w:left="0"/>
        <w:jc w:val="left"/>
      </w:pPr>
      <w:r>
        <w:rPr>
          <w:rFonts w:ascii="Times New Roman"/>
          <w:b/>
          <w:i w:val="false"/>
          <w:color w:val="000000"/>
        </w:rPr>
        <w:t xml:space="preserve"> Таблица 4.3.3 – Производительность труда в сельском хозяйстве</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9"/>
        <w:gridCol w:w="765"/>
        <w:gridCol w:w="779"/>
        <w:gridCol w:w="1574"/>
        <w:gridCol w:w="1805"/>
        <w:gridCol w:w="1805"/>
        <w:gridCol w:w="1805"/>
        <w:gridCol w:w="2888"/>
      </w:tblGrid>
      <w:tr>
        <w:trPr>
          <w:trHeight w:val="30" w:hRule="atLeast"/>
        </w:trPr>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по годам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к 2010, %</w:t>
            </w:r>
          </w:p>
        </w:tc>
      </w:tr>
      <w:tr>
        <w:trPr>
          <w:trHeight w:val="30" w:hRule="atLeast"/>
        </w:trPr>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труда, всего</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 чел.</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794,0</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2 659,3</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3 086,4</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3 642,8</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долл. / чел.</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5 386,5</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7 978,8</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9 287,1</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9 481,5</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Целевой регион</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 чел.</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952,3</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2 859,7</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3 527,9</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4 098,9</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долл. / чел.</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6 460,3</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8 580,2</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10 615,8</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10 668,7</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r>
      <w:tr>
        <w:trPr>
          <w:trHeight w:val="30" w:hRule="atLeast"/>
        </w:trPr>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 чел.</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793,1</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2 569,7</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2 931,6</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3 322,6</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долл. / чел.</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5 380,6</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7 710,2</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8 821,2</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8 648,2</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r>
      <w:tr>
        <w:trPr>
          <w:trHeight w:val="30" w:hRule="atLeast"/>
        </w:trPr>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 чел.</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893,1</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7 013,7</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7 994,1</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8 870,8</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долл. / чел.</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6 059,1</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21 043,9</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24 054,7</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23 089,0</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 чел.</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1 044,9</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1 841,0</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2 387,2</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3 011,3</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долл. / чел.</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7 088,9</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5 523,6</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7 183,1</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7 837,9</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 чел.</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777,8</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2 327,6</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2 941,3</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3 467,3</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долл. / чел.</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5 276,9</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6 983,6</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8 850,6</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9 024,6</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r>
      <w:tr>
        <w:trPr>
          <w:trHeight w:val="30" w:hRule="atLeast"/>
        </w:trPr>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 чел.</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1 127,9</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4 026,3</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5 096,2</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5 440,7</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долл. / чел.</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7 651,6</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12 080,4</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15 334,8</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14 161,0</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r>
    </w:tbl>
    <w:p>
      <w:pPr>
        <w:spacing w:after="0"/>
        <w:ind w:left="0"/>
        <w:jc w:val="left"/>
      </w:pPr>
      <w:r>
        <w:br/>
      </w:r>
      <w:r>
        <w:rPr>
          <w:rFonts w:ascii="Times New Roman"/>
          <w:b w:val="false"/>
          <w:i w:val="false"/>
          <w:color w:val="000000"/>
          <w:sz w:val="28"/>
        </w:rPr>
        <w:t>
</w:t>
      </w:r>
    </w:p>
    <w:bookmarkStart w:name="z288" w:id="266"/>
    <w:p>
      <w:pPr>
        <w:spacing w:after="0"/>
        <w:ind w:left="0"/>
        <w:jc w:val="both"/>
      </w:pPr>
      <w:r>
        <w:rPr>
          <w:rFonts w:ascii="Times New Roman"/>
          <w:b w:val="false"/>
          <w:i w:val="false"/>
          <w:color w:val="000000"/>
          <w:sz w:val="28"/>
        </w:rPr>
        <w:t>
      Объем инвестиций в основной капитал в АПК Республики Казахстан в 2018 году составил 395,6 млрд тенге, что на 12,2% больше, чем в 2017 году (352,5 млрд тенге) и на 55,9% больше, чем в 2016 году (253,7 млрд тенге). В сравнении с 2010 годом, инвестиции в сельское хозяйство увеличились в 4,3 раза в тенге и на 64,3% в долларах США. Несмотря на рост, инвестиции в основной капитал сельского хозяйства занимает незначительную долю в общем объеме инвестиций – всего 6,5%. Всего на долю Целевого региона в 2018 году пришлось 54,5% от общего объема инвестиций в сельское хозяйство</w:t>
      </w:r>
      <w:r>
        <w:rPr>
          <w:rFonts w:ascii="Times New Roman"/>
          <w:b w:val="false"/>
          <w:i w:val="false"/>
          <w:color w:val="000000"/>
          <w:vertAlign w:val="superscript"/>
        </w:rPr>
        <w:t>24</w:t>
      </w:r>
      <w:r>
        <w:rPr>
          <w:rFonts w:ascii="Times New Roman"/>
          <w:b w:val="false"/>
          <w:i w:val="false"/>
          <w:color w:val="000000"/>
          <w:sz w:val="28"/>
        </w:rPr>
        <w:t>. Среди регионов, наибольший объем инвестиций пришелся на Северо-Казахстанскую область – 82,9 млрд тенге, или 21%.</w:t>
      </w:r>
    </w:p>
    <w:bookmarkEnd w:id="266"/>
    <w:bookmarkStart w:name="z289" w:id="267"/>
    <w:p>
      <w:pPr>
        <w:spacing w:after="0"/>
        <w:ind w:left="0"/>
        <w:jc w:val="both"/>
      </w:pPr>
      <w:r>
        <w:rPr>
          <w:rFonts w:ascii="Times New Roman"/>
          <w:b w:val="false"/>
          <w:i w:val="false"/>
          <w:color w:val="000000"/>
          <w:sz w:val="28"/>
        </w:rPr>
        <w:t>
      Для сравнения, в Канаде в сельское хозяйство инвестируются в среднем 12 млрд долларов в год. Инвестиции на 1 га пашни составляют в Канаде около 330 долларов, в Казахстане – около 50 долларов, или в 6,6 раза меньше. При этом в развитых странах основной объем инвестиций в сельское хозяйство направляется в науку и образование, что приносит наибольшую отдачу в сравнении с другими видами вложений в сельское хозяйство согласно данным Международного научно-исследовательского института продовольственной политики (IFPRI, CGIAR). К примеру, Служба экономических исследований Министерства сельского хозяйства США (United States Department of Agriculture, Economic Research Service) отмечает прямую зависимость между размером инвестиций в научно-техническую деятельность и производительностью труда в сельском хозяйстве. По данным Министерства сельского хозяйства Канады, каждый доллар, инвестированный в сельскохозяйственные исследования, приносит не менее 40 долларов прибыли в форме прироста продуктивности. Один доллар, затраченный на селекцию кукурузы, приносит выгоду в 65 долларов за счет прибавки урожая и улучшения качества зерна. Каждый доллар, затраченный на селекцию масличного рапса, приносит выгоду в 46 долларов</w:t>
      </w:r>
      <w:r>
        <w:rPr>
          <w:rFonts w:ascii="Times New Roman"/>
          <w:b w:val="false"/>
          <w:i w:val="false"/>
          <w:color w:val="000000"/>
          <w:vertAlign w:val="superscript"/>
        </w:rPr>
        <w:t>25</w:t>
      </w:r>
      <w:r>
        <w:rPr>
          <w:rFonts w:ascii="Times New Roman"/>
          <w:b w:val="false"/>
          <w:i w:val="false"/>
          <w:color w:val="000000"/>
          <w:sz w:val="28"/>
        </w:rPr>
        <w:t>.</w:t>
      </w:r>
    </w:p>
    <w:bookmarkEnd w:id="267"/>
    <w:bookmarkStart w:name="z290" w:id="268"/>
    <w:p>
      <w:pPr>
        <w:spacing w:after="0"/>
        <w:ind w:left="0"/>
        <w:jc w:val="both"/>
      </w:pPr>
      <w:r>
        <w:rPr>
          <w:rFonts w:ascii="Times New Roman"/>
          <w:b w:val="false"/>
          <w:i w:val="false"/>
          <w:color w:val="000000"/>
          <w:sz w:val="28"/>
        </w:rPr>
        <w:t>
      ________________________</w:t>
      </w:r>
    </w:p>
    <w:bookmarkEnd w:id="268"/>
    <w:bookmarkStart w:name="z291" w:id="26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24</w:t>
      </w:r>
      <w:r>
        <w:rPr>
          <w:rFonts w:ascii="Times New Roman"/>
          <w:b w:val="false"/>
          <w:i w:val="false"/>
          <w:color w:val="000000"/>
          <w:sz w:val="28"/>
        </w:rPr>
        <w:t>https://bnews.kz/ru/news/obem_investitsii_v_apk_viros_na_29</w:t>
      </w:r>
    </w:p>
    <w:bookmarkEnd w:id="269"/>
    <w:bookmarkStart w:name="z292" w:id="27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25</w:t>
      </w:r>
      <w:r>
        <w:rPr>
          <w:rFonts w:ascii="Times New Roman"/>
          <w:b w:val="false"/>
          <w:i w:val="false"/>
          <w:color w:val="000000"/>
          <w:sz w:val="28"/>
        </w:rPr>
        <w:t>The National Strategy for Agri-Food Research and Technology Transfer, CARS, Ottawa, 1992</w:t>
      </w:r>
    </w:p>
    <w:bookmarkEnd w:id="2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3" w:id="271"/>
    <w:p>
      <w:pPr>
        <w:spacing w:after="0"/>
        <w:ind w:left="0"/>
        <w:jc w:val="both"/>
      </w:pPr>
      <w:r>
        <w:rPr>
          <w:rFonts w:ascii="Times New Roman"/>
          <w:b w:val="false"/>
          <w:i w:val="false"/>
          <w:color w:val="000000"/>
          <w:sz w:val="28"/>
        </w:rPr>
        <w:t xml:space="preserve">
      В целом, проведенный анализ свидетельствует о наличии высокого спроса со стороны субъектов АПК на квалифицированные специалисты. Макроэкономическая среда Целевого региона характеризуется значительным, до настоящего времени не реализованным, потенциалом развития АПК, что обуславливает перспективы роста потребности в специалистах, особенно вызванные изменением требований к качеству подготовки, характеру знаний и навыков выпускников. В этой связи, поддержка сельскохозяйственных исследований и подготовки кадров, наряду с совершенствованием модели их организации, может служить ключевым шагом для полноценной реализации имеющегося потенциала. Поэтому, реализация Программы соответствует потребностям АПК Целевого региона и в целом будет способствовать повышению его конкурентоспособности за счет подготовки специалистов с актуальными компетенциями, создания конкурентоспособных инноваций и их передачи конечным потребителям. </w:t>
      </w:r>
    </w:p>
    <w:bookmarkEnd w:id="271"/>
    <w:p>
      <w:pPr>
        <w:spacing w:after="0"/>
        <w:ind w:left="0"/>
        <w:jc w:val="both"/>
      </w:pPr>
      <w:r>
        <w:rPr>
          <w:rFonts w:ascii="Times New Roman"/>
          <w:b/>
          <w:i w:val="false"/>
          <w:color w:val="000000"/>
          <w:sz w:val="28"/>
        </w:rPr>
        <w:t xml:space="preserve">4.4. Проблемы, требующие решения для создания исследовательского аграрного университета </w:t>
      </w:r>
    </w:p>
    <w:bookmarkStart w:name="z295" w:id="272"/>
    <w:p>
      <w:pPr>
        <w:spacing w:after="0"/>
        <w:ind w:left="0"/>
        <w:jc w:val="both"/>
      </w:pPr>
      <w:r>
        <w:rPr>
          <w:rFonts w:ascii="Times New Roman"/>
          <w:b w:val="false"/>
          <w:i w:val="false"/>
          <w:color w:val="000000"/>
          <w:sz w:val="28"/>
        </w:rPr>
        <w:t>
      По результатам анализа проделанной работы и проблемных вопросов реформирования КАТУ, состояния отечественной системы аграрной науки и подготовки кадров для АПК, и передового зарубежного опыта поддержки технологического развития аграрного сектора, для успешного реформирования КАТУ в исследовательский аграрный университет западного типа требуют решения следующие вопросы:</w:t>
      </w:r>
    </w:p>
    <w:bookmarkEnd w:id="272"/>
    <w:bookmarkStart w:name="z296" w:id="273"/>
    <w:p>
      <w:pPr>
        <w:spacing w:after="0"/>
        <w:ind w:left="0"/>
        <w:jc w:val="both"/>
      </w:pPr>
      <w:r>
        <w:rPr>
          <w:rFonts w:ascii="Times New Roman"/>
          <w:b w:val="false"/>
          <w:i w:val="false"/>
          <w:color w:val="000000"/>
          <w:sz w:val="28"/>
        </w:rPr>
        <w:t xml:space="preserve">
      1. Предоставление стабильного, достаточного финансирования в целях непрерывности реформирования КАТУ и достижения запланированных результатов. В частности, собственных ресурсов КАТУ недостаточно для масштабной модернизации и расширения инфраструктуры, расширения и углубления научных исследований, кардинальной реформы организации и содержания образовательного процесса, академической мобильности, стажировок ППС, стабильной работы офисов распространения знаний и коммерциализации технологий. </w:t>
      </w:r>
    </w:p>
    <w:bookmarkEnd w:id="273"/>
    <w:bookmarkStart w:name="z297" w:id="274"/>
    <w:p>
      <w:pPr>
        <w:spacing w:after="0"/>
        <w:ind w:left="0"/>
        <w:jc w:val="both"/>
      </w:pPr>
      <w:r>
        <w:rPr>
          <w:rFonts w:ascii="Times New Roman"/>
          <w:b w:val="false"/>
          <w:i w:val="false"/>
          <w:color w:val="000000"/>
          <w:sz w:val="28"/>
        </w:rPr>
        <w:t>
      2. Переход к новой модели управления по примеру ведущих в мире исследовательских аграрных университетов и АОО "Назарбаев Университет" как наиболее гибкой и эффективной системы управления научными исследованиями, подготовкой кадров и внедрением научных результатов. Соответственно, должны быть завершены реформа всех уровней управления и реорганизация в некоммерческую организацию.</w:t>
      </w:r>
    </w:p>
    <w:bookmarkEnd w:id="274"/>
    <w:bookmarkStart w:name="z298" w:id="275"/>
    <w:p>
      <w:pPr>
        <w:spacing w:after="0"/>
        <w:ind w:left="0"/>
        <w:jc w:val="both"/>
      </w:pPr>
      <w:r>
        <w:rPr>
          <w:rFonts w:ascii="Times New Roman"/>
          <w:b w:val="false"/>
          <w:i w:val="false"/>
          <w:color w:val="000000"/>
          <w:sz w:val="28"/>
        </w:rPr>
        <w:t>
      3. Расширение направлений и углубление научных исследований. Научные исследования, проводимые в КАТУ, с одной стороны, должны охватывать ключевые технологические проблемы в АПК Целевого региона, а с другой стороны – соответствовать приоритетам мировой аграрной науки, чтобы поддерживать трансферт компетенций и технологий, способствовать путем интеграции в мировое научно-образовательное пространство. Уровень научной компетенции в фундаментальных науках, академический профиль и система управления научными исследованиями должны обеспечить высокое качество научных результатов, междисциплинарный и комплексный подходы к исследуемой проблеме.</w:t>
      </w:r>
    </w:p>
    <w:bookmarkEnd w:id="275"/>
    <w:bookmarkStart w:name="z299" w:id="276"/>
    <w:p>
      <w:pPr>
        <w:spacing w:after="0"/>
        <w:ind w:left="0"/>
        <w:jc w:val="both"/>
      </w:pPr>
      <w:r>
        <w:rPr>
          <w:rFonts w:ascii="Times New Roman"/>
          <w:b w:val="false"/>
          <w:i w:val="false"/>
          <w:color w:val="000000"/>
          <w:sz w:val="28"/>
        </w:rPr>
        <w:t>
      4. Модернизация академической среды, включающая:</w:t>
      </w:r>
    </w:p>
    <w:bookmarkEnd w:id="276"/>
    <w:bookmarkStart w:name="z300" w:id="277"/>
    <w:p>
      <w:pPr>
        <w:spacing w:after="0"/>
        <w:ind w:left="0"/>
        <w:jc w:val="both"/>
      </w:pPr>
      <w:r>
        <w:rPr>
          <w:rFonts w:ascii="Times New Roman"/>
          <w:b w:val="false"/>
          <w:i w:val="false"/>
          <w:color w:val="000000"/>
          <w:sz w:val="28"/>
        </w:rPr>
        <w:t>
      а) обновление содержания образовательных программ и организацию образовательного процесса по модели ведущих в мире исследовательских аграрных университетов, с акцентом на развитие востребованных компетенций и навыков самостоятельного нахождения оптимальных решений в различных практических ситуациях согласно ожиданиям работодателей;</w:t>
      </w:r>
    </w:p>
    <w:bookmarkEnd w:id="277"/>
    <w:bookmarkStart w:name="z301" w:id="278"/>
    <w:p>
      <w:pPr>
        <w:spacing w:after="0"/>
        <w:ind w:left="0"/>
        <w:jc w:val="both"/>
      </w:pPr>
      <w:r>
        <w:rPr>
          <w:rFonts w:ascii="Times New Roman"/>
          <w:b w:val="false"/>
          <w:i w:val="false"/>
          <w:color w:val="000000"/>
          <w:sz w:val="28"/>
        </w:rPr>
        <w:t>
      б) создание условий для развития ППС путем участия в научных исследованиях, углубленного изучения иностранных языков и освоения современных методов преподавания;</w:t>
      </w:r>
    </w:p>
    <w:bookmarkEnd w:id="278"/>
    <w:bookmarkStart w:name="z302" w:id="279"/>
    <w:p>
      <w:pPr>
        <w:spacing w:after="0"/>
        <w:ind w:left="0"/>
        <w:jc w:val="both"/>
      </w:pPr>
      <w:r>
        <w:rPr>
          <w:rFonts w:ascii="Times New Roman"/>
          <w:b w:val="false"/>
          <w:i w:val="false"/>
          <w:color w:val="000000"/>
          <w:sz w:val="28"/>
        </w:rPr>
        <w:t>
      в) расширение спектра вспомогательных услуг для обучающихся с целью создания благоприятных условий для их всестороннего развития и успешного освоения образовательных программ.</w:t>
      </w:r>
    </w:p>
    <w:bookmarkEnd w:id="279"/>
    <w:bookmarkStart w:name="z303" w:id="280"/>
    <w:p>
      <w:pPr>
        <w:spacing w:after="0"/>
        <w:ind w:left="0"/>
        <w:jc w:val="both"/>
      </w:pPr>
      <w:r>
        <w:rPr>
          <w:rFonts w:ascii="Times New Roman"/>
          <w:b w:val="false"/>
          <w:i w:val="false"/>
          <w:color w:val="000000"/>
          <w:sz w:val="28"/>
        </w:rPr>
        <w:t>
      5. Реформирование кадровой политики, в том числе:</w:t>
      </w:r>
    </w:p>
    <w:bookmarkEnd w:id="280"/>
    <w:bookmarkStart w:name="z304" w:id="281"/>
    <w:p>
      <w:pPr>
        <w:spacing w:after="0"/>
        <w:ind w:left="0"/>
        <w:jc w:val="both"/>
      </w:pPr>
      <w:r>
        <w:rPr>
          <w:rFonts w:ascii="Times New Roman"/>
          <w:b w:val="false"/>
          <w:i w:val="false"/>
          <w:color w:val="000000"/>
          <w:sz w:val="28"/>
        </w:rPr>
        <w:t>
      а) создание системы найма и карьерного продвижения, стимулирующей постоянное профессиональное развитие и обеспечивающей условия для полной реализации потенциала работников;</w:t>
      </w:r>
    </w:p>
    <w:bookmarkEnd w:id="281"/>
    <w:bookmarkStart w:name="z305" w:id="282"/>
    <w:p>
      <w:pPr>
        <w:spacing w:after="0"/>
        <w:ind w:left="0"/>
        <w:jc w:val="both"/>
      </w:pPr>
      <w:r>
        <w:rPr>
          <w:rFonts w:ascii="Times New Roman"/>
          <w:b w:val="false"/>
          <w:i w:val="false"/>
          <w:color w:val="000000"/>
          <w:sz w:val="28"/>
        </w:rPr>
        <w:t>
      б) расширение участия ППС и обучающихся в научных исследованиях, сдерживаемое недостаточным внешним финансированием, нехваткой собственной инфраструктуры, и системой организации труда и вознаграждения, приоретизирующей преподавательскую деятельность.</w:t>
      </w:r>
    </w:p>
    <w:bookmarkEnd w:id="282"/>
    <w:bookmarkStart w:name="z306" w:id="283"/>
    <w:p>
      <w:pPr>
        <w:spacing w:after="0"/>
        <w:ind w:left="0"/>
        <w:jc w:val="both"/>
      </w:pPr>
      <w:r>
        <w:rPr>
          <w:rFonts w:ascii="Times New Roman"/>
          <w:b w:val="false"/>
          <w:i w:val="false"/>
          <w:color w:val="000000"/>
          <w:sz w:val="28"/>
        </w:rPr>
        <w:t xml:space="preserve">
      6. Расширение механизмов внедрения научных результатов КАТУ и взаимодействия с субъектами негосударственного сектора – работодателями выпускников и потребителями инноваций. Неразвитая практика ориентации на нужды конечных потребителей существенно затрудняет привлечение ресурсов из негосударственного сектора и формирование положительного имиджа КАТУ на рынке, что требует кардинальных улучшений в данной сфере. </w:t>
      </w:r>
    </w:p>
    <w:bookmarkEnd w:id="283"/>
    <w:bookmarkStart w:name="z307" w:id="284"/>
    <w:p>
      <w:pPr>
        <w:spacing w:after="0"/>
        <w:ind w:left="0"/>
        <w:jc w:val="both"/>
      </w:pPr>
      <w:r>
        <w:rPr>
          <w:rFonts w:ascii="Times New Roman"/>
          <w:b w:val="false"/>
          <w:i w:val="false"/>
          <w:color w:val="000000"/>
          <w:sz w:val="28"/>
        </w:rPr>
        <w:t>
      7. Расширение инфраструктуры для обеспечения базовых потребностей и основных направлений деятельности КАТУ, в том числе:</w:t>
      </w:r>
    </w:p>
    <w:bookmarkEnd w:id="284"/>
    <w:bookmarkStart w:name="z308" w:id="285"/>
    <w:p>
      <w:pPr>
        <w:spacing w:after="0"/>
        <w:ind w:left="0"/>
        <w:jc w:val="both"/>
      </w:pPr>
      <w:r>
        <w:rPr>
          <w:rFonts w:ascii="Times New Roman"/>
          <w:b w:val="false"/>
          <w:i w:val="false"/>
          <w:color w:val="000000"/>
          <w:sz w:val="28"/>
        </w:rPr>
        <w:t>
      а) модернизация имеющейся инфраструктуры с учетом универсальности, междисциплинарности и расширения академического профиля КАТУ;</w:t>
      </w:r>
    </w:p>
    <w:bookmarkEnd w:id="285"/>
    <w:bookmarkStart w:name="z309" w:id="286"/>
    <w:p>
      <w:pPr>
        <w:spacing w:after="0"/>
        <w:ind w:left="0"/>
        <w:jc w:val="both"/>
      </w:pPr>
      <w:r>
        <w:rPr>
          <w:rFonts w:ascii="Times New Roman"/>
          <w:b w:val="false"/>
          <w:i w:val="false"/>
          <w:color w:val="000000"/>
          <w:sz w:val="28"/>
        </w:rPr>
        <w:t xml:space="preserve">
      б) создание недостающей инфраструктуры с целью обеспечения комфортной рабочей среды для ППС и обучающихся в соответствии с новыми требованиями к образовательному процессу, научным исследованиям и вспомогательным услугам. </w:t>
      </w:r>
    </w:p>
    <w:bookmarkEnd w:id="286"/>
    <w:bookmarkStart w:name="z310" w:id="287"/>
    <w:p>
      <w:pPr>
        <w:spacing w:after="0"/>
        <w:ind w:left="0"/>
        <w:jc w:val="both"/>
      </w:pPr>
      <w:r>
        <w:rPr>
          <w:rFonts w:ascii="Times New Roman"/>
          <w:b w:val="false"/>
          <w:i w:val="false"/>
          <w:color w:val="000000"/>
          <w:sz w:val="28"/>
        </w:rPr>
        <w:t>
      Последовательное и комплексное решение всех указанных вопросов достигается путем планомерного развития исследовательского агарного университета на базе КАТУ в соответствии с настоящей Программой.</w:t>
      </w:r>
    </w:p>
    <w:bookmarkEnd w:id="287"/>
    <w:p>
      <w:pPr>
        <w:spacing w:after="0"/>
        <w:ind w:left="0"/>
        <w:jc w:val="both"/>
      </w:pPr>
      <w:r>
        <w:rPr>
          <w:rFonts w:ascii="Times New Roman"/>
          <w:b/>
          <w:i w:val="false"/>
          <w:color w:val="000000"/>
          <w:sz w:val="28"/>
        </w:rPr>
        <w:t>5. Видение Программы</w:t>
      </w:r>
    </w:p>
    <w:bookmarkStart w:name="z312" w:id="288"/>
    <w:p>
      <w:pPr>
        <w:spacing w:after="0"/>
        <w:ind w:left="0"/>
        <w:jc w:val="both"/>
      </w:pPr>
      <w:r>
        <w:rPr>
          <w:rFonts w:ascii="Times New Roman"/>
          <w:b w:val="false"/>
          <w:i w:val="false"/>
          <w:color w:val="000000"/>
          <w:sz w:val="28"/>
        </w:rPr>
        <w:t xml:space="preserve">
      Целью Программы является создание на базе КАТУ исследовательского аграрного университета по модели АОО "Назарбаев Университет" и ведущих в мире исследовательских университетов в сфере сельского хозяйства. </w:t>
      </w:r>
    </w:p>
    <w:bookmarkEnd w:id="288"/>
    <w:bookmarkStart w:name="z313" w:id="289"/>
    <w:p>
      <w:pPr>
        <w:spacing w:after="0"/>
        <w:ind w:left="0"/>
        <w:jc w:val="both"/>
      </w:pPr>
      <w:r>
        <w:rPr>
          <w:rFonts w:ascii="Times New Roman"/>
          <w:b w:val="false"/>
          <w:i w:val="false"/>
          <w:color w:val="000000"/>
          <w:sz w:val="28"/>
        </w:rPr>
        <w:t>
      За основу модели исследовательского аграрного университета на базе КАТУ приняты государственные исследовательские университеты США ("land-grant"). Данная модель служит основной формой поддержки технологического развития аграрного сектора в США и предполагает приоритетное развитие университетов в качестве научно-образовательных центров штатов, сочетающих фундаментальные и прикладные научные исследования высокого уровня, уникальные, конкурентоспособные образовательные программы, и развитый инструментарий по продвижению результатов деятельности в практику. Аналогичные модели адаптированы и применяются в Австралии, Бразилии, Нидерландах, Германии, Китайской Народной Республике и других странах.</w:t>
      </w:r>
    </w:p>
    <w:bookmarkEnd w:id="289"/>
    <w:bookmarkStart w:name="z314" w:id="290"/>
    <w:p>
      <w:pPr>
        <w:spacing w:after="0"/>
        <w:ind w:left="0"/>
        <w:jc w:val="both"/>
      </w:pPr>
      <w:r>
        <w:rPr>
          <w:rFonts w:ascii="Times New Roman"/>
          <w:b w:val="false"/>
          <w:i w:val="false"/>
          <w:color w:val="000000"/>
          <w:sz w:val="28"/>
        </w:rPr>
        <w:t>
      Формируемая на базе КАТУ академическая среда будет нацелена на создание благоприятных условий для деятельности ППС и обучающихся, включая обеспечение необходимыми ресурсами и инфраструктурой для научно-исследовательской, образовательной и инновационной деятельности. В результате, КАТУ стремится завершить реформирование в современный исследовательский аграрный университет западного типа (см. рисунок 5.1):</w:t>
      </w:r>
    </w:p>
    <w:bookmarkEnd w:id="290"/>
    <w:bookmarkStart w:name="z315" w:id="291"/>
    <w:p>
      <w:pPr>
        <w:spacing w:after="0"/>
        <w:ind w:left="0"/>
        <w:jc w:val="both"/>
      </w:pPr>
      <w:r>
        <w:rPr>
          <w:rFonts w:ascii="Times New Roman"/>
          <w:b w:val="false"/>
          <w:i w:val="false"/>
          <w:color w:val="000000"/>
          <w:sz w:val="28"/>
        </w:rPr>
        <w:t>
      1) с конкурентоспособным научным потенциалом, обеспечивающим высокое качество научных результатов и задействованным в решении приоритетных задач по широкому спектру научных направлений;</w:t>
      </w:r>
    </w:p>
    <w:bookmarkEnd w:id="291"/>
    <w:bookmarkStart w:name="z316" w:id="292"/>
    <w:p>
      <w:pPr>
        <w:spacing w:after="0"/>
        <w:ind w:left="0"/>
        <w:jc w:val="both"/>
      </w:pPr>
      <w:r>
        <w:rPr>
          <w:rFonts w:ascii="Times New Roman"/>
          <w:b w:val="false"/>
          <w:i w:val="false"/>
          <w:color w:val="000000"/>
          <w:sz w:val="28"/>
        </w:rPr>
        <w:t>
      2) с уникальными образовательными программами, проецирующими научные результаты на образовательный процесс, обеспечивающими подготовку специалистов с фундаментальным образованием и развитыми навыками применения полученных знаний на практике;</w:t>
      </w:r>
    </w:p>
    <w:bookmarkEnd w:id="292"/>
    <w:bookmarkStart w:name="z317" w:id="293"/>
    <w:p>
      <w:pPr>
        <w:spacing w:after="0"/>
        <w:ind w:left="0"/>
        <w:jc w:val="both"/>
      </w:pPr>
      <w:r>
        <w:rPr>
          <w:rFonts w:ascii="Times New Roman"/>
          <w:b w:val="false"/>
          <w:i w:val="false"/>
          <w:color w:val="000000"/>
          <w:sz w:val="28"/>
        </w:rPr>
        <w:t>
      3) интегрированный в мировое научно-образовательное пространство, имеющее активные партнерские связи с ведущими в мире исследовательскими университетами и научными центрами аналогичного профиля для постоянного доступа к передовым научным результатам и практике;</w:t>
      </w:r>
    </w:p>
    <w:bookmarkEnd w:id="293"/>
    <w:bookmarkStart w:name="z318" w:id="294"/>
    <w:p>
      <w:pPr>
        <w:spacing w:after="0"/>
        <w:ind w:left="0"/>
        <w:jc w:val="both"/>
      </w:pPr>
      <w:r>
        <w:rPr>
          <w:rFonts w:ascii="Times New Roman"/>
          <w:b w:val="false"/>
          <w:i w:val="false"/>
          <w:color w:val="000000"/>
          <w:sz w:val="28"/>
        </w:rPr>
        <w:t>
      4) поддерживающий эффективные механизмы взаимодействия с основными выгодополучателями (государственные органы, субъекты предпринимательства, общество) для ускоренного продвижения продуктов и ориентации деятельности на их актуальные потребности;</w:t>
      </w:r>
    </w:p>
    <w:bookmarkEnd w:id="294"/>
    <w:bookmarkStart w:name="z319" w:id="295"/>
    <w:p>
      <w:pPr>
        <w:spacing w:after="0"/>
        <w:ind w:left="0"/>
        <w:jc w:val="both"/>
      </w:pPr>
      <w:r>
        <w:rPr>
          <w:rFonts w:ascii="Times New Roman"/>
          <w:b w:val="false"/>
          <w:i w:val="false"/>
          <w:color w:val="000000"/>
          <w:sz w:val="28"/>
        </w:rPr>
        <w:t>
      5) активно внедряющий научные результаты через образовательный процесс, распространение знаний и коммерциализацию технологий;</w:t>
      </w:r>
    </w:p>
    <w:bookmarkEnd w:id="295"/>
    <w:bookmarkStart w:name="z320" w:id="296"/>
    <w:p>
      <w:pPr>
        <w:spacing w:after="0"/>
        <w:ind w:left="0"/>
        <w:jc w:val="both"/>
      </w:pPr>
      <w:r>
        <w:rPr>
          <w:rFonts w:ascii="Times New Roman"/>
          <w:b w:val="false"/>
          <w:i w:val="false"/>
          <w:color w:val="000000"/>
          <w:sz w:val="28"/>
        </w:rPr>
        <w:t>
      6) обеспеченный современной инфраструктурой, поддерживающей на высоком уровне все направления деятельности и основные области академического профиля;</w:t>
      </w:r>
    </w:p>
    <w:bookmarkEnd w:id="296"/>
    <w:bookmarkStart w:name="z321" w:id="297"/>
    <w:p>
      <w:pPr>
        <w:spacing w:after="0"/>
        <w:ind w:left="0"/>
        <w:jc w:val="both"/>
      </w:pPr>
      <w:r>
        <w:rPr>
          <w:rFonts w:ascii="Times New Roman"/>
          <w:b w:val="false"/>
          <w:i w:val="false"/>
          <w:color w:val="000000"/>
          <w:sz w:val="28"/>
        </w:rPr>
        <w:t>
      7) с одной из лучших систем управления среди высших учебных заведений Республики Казахстан.</w:t>
      </w:r>
    </w:p>
    <w:bookmarkEnd w:id="297"/>
    <w:bookmarkStart w:name="z322"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299"/>
    <w:p>
      <w:pPr>
        <w:spacing w:after="0"/>
        <w:ind w:left="0"/>
        <w:jc w:val="both"/>
      </w:pPr>
      <w:r>
        <w:rPr>
          <w:rFonts w:ascii="Times New Roman"/>
          <w:b w:val="false"/>
          <w:i w:val="false"/>
          <w:color w:val="000000"/>
          <w:sz w:val="28"/>
        </w:rPr>
        <w:t>
      Рисунок 5.1 – Модель исследовательского аграрного университета, создаваемого на базе КАТУ</w:t>
      </w:r>
    </w:p>
    <w:bookmarkEnd w:id="299"/>
    <w:p>
      <w:pPr>
        <w:spacing w:after="0"/>
        <w:ind w:left="0"/>
        <w:jc w:val="both"/>
      </w:pPr>
      <w:r>
        <w:rPr>
          <w:rFonts w:ascii="Times New Roman"/>
          <w:b/>
          <w:i w:val="false"/>
          <w:color w:val="000000"/>
          <w:sz w:val="28"/>
        </w:rPr>
        <w:t>6. Миссия Программы</w:t>
      </w:r>
    </w:p>
    <w:bookmarkStart w:name="z325" w:id="300"/>
    <w:p>
      <w:pPr>
        <w:spacing w:after="0"/>
        <w:ind w:left="0"/>
        <w:jc w:val="both"/>
      </w:pPr>
      <w:r>
        <w:rPr>
          <w:rFonts w:ascii="Times New Roman"/>
          <w:b w:val="false"/>
          <w:i w:val="false"/>
          <w:color w:val="000000"/>
          <w:sz w:val="28"/>
        </w:rPr>
        <w:t>
      Миссией КАТУ является генерация, внедрение, распространение и применение передовых знаний для улучшения качества жизни, повышения производительности труда и конкурентоспособности АПК и других отраслей экономики Казахстана.</w:t>
      </w:r>
    </w:p>
    <w:bookmarkEnd w:id="300"/>
    <w:bookmarkStart w:name="z326" w:id="301"/>
    <w:p>
      <w:pPr>
        <w:spacing w:after="0"/>
        <w:ind w:left="0"/>
        <w:jc w:val="both"/>
      </w:pPr>
      <w:r>
        <w:rPr>
          <w:rFonts w:ascii="Times New Roman"/>
          <w:b w:val="false"/>
          <w:i w:val="false"/>
          <w:color w:val="000000"/>
          <w:sz w:val="28"/>
        </w:rPr>
        <w:t>
      Программа нацелена на завершение реформирования системы управления, организации научных исследований, образовательного процесса, продвижения результатов деятельности в реальный сектор экономики и общественные процессы, и предусматривает обеспечение КАТУ необходимыми кадровыми, инфраструктурными и финансовыми ресурсами для становления в качестве исследовательского аграрного университета западного типа и дальнейшего устойчивого функционирования.</w:t>
      </w:r>
    </w:p>
    <w:bookmarkEnd w:id="301"/>
    <w:p>
      <w:pPr>
        <w:spacing w:after="0"/>
        <w:ind w:left="0"/>
        <w:jc w:val="both"/>
      </w:pPr>
      <w:r>
        <w:rPr>
          <w:rFonts w:ascii="Times New Roman"/>
          <w:b/>
          <w:i w:val="false"/>
          <w:color w:val="000000"/>
          <w:sz w:val="28"/>
        </w:rPr>
        <w:t>7. Стратегический блок Программы</w:t>
      </w:r>
    </w:p>
    <w:p>
      <w:pPr>
        <w:spacing w:after="0"/>
        <w:ind w:left="0"/>
        <w:jc w:val="both"/>
      </w:pPr>
      <w:r>
        <w:rPr>
          <w:rFonts w:ascii="Times New Roman"/>
          <w:b/>
          <w:i w:val="false"/>
          <w:color w:val="000000"/>
          <w:sz w:val="28"/>
        </w:rPr>
        <w:t>7.1. Место и роль КАТУ в системе высшего и послевузовского образования Казахстана</w:t>
      </w:r>
    </w:p>
    <w:bookmarkStart w:name="z329" w:id="302"/>
    <w:p>
      <w:pPr>
        <w:spacing w:after="0"/>
        <w:ind w:left="0"/>
        <w:jc w:val="both"/>
      </w:pPr>
      <w:r>
        <w:rPr>
          <w:rFonts w:ascii="Times New Roman"/>
          <w:b w:val="false"/>
          <w:i w:val="false"/>
          <w:color w:val="000000"/>
          <w:sz w:val="28"/>
        </w:rPr>
        <w:t>
      Благодаря реформам, КАТУ традиционно входит в число ведущих университетов Казахстана. Начиная с 2014 года, КАТУ участвует в рейтинге вузов Республики Казахстан Независимого агентства аккредитации и рейтинга (НААР) и стабильно входит в 10 ведущих высших учебных заведений (далее – ВУЗ) страны. В 2019 году КАТУ занял 3 место из 87 в рейтинге востребованности вузов Республики Казахстан. По сельскохозяйственным наукам и ветеринарии КАТУ занял 2 место, по техническим наукам – 5 место, по экономическим наукам – 6 место. Лучшими в Республике Казахстан признаны 19 образовательных программ КАТУ, 32 программы занимают 2 место, и 12 программ – 3 место. Всего в тройку лучших вошли 63 образовательных программ КАТУ, что в 3,3 раза больше, чем в 2014 году (см. рисунок 7.1.1).</w:t>
      </w:r>
    </w:p>
    <w:bookmarkEnd w:id="302"/>
    <w:bookmarkStart w:name="z330"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 w:id="304"/>
    <w:p>
      <w:pPr>
        <w:spacing w:after="0"/>
        <w:ind w:left="0"/>
        <w:jc w:val="both"/>
      </w:pPr>
      <w:r>
        <w:rPr>
          <w:rFonts w:ascii="Times New Roman"/>
          <w:b w:val="false"/>
          <w:i w:val="false"/>
          <w:color w:val="000000"/>
          <w:sz w:val="28"/>
        </w:rPr>
        <w:t>
      Рисунок 7.1.1 – Представленность образовательных программ КАТУ в национальном рейтинге НААР</w:t>
      </w:r>
    </w:p>
    <w:bookmarkEnd w:id="304"/>
    <w:bookmarkStart w:name="z332" w:id="305"/>
    <w:p>
      <w:pPr>
        <w:spacing w:after="0"/>
        <w:ind w:left="0"/>
        <w:jc w:val="both"/>
      </w:pPr>
      <w:r>
        <w:rPr>
          <w:rFonts w:ascii="Times New Roman"/>
          <w:b w:val="false"/>
          <w:i w:val="false"/>
          <w:color w:val="000000"/>
          <w:sz w:val="28"/>
        </w:rPr>
        <w:t xml:space="preserve">
      В 2018 году КАТУ занял первое место среди университетов сельскохозяйственного профиля согласно рейтингу Национальной палаты предпринимателей "Атамекен", отражающему консолидированное мнение работодателей о качестве подготовки специалистов в вузах. Рейтинг охватывал 784 программы 114 вузов по 33 специальностям. В десять лучших вошли 8 образовательных программ КАТУ, а образовательная программа "Геодезия и картография" признана лучшей в Казахстане. </w:t>
      </w:r>
    </w:p>
    <w:bookmarkEnd w:id="305"/>
    <w:bookmarkStart w:name="z333" w:id="306"/>
    <w:p>
      <w:pPr>
        <w:spacing w:after="0"/>
        <w:ind w:left="0"/>
        <w:jc w:val="both"/>
      </w:pPr>
      <w:r>
        <w:rPr>
          <w:rFonts w:ascii="Times New Roman"/>
          <w:b w:val="false"/>
          <w:i w:val="false"/>
          <w:color w:val="000000"/>
          <w:sz w:val="28"/>
        </w:rPr>
        <w:t xml:space="preserve">
      КАТУ является одним из крупнейших вузов Казахстана. Академический профиль КАТУ является междисциплинарным и охватывает 8 из 12 направлений подготовки. КАТУ занял пятое место в стране и первое среди университетов аграрного профиля по численности абитуриентов – обладателей государственных образовательных грантов в 2018 – 2019 учебном году. По численности контингента обучающихся КАТУ занимал четвертое место, после ведущих университетов страны – Казахского национального университета имени аль-Фараби, Евразийского национального университета имени Л.Н. Гумилева, и Южно-Казахстанского государственного университета имени М. Ауезова, представляющего самый густонаселенный регион. </w:t>
      </w:r>
    </w:p>
    <w:bookmarkEnd w:id="306"/>
    <w:bookmarkStart w:name="z334" w:id="307"/>
    <w:p>
      <w:pPr>
        <w:spacing w:after="0"/>
        <w:ind w:left="0"/>
        <w:jc w:val="both"/>
      </w:pPr>
      <w:r>
        <w:rPr>
          <w:rFonts w:ascii="Times New Roman"/>
          <w:b w:val="false"/>
          <w:i w:val="false"/>
          <w:color w:val="000000"/>
          <w:sz w:val="28"/>
        </w:rPr>
        <w:t>
      Среди ППС КАТУ, за 2011 – 2018 годы награждены государственными наградами 10 человек, ведомственными наградами – 48 человек, ведомственными почетными наградами и благодарственными письмами – 137 человек. В КАТУ работают 43 выпускника программы "Болашак" и 78 обладателей гранта "Лучший преподаватель вуза".</w:t>
      </w:r>
    </w:p>
    <w:bookmarkEnd w:id="307"/>
    <w:bookmarkStart w:name="z335" w:id="308"/>
    <w:p>
      <w:pPr>
        <w:spacing w:after="0"/>
        <w:ind w:left="0"/>
        <w:jc w:val="both"/>
      </w:pPr>
      <w:r>
        <w:rPr>
          <w:rFonts w:ascii="Times New Roman"/>
          <w:b w:val="false"/>
          <w:i w:val="false"/>
          <w:color w:val="000000"/>
          <w:sz w:val="28"/>
        </w:rPr>
        <w:t>
      Как отмечалось в разделе 4.2., существенно увеличились объем научных исследований в КАТУ, численность ППС, участвующих в исследованиях, и количество публикаций в цитируемых изданиях. На долю КАТУ приходится 2% от общего объема грантового финансирования научных исследований в Казахстане, распределяемого на конкурсной основе. По объему финансирования научных исследований КАТУ входит в пятерку ведущих университетов страны и значительно опережает все университеты сельскохозяйственного профиля. По качеству научных публикаций, в том числе по количеству публикаций в изданиях первого квартиля, в 2018 году КАТУ занял 9 место в Казахстане среди всех вузов и научно-исследовательских организаций. КАТУ был отмечен наградой издательства Elsevier за наибольший рост публикаций в изданиях, индексируемых в наукометрической базе Scopus.</w:t>
      </w:r>
    </w:p>
    <w:bookmarkEnd w:id="308"/>
    <w:bookmarkStart w:name="z336" w:id="309"/>
    <w:p>
      <w:pPr>
        <w:spacing w:after="0"/>
        <w:ind w:left="0"/>
        <w:jc w:val="both"/>
      </w:pPr>
      <w:r>
        <w:rPr>
          <w:rFonts w:ascii="Times New Roman"/>
          <w:b w:val="false"/>
          <w:i w:val="false"/>
          <w:color w:val="000000"/>
          <w:sz w:val="28"/>
        </w:rPr>
        <w:t>
      По количеству патентов, выданных Евразийской патентной организацией в 2018 году, КАТУ является крупнейшим патентовладельцем в Республике Казахстан и значительно опережает все университеты сельскохозяйственного профиля в Казахстане (6 патентов из 41, выданного субъектам Республики Казахстан). По патентам Республики Казахстан на изобретение и на полезную модель, КАТУ также опережает все университеты сельскохозяйственного профиля.</w:t>
      </w:r>
    </w:p>
    <w:bookmarkEnd w:id="309"/>
    <w:bookmarkStart w:name="z337" w:id="310"/>
    <w:p>
      <w:pPr>
        <w:spacing w:after="0"/>
        <w:ind w:left="0"/>
        <w:jc w:val="both"/>
      </w:pPr>
      <w:r>
        <w:rPr>
          <w:rFonts w:ascii="Times New Roman"/>
          <w:b w:val="false"/>
          <w:i w:val="false"/>
          <w:color w:val="000000"/>
          <w:sz w:val="28"/>
        </w:rPr>
        <w:t>
      В дальнейшем, КАТУ позиционирует себя в системе высшего и послевузовского образования Республики Казахстан как:</w:t>
      </w:r>
    </w:p>
    <w:bookmarkEnd w:id="310"/>
    <w:bookmarkStart w:name="z338" w:id="311"/>
    <w:p>
      <w:pPr>
        <w:spacing w:after="0"/>
        <w:ind w:left="0"/>
        <w:jc w:val="both"/>
      </w:pPr>
      <w:r>
        <w:rPr>
          <w:rFonts w:ascii="Times New Roman"/>
          <w:b w:val="false"/>
          <w:i w:val="false"/>
          <w:color w:val="000000"/>
          <w:sz w:val="28"/>
        </w:rPr>
        <w:t>
      1) ведущий в Центральной Азии центр компетенции в области технологий и управления в АПК и связанных с ним отраслях;</w:t>
      </w:r>
    </w:p>
    <w:bookmarkEnd w:id="311"/>
    <w:bookmarkStart w:name="z339" w:id="312"/>
    <w:p>
      <w:pPr>
        <w:spacing w:after="0"/>
        <w:ind w:left="0"/>
        <w:jc w:val="both"/>
      </w:pPr>
      <w:r>
        <w:rPr>
          <w:rFonts w:ascii="Times New Roman"/>
          <w:b w:val="false"/>
          <w:i w:val="false"/>
          <w:color w:val="000000"/>
          <w:sz w:val="28"/>
        </w:rPr>
        <w:t>
      2) один из ведущих отечественных университетов, желаемое место учебы для абитуриентов;</w:t>
      </w:r>
    </w:p>
    <w:bookmarkEnd w:id="312"/>
    <w:bookmarkStart w:name="z340" w:id="313"/>
    <w:p>
      <w:pPr>
        <w:spacing w:after="0"/>
        <w:ind w:left="0"/>
        <w:jc w:val="both"/>
      </w:pPr>
      <w:r>
        <w:rPr>
          <w:rFonts w:ascii="Times New Roman"/>
          <w:b w:val="false"/>
          <w:i w:val="false"/>
          <w:color w:val="000000"/>
          <w:sz w:val="28"/>
        </w:rPr>
        <w:t>
      3) желаемое место работы для преподавателей и ученых, способствующее профессиональному и карьерному росту;</w:t>
      </w:r>
    </w:p>
    <w:bookmarkEnd w:id="313"/>
    <w:bookmarkStart w:name="z341" w:id="314"/>
    <w:p>
      <w:pPr>
        <w:spacing w:after="0"/>
        <w:ind w:left="0"/>
        <w:jc w:val="both"/>
      </w:pPr>
      <w:r>
        <w:rPr>
          <w:rFonts w:ascii="Times New Roman"/>
          <w:b w:val="false"/>
          <w:i w:val="false"/>
          <w:color w:val="000000"/>
          <w:sz w:val="28"/>
        </w:rPr>
        <w:t>
      4) надежный и квалифицированный партнер для государства и бизнеса, оперативно и качественно решающий поставленные задачи.</w:t>
      </w:r>
    </w:p>
    <w:bookmarkEnd w:id="314"/>
    <w:bookmarkStart w:name="z342" w:id="315"/>
    <w:p>
      <w:pPr>
        <w:spacing w:after="0"/>
        <w:ind w:left="0"/>
        <w:jc w:val="both"/>
      </w:pPr>
      <w:r>
        <w:rPr>
          <w:rFonts w:ascii="Times New Roman"/>
          <w:b w:val="false"/>
          <w:i w:val="false"/>
          <w:color w:val="000000"/>
          <w:sz w:val="28"/>
        </w:rPr>
        <w:t>
      Основными продуктами КАТУ, призванными поддерживать указанное позиционирование, являются актуальные образовательные программы и конкурентоспособные инновации (см. рисунок 7.1.2).</w:t>
      </w:r>
    </w:p>
    <w:bookmarkEnd w:id="315"/>
    <w:bookmarkStart w:name="z343"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317"/>
    <w:p>
      <w:pPr>
        <w:spacing w:after="0"/>
        <w:ind w:left="0"/>
        <w:jc w:val="both"/>
      </w:pPr>
      <w:r>
        <w:rPr>
          <w:rFonts w:ascii="Times New Roman"/>
          <w:b w:val="false"/>
          <w:i w:val="false"/>
          <w:color w:val="000000"/>
          <w:sz w:val="28"/>
        </w:rPr>
        <w:t>
      Рисунок 7.1.2 – Основные выгодополучатели, их ожидания и продукты КАТУ</w:t>
      </w:r>
    </w:p>
    <w:bookmarkEnd w:id="317"/>
    <w:p>
      <w:pPr>
        <w:spacing w:after="0"/>
        <w:ind w:left="0"/>
        <w:jc w:val="both"/>
      </w:pPr>
      <w:r>
        <w:rPr>
          <w:rFonts w:ascii="Times New Roman"/>
          <w:b/>
          <w:i w:val="false"/>
          <w:color w:val="000000"/>
          <w:sz w:val="28"/>
        </w:rPr>
        <w:t xml:space="preserve">7.2. Академическая политика, развитие инновационного потенциала, и коммерциализация научно-технических разработок </w:t>
      </w:r>
    </w:p>
    <w:bookmarkStart w:name="z346" w:id="318"/>
    <w:p>
      <w:pPr>
        <w:spacing w:after="0"/>
        <w:ind w:left="0"/>
        <w:jc w:val="both"/>
      </w:pPr>
      <w:r>
        <w:rPr>
          <w:rFonts w:ascii="Times New Roman"/>
          <w:b w:val="false"/>
          <w:i w:val="false"/>
          <w:color w:val="000000"/>
          <w:sz w:val="28"/>
        </w:rPr>
        <w:t xml:space="preserve">
      Академическая политика КАТУ утверждена решением Ученого совета КАТУ от 14 января 2019 года № 8, основана на действующих нормативных правовых актах, признаваемых Казахстаном международных стандартах в области высшего образования, и содержит систему мер, правил и процедур планирования и управления образовательной деятельностью. </w:t>
      </w:r>
    </w:p>
    <w:bookmarkEnd w:id="318"/>
    <w:bookmarkStart w:name="z347" w:id="319"/>
    <w:p>
      <w:pPr>
        <w:spacing w:after="0"/>
        <w:ind w:left="0"/>
        <w:jc w:val="both"/>
      </w:pPr>
      <w:r>
        <w:rPr>
          <w:rFonts w:ascii="Times New Roman"/>
          <w:b w:val="false"/>
          <w:i w:val="false"/>
          <w:color w:val="000000"/>
          <w:sz w:val="28"/>
        </w:rPr>
        <w:t>
      Целями Академической политики являются предоставление качественных, студентоориентированных образовательных услуг, создание честной и прозрачной академической среды, формирование у обучающихся компетенций и навыков с учетом международных, национальных и внутривузовских трендов. В частности, основными направлениями академической политики являются:</w:t>
      </w:r>
    </w:p>
    <w:bookmarkEnd w:id="319"/>
    <w:bookmarkStart w:name="z348" w:id="320"/>
    <w:p>
      <w:pPr>
        <w:spacing w:after="0"/>
        <w:ind w:left="0"/>
        <w:jc w:val="both"/>
      </w:pPr>
      <w:r>
        <w:rPr>
          <w:rFonts w:ascii="Times New Roman"/>
          <w:b w:val="false"/>
          <w:i w:val="false"/>
          <w:color w:val="000000"/>
          <w:sz w:val="28"/>
        </w:rPr>
        <w:t>
      1) расширение практики междисциплинарного, мультидисциплинарного и трансдисциплинарного подходов;</w:t>
      </w:r>
    </w:p>
    <w:bookmarkEnd w:id="320"/>
    <w:bookmarkStart w:name="z349" w:id="321"/>
    <w:p>
      <w:pPr>
        <w:spacing w:after="0"/>
        <w:ind w:left="0"/>
        <w:jc w:val="both"/>
      </w:pPr>
      <w:r>
        <w:rPr>
          <w:rFonts w:ascii="Times New Roman"/>
          <w:b w:val="false"/>
          <w:i w:val="false"/>
          <w:color w:val="000000"/>
          <w:sz w:val="28"/>
        </w:rPr>
        <w:t>
      2) ориентированность на индивидуальные потребности и ожидания обучающихся, с развитием критического мышления, коммуникативных и лидерских навыков;</w:t>
      </w:r>
    </w:p>
    <w:bookmarkEnd w:id="321"/>
    <w:bookmarkStart w:name="z350" w:id="322"/>
    <w:p>
      <w:pPr>
        <w:spacing w:after="0"/>
        <w:ind w:left="0"/>
        <w:jc w:val="both"/>
      </w:pPr>
      <w:r>
        <w:rPr>
          <w:rFonts w:ascii="Times New Roman"/>
          <w:b w:val="false"/>
          <w:i w:val="false"/>
          <w:color w:val="000000"/>
          <w:sz w:val="28"/>
        </w:rPr>
        <w:t>
      3) интеграция образования, науки и практики, перенос в образовательный процесс собственных научных результатов, передовых знаний и опыта, накопленных в соответствующих отраслях в мире;</w:t>
      </w:r>
    </w:p>
    <w:bookmarkEnd w:id="322"/>
    <w:bookmarkStart w:name="z351" w:id="323"/>
    <w:p>
      <w:pPr>
        <w:spacing w:after="0"/>
        <w:ind w:left="0"/>
        <w:jc w:val="both"/>
      </w:pPr>
      <w:r>
        <w:rPr>
          <w:rFonts w:ascii="Times New Roman"/>
          <w:b w:val="false"/>
          <w:i w:val="false"/>
          <w:color w:val="000000"/>
          <w:sz w:val="28"/>
        </w:rPr>
        <w:t>
      4) развитие трехъязычного образования;</w:t>
      </w:r>
    </w:p>
    <w:bookmarkEnd w:id="323"/>
    <w:bookmarkStart w:name="z352" w:id="324"/>
    <w:p>
      <w:pPr>
        <w:spacing w:after="0"/>
        <w:ind w:left="0"/>
        <w:jc w:val="both"/>
      </w:pPr>
      <w:r>
        <w:rPr>
          <w:rFonts w:ascii="Times New Roman"/>
          <w:b w:val="false"/>
          <w:i w:val="false"/>
          <w:color w:val="000000"/>
          <w:sz w:val="28"/>
        </w:rPr>
        <w:t>
      5) дальнейшая интернационализация образования, в том числе путем расширения спектра совместных и двухдипломных программ, академической мобильности, развития языковой компетенции ППС и обучающихся;</w:t>
      </w:r>
    </w:p>
    <w:bookmarkEnd w:id="324"/>
    <w:bookmarkStart w:name="z353" w:id="325"/>
    <w:p>
      <w:pPr>
        <w:spacing w:after="0"/>
        <w:ind w:left="0"/>
        <w:jc w:val="both"/>
      </w:pPr>
      <w:r>
        <w:rPr>
          <w:rFonts w:ascii="Times New Roman"/>
          <w:b w:val="false"/>
          <w:i w:val="false"/>
          <w:color w:val="000000"/>
          <w:sz w:val="28"/>
        </w:rPr>
        <w:t>
      6) дальнейшая цифровизация образовательного процесса;</w:t>
      </w:r>
    </w:p>
    <w:bookmarkEnd w:id="325"/>
    <w:bookmarkStart w:name="z354" w:id="326"/>
    <w:p>
      <w:pPr>
        <w:spacing w:after="0"/>
        <w:ind w:left="0"/>
        <w:jc w:val="both"/>
      </w:pPr>
      <w:r>
        <w:rPr>
          <w:rFonts w:ascii="Times New Roman"/>
          <w:b w:val="false"/>
          <w:i w:val="false"/>
          <w:color w:val="000000"/>
          <w:sz w:val="28"/>
        </w:rPr>
        <w:t>
      7) развитие у обучающихся ценностей "Рухани жаңғыру", нетерпимого отношения к коррупции, нарушению общепринятых принципов академической честности, норм этики и поведения.</w:t>
      </w:r>
    </w:p>
    <w:bookmarkEnd w:id="326"/>
    <w:bookmarkStart w:name="z355" w:id="327"/>
    <w:p>
      <w:pPr>
        <w:spacing w:after="0"/>
        <w:ind w:left="0"/>
        <w:jc w:val="both"/>
      </w:pPr>
      <w:r>
        <w:rPr>
          <w:rFonts w:ascii="Times New Roman"/>
          <w:b w:val="false"/>
          <w:i w:val="false"/>
          <w:color w:val="000000"/>
          <w:sz w:val="28"/>
        </w:rPr>
        <w:t xml:space="preserve">
      В целом, Академическая политика КАТУ учитывает ключевые реформы, предусмотренные Программой. Например, предусмотрена возможность сочетания обучающимися двух направлений подготовки (major + minor), когда по завершению обучения выпускник сможет освоить за один и тот же период дополнительные компетенции. </w:t>
      </w:r>
    </w:p>
    <w:bookmarkEnd w:id="327"/>
    <w:bookmarkStart w:name="z356" w:id="328"/>
    <w:p>
      <w:pPr>
        <w:spacing w:after="0"/>
        <w:ind w:left="0"/>
        <w:jc w:val="both"/>
      </w:pPr>
      <w:r>
        <w:rPr>
          <w:rFonts w:ascii="Times New Roman"/>
          <w:b w:val="false"/>
          <w:i w:val="false"/>
          <w:color w:val="000000"/>
          <w:sz w:val="28"/>
        </w:rPr>
        <w:t>
      С целью поддержания высоких академических стандартов и обеспечения внутреннего контроля качества, модернизирован Кодекс академической честности КАТУ. За нарушение принципов академической честности установлено отчисление обучающихся и увольнение ППС. КАТУ также является членом Лиги академической честности.</w:t>
      </w:r>
    </w:p>
    <w:bookmarkEnd w:id="328"/>
    <w:bookmarkStart w:name="z357" w:id="329"/>
    <w:p>
      <w:pPr>
        <w:spacing w:after="0"/>
        <w:ind w:left="0"/>
        <w:jc w:val="both"/>
      </w:pPr>
      <w:r>
        <w:rPr>
          <w:rFonts w:ascii="Times New Roman"/>
          <w:b w:val="false"/>
          <w:i w:val="false"/>
          <w:color w:val="000000"/>
          <w:sz w:val="28"/>
        </w:rPr>
        <w:t>
      Политика КАТУ по развитию инновационного потенциала основана на приоритезации научных исследований в сравнении со всеми остальными направлениями деятельности и нацелена на формирование на базе КАТУ системы конкурентоспособных исследований мирового класса в партнерстве с ведущими в мире исследовательскими университетами и научными центрами.</w:t>
      </w:r>
    </w:p>
    <w:bookmarkEnd w:id="329"/>
    <w:bookmarkStart w:name="z358" w:id="330"/>
    <w:p>
      <w:pPr>
        <w:spacing w:after="0"/>
        <w:ind w:left="0"/>
        <w:jc w:val="both"/>
      </w:pPr>
      <w:r>
        <w:rPr>
          <w:rFonts w:ascii="Times New Roman"/>
          <w:b w:val="false"/>
          <w:i w:val="false"/>
          <w:color w:val="000000"/>
          <w:sz w:val="28"/>
        </w:rPr>
        <w:t>
      При определении направлений научных исследований КАТУ стремится ориентироваться на консолидированное мнение субъектов реального сектора экономики, отраслевых государственных органов и других потребителей научных результатов касательно актуальности рассматриваемой проблемы и ожидаемых параметров ее решения. Как правило, содержание исследований основывается на сочетании собственных научных результатов с адаптацией зарубежных технологий, успешно применяемых в схожих с Казахстаном условиях (см. рисунок 7.2.1).</w:t>
      </w:r>
    </w:p>
    <w:bookmarkEnd w:id="330"/>
    <w:bookmarkStart w:name="z359"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 w:id="332"/>
    <w:p>
      <w:pPr>
        <w:spacing w:after="0"/>
        <w:ind w:left="0"/>
        <w:jc w:val="both"/>
      </w:pPr>
      <w:r>
        <w:rPr>
          <w:rFonts w:ascii="Times New Roman"/>
          <w:b w:val="false"/>
          <w:i w:val="false"/>
          <w:color w:val="000000"/>
          <w:sz w:val="28"/>
        </w:rPr>
        <w:t>
      Рисунок 7.2.1 – Основные выгодополучатели, их ожидания и продукты КАТУ</w:t>
      </w:r>
    </w:p>
    <w:bookmarkEnd w:id="332"/>
    <w:bookmarkStart w:name="z361" w:id="333"/>
    <w:p>
      <w:pPr>
        <w:spacing w:after="0"/>
        <w:ind w:left="0"/>
        <w:jc w:val="both"/>
      </w:pPr>
      <w:r>
        <w:rPr>
          <w:rFonts w:ascii="Times New Roman"/>
          <w:b w:val="false"/>
          <w:i w:val="false"/>
          <w:color w:val="000000"/>
          <w:sz w:val="28"/>
        </w:rPr>
        <w:t>
      Основной формой организации научных исследований будут являться интегрированные научно-технические программы</w:t>
      </w:r>
      <w:r>
        <w:rPr>
          <w:rFonts w:ascii="Times New Roman"/>
          <w:b w:val="false"/>
          <w:i w:val="false"/>
          <w:color w:val="000000"/>
          <w:vertAlign w:val="superscript"/>
        </w:rPr>
        <w:t>26</w:t>
      </w:r>
      <w:r>
        <w:rPr>
          <w:rFonts w:ascii="Times New Roman"/>
          <w:b w:val="false"/>
          <w:i w:val="false"/>
          <w:color w:val="000000"/>
          <w:sz w:val="28"/>
        </w:rPr>
        <w:t xml:space="preserve"> (далее – ИНТП) – одна из наиболее успешных в мире моделей решения масштабных технологических задач и поддержки развития АПК. Как правило, ИНТП предусматривают всестороннее исследование проблем межотраслевыми научными коллективами, и позволяют интегрировать фундаментальные и прикладные исследования в рамках единых исследовательских задач, организационной структуры, и научно-исследовательской инфраструктуры (см. рисунок 7.2.2). Для их поддержки продолжится расширение оснащения и профиля технологических платформ, повышение квалификации ППС и привлечение ученых с международным опытом. </w:t>
      </w:r>
    </w:p>
    <w:bookmarkEnd w:id="333"/>
    <w:bookmarkStart w:name="z362" w:id="334"/>
    <w:p>
      <w:pPr>
        <w:spacing w:after="0"/>
        <w:ind w:left="0"/>
        <w:jc w:val="both"/>
      </w:pPr>
      <w:r>
        <w:rPr>
          <w:rFonts w:ascii="Times New Roman"/>
          <w:b w:val="false"/>
          <w:i w:val="false"/>
          <w:color w:val="000000"/>
          <w:sz w:val="28"/>
        </w:rPr>
        <w:t>
      ________________________</w:t>
      </w:r>
    </w:p>
    <w:bookmarkEnd w:id="334"/>
    <w:bookmarkStart w:name="z363" w:id="33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26</w:t>
      </w:r>
      <w:r>
        <w:rPr>
          <w:rFonts w:ascii="Times New Roman"/>
          <w:b w:val="false"/>
          <w:i w:val="false"/>
          <w:color w:val="000000"/>
          <w:sz w:val="28"/>
        </w:rPr>
        <w:t>Обобщенное название, применяемое для обозначения модели организации междисциплинарных научных исследований для комплексного решения сложных технологических задач в США, Франции, Австралии, Канаде, Южной Корее и других развитых странах.</w:t>
      </w:r>
    </w:p>
    <w:bookmarkEnd w:id="335"/>
    <w:bookmarkStart w:name="z364"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 w:id="337"/>
    <w:p>
      <w:pPr>
        <w:spacing w:after="0"/>
        <w:ind w:left="0"/>
        <w:jc w:val="both"/>
      </w:pPr>
      <w:r>
        <w:rPr>
          <w:rFonts w:ascii="Times New Roman"/>
          <w:b w:val="false"/>
          <w:i w:val="false"/>
          <w:color w:val="000000"/>
          <w:sz w:val="28"/>
        </w:rPr>
        <w:t>
      Рисунок 7.2.2 – Схема формирования интегрированной научно-технической программы</w:t>
      </w:r>
    </w:p>
    <w:bookmarkEnd w:id="337"/>
    <w:bookmarkStart w:name="z366" w:id="338"/>
    <w:p>
      <w:pPr>
        <w:spacing w:after="0"/>
        <w:ind w:left="0"/>
        <w:jc w:val="both"/>
      </w:pPr>
      <w:r>
        <w:rPr>
          <w:rFonts w:ascii="Times New Roman"/>
          <w:b w:val="false"/>
          <w:i w:val="false"/>
          <w:color w:val="000000"/>
          <w:sz w:val="28"/>
        </w:rPr>
        <w:t xml:space="preserve">
      ИНТП позволяют сочетать различные источники финансирования и концентрировать потенциал всех заинтересованных сторон на решении поставленных задач. Как правило, государственное финансирование служит рычагом для привлечения ресурсов частного сектора. В конечном итоге, концентрация ресурсов, междисциплинарный и комплексный подходы обеспечивают получение не набора малозначительных научных результатов, а масштабный, готовый к внедрению результат, обеспечивающий ожидаемый эффект и покрывающий все произведенные затраты. </w:t>
      </w:r>
    </w:p>
    <w:bookmarkEnd w:id="338"/>
    <w:bookmarkStart w:name="z367" w:id="339"/>
    <w:p>
      <w:pPr>
        <w:spacing w:after="0"/>
        <w:ind w:left="0"/>
        <w:jc w:val="both"/>
      </w:pPr>
      <w:r>
        <w:rPr>
          <w:rFonts w:ascii="Times New Roman"/>
          <w:b w:val="false"/>
          <w:i w:val="false"/>
          <w:color w:val="000000"/>
          <w:sz w:val="28"/>
        </w:rPr>
        <w:t>
      В вопросах продвижения научных результатов в практику, КАТУ по примеру ведущих в мире исследовательских университетов в сфере сельского хозяйства стремится развивать деятельность в следующих направлениях:</w:t>
      </w:r>
    </w:p>
    <w:bookmarkEnd w:id="339"/>
    <w:bookmarkStart w:name="z368" w:id="340"/>
    <w:p>
      <w:pPr>
        <w:spacing w:after="0"/>
        <w:ind w:left="0"/>
        <w:jc w:val="both"/>
      </w:pPr>
      <w:r>
        <w:rPr>
          <w:rFonts w:ascii="Times New Roman"/>
          <w:b w:val="false"/>
          <w:i w:val="false"/>
          <w:color w:val="000000"/>
          <w:sz w:val="28"/>
        </w:rPr>
        <w:t>
      1) коммерциализация научных результатов, имеющих соответствующий потенциал и рынок сбыта, путем производства продукции и оказания услуг на их основе, создания инновационных компаний и других механизмов, как правило, в партнерстве с субъектами предпринимательского сектора;</w:t>
      </w:r>
    </w:p>
    <w:bookmarkEnd w:id="340"/>
    <w:bookmarkStart w:name="z369" w:id="341"/>
    <w:p>
      <w:pPr>
        <w:spacing w:after="0"/>
        <w:ind w:left="0"/>
        <w:jc w:val="both"/>
      </w:pPr>
      <w:r>
        <w:rPr>
          <w:rFonts w:ascii="Times New Roman"/>
          <w:b w:val="false"/>
          <w:i w:val="false"/>
          <w:color w:val="000000"/>
          <w:sz w:val="28"/>
        </w:rPr>
        <w:t>
      2) распространение знаний, востребованных, но не имеющих рынка сбыта, имеющих преимущественно социальную значимость, или оформленных в формате, не позволяющем использовать их в качестве продукта – через мероприятия по распространению знаний на базе Офиса распространения знаний "Extension – KATU", компетенцию выпускников, подготовку и повышение квалификации преподавателей колледжей.</w:t>
      </w:r>
    </w:p>
    <w:bookmarkEnd w:id="341"/>
    <w:bookmarkStart w:name="z370" w:id="342"/>
    <w:p>
      <w:pPr>
        <w:spacing w:after="0"/>
        <w:ind w:left="0"/>
        <w:jc w:val="both"/>
      </w:pPr>
      <w:r>
        <w:rPr>
          <w:rFonts w:ascii="Times New Roman"/>
          <w:b w:val="false"/>
          <w:i w:val="false"/>
          <w:color w:val="000000"/>
          <w:sz w:val="28"/>
        </w:rPr>
        <w:t xml:space="preserve">
      В совокупности, указанные направления обеспечивают КАТУ всем необходимым инструментарием для положительного влияния на экономику и общество. Основным элементом, обеспечивающим их связь в единую систему, станет новая кадровая политика КАТУ "Manpower First", нацеленная на кардинальное повышение компетенции ППС, технического, административного и вспомогательного персонала. Целью политики является формирование профессионального штата, обладающего необходимой компетенцией по всем направлениям академического профиля КАТУ, способного оперативно и качественно решать наиболее актуальные проблемы в соответствующих отраслях. </w:t>
      </w:r>
    </w:p>
    <w:bookmarkEnd w:id="342"/>
    <w:bookmarkStart w:name="z371" w:id="343"/>
    <w:p>
      <w:pPr>
        <w:spacing w:after="0"/>
        <w:ind w:left="0"/>
        <w:jc w:val="both"/>
      </w:pPr>
      <w:r>
        <w:rPr>
          <w:rFonts w:ascii="Times New Roman"/>
          <w:b w:val="false"/>
          <w:i w:val="false"/>
          <w:color w:val="000000"/>
          <w:sz w:val="28"/>
        </w:rPr>
        <w:t>
      Основными направлениями кадровой политики являются:</w:t>
      </w:r>
    </w:p>
    <w:bookmarkEnd w:id="343"/>
    <w:bookmarkStart w:name="z372" w:id="344"/>
    <w:p>
      <w:pPr>
        <w:spacing w:after="0"/>
        <w:ind w:left="0"/>
        <w:jc w:val="both"/>
      </w:pPr>
      <w:r>
        <w:rPr>
          <w:rFonts w:ascii="Times New Roman"/>
          <w:b w:val="false"/>
          <w:i w:val="false"/>
          <w:color w:val="000000"/>
          <w:sz w:val="28"/>
        </w:rPr>
        <w:t>
      1) значительная дифференциация вознаграждения в зависимости от профессиональных достижений;</w:t>
      </w:r>
    </w:p>
    <w:bookmarkEnd w:id="344"/>
    <w:bookmarkStart w:name="z373" w:id="345"/>
    <w:p>
      <w:pPr>
        <w:spacing w:after="0"/>
        <w:ind w:left="0"/>
        <w:jc w:val="both"/>
      </w:pPr>
      <w:r>
        <w:rPr>
          <w:rFonts w:ascii="Times New Roman"/>
          <w:b w:val="false"/>
          <w:i w:val="false"/>
          <w:color w:val="000000"/>
          <w:sz w:val="28"/>
        </w:rPr>
        <w:t>
      2) конкурсы и прозрачно принимаемые коллегиальные решения при приеме на работу и карьерных перемещениях;</w:t>
      </w:r>
    </w:p>
    <w:bookmarkEnd w:id="345"/>
    <w:bookmarkStart w:name="z374" w:id="346"/>
    <w:p>
      <w:pPr>
        <w:spacing w:after="0"/>
        <w:ind w:left="0"/>
        <w:jc w:val="both"/>
      </w:pPr>
      <w:r>
        <w:rPr>
          <w:rFonts w:ascii="Times New Roman"/>
          <w:b w:val="false"/>
          <w:i w:val="false"/>
          <w:color w:val="000000"/>
          <w:sz w:val="28"/>
        </w:rPr>
        <w:t>
      3) расширение возможностей для профессионального развития работников с учетом их личных карьерных целей и приоритетов стратегии КАТУ;</w:t>
      </w:r>
    </w:p>
    <w:bookmarkEnd w:id="346"/>
    <w:bookmarkStart w:name="z375" w:id="347"/>
    <w:p>
      <w:pPr>
        <w:spacing w:after="0"/>
        <w:ind w:left="0"/>
        <w:jc w:val="both"/>
      </w:pPr>
      <w:r>
        <w:rPr>
          <w:rFonts w:ascii="Times New Roman"/>
          <w:b w:val="false"/>
          <w:i w:val="false"/>
          <w:color w:val="000000"/>
          <w:sz w:val="28"/>
        </w:rPr>
        <w:t xml:space="preserve">
      4) расширение возможностей для горизонтальных карьерных перемещений внутри КАТУ. </w:t>
      </w:r>
    </w:p>
    <w:bookmarkEnd w:id="347"/>
    <w:bookmarkStart w:name="z376" w:id="348"/>
    <w:p>
      <w:pPr>
        <w:spacing w:after="0"/>
        <w:ind w:left="0"/>
        <w:jc w:val="both"/>
      </w:pPr>
      <w:r>
        <w:rPr>
          <w:rFonts w:ascii="Times New Roman"/>
          <w:b w:val="false"/>
          <w:i w:val="false"/>
          <w:color w:val="000000"/>
          <w:sz w:val="28"/>
        </w:rPr>
        <w:t>
      Таким образом, академическая политика, политика по развитию инновационного потенциала и продвижению научных результатов КАТУ в практику отражают основные направления стратегии развития КАТУ и способствуют дальнейшему реформированию КАТУ в исследовательский аграрный университет.</w:t>
      </w:r>
    </w:p>
    <w:bookmarkEnd w:id="348"/>
    <w:p>
      <w:pPr>
        <w:spacing w:after="0"/>
        <w:ind w:left="0"/>
        <w:jc w:val="both"/>
      </w:pPr>
      <w:r>
        <w:rPr>
          <w:rFonts w:ascii="Times New Roman"/>
          <w:b/>
          <w:i w:val="false"/>
          <w:color w:val="000000"/>
          <w:sz w:val="28"/>
        </w:rPr>
        <w:t>8. Пути достижения цели Программы</w:t>
      </w:r>
    </w:p>
    <w:p>
      <w:pPr>
        <w:spacing w:after="0"/>
        <w:ind w:left="0"/>
        <w:jc w:val="both"/>
      </w:pPr>
      <w:r>
        <w:rPr>
          <w:rFonts w:ascii="Times New Roman"/>
          <w:b/>
          <w:i w:val="false"/>
          <w:color w:val="000000"/>
          <w:sz w:val="28"/>
        </w:rPr>
        <w:t>8.1. Задачи Программы и подходы к их реализации</w:t>
      </w:r>
    </w:p>
    <w:bookmarkStart w:name="z379" w:id="349"/>
    <w:p>
      <w:pPr>
        <w:spacing w:after="0"/>
        <w:ind w:left="0"/>
        <w:jc w:val="both"/>
      </w:pPr>
      <w:r>
        <w:rPr>
          <w:rFonts w:ascii="Times New Roman"/>
          <w:b w:val="false"/>
          <w:i w:val="false"/>
          <w:color w:val="000000"/>
          <w:sz w:val="28"/>
        </w:rPr>
        <w:t>
      Достижение цели Программы обеспечивается путем поэтапного решения следующих задач:</w:t>
      </w:r>
    </w:p>
    <w:bookmarkEnd w:id="349"/>
    <w:bookmarkStart w:name="z380" w:id="350"/>
    <w:p>
      <w:pPr>
        <w:spacing w:after="0"/>
        <w:ind w:left="0"/>
        <w:jc w:val="both"/>
      </w:pPr>
      <w:r>
        <w:rPr>
          <w:rFonts w:ascii="Times New Roman"/>
          <w:b w:val="false"/>
          <w:i w:val="false"/>
          <w:color w:val="000000"/>
          <w:sz w:val="28"/>
        </w:rPr>
        <w:t>
      1. Создание организационных условий для реформирования КАТУ в исследовательский аграрный университет:</w:t>
      </w:r>
    </w:p>
    <w:bookmarkEnd w:id="350"/>
    <w:bookmarkStart w:name="z381" w:id="351"/>
    <w:p>
      <w:pPr>
        <w:spacing w:after="0"/>
        <w:ind w:left="0"/>
        <w:jc w:val="both"/>
      </w:pPr>
      <w:r>
        <w:rPr>
          <w:rFonts w:ascii="Times New Roman"/>
          <w:b w:val="false"/>
          <w:i w:val="false"/>
          <w:color w:val="000000"/>
          <w:sz w:val="28"/>
        </w:rPr>
        <w:t xml:space="preserve">
      1.1. Переход к новой модели управления. </w:t>
      </w:r>
    </w:p>
    <w:bookmarkEnd w:id="351"/>
    <w:bookmarkStart w:name="z382" w:id="352"/>
    <w:p>
      <w:pPr>
        <w:spacing w:after="0"/>
        <w:ind w:left="0"/>
        <w:jc w:val="both"/>
      </w:pPr>
      <w:r>
        <w:rPr>
          <w:rFonts w:ascii="Times New Roman"/>
          <w:b w:val="false"/>
          <w:i w:val="false"/>
          <w:color w:val="000000"/>
          <w:sz w:val="28"/>
        </w:rPr>
        <w:t>
      1.2. Модернизация организационной и академической структуры.</w:t>
      </w:r>
    </w:p>
    <w:bookmarkEnd w:id="352"/>
    <w:bookmarkStart w:name="z383" w:id="353"/>
    <w:p>
      <w:pPr>
        <w:spacing w:after="0"/>
        <w:ind w:left="0"/>
        <w:jc w:val="both"/>
      </w:pPr>
      <w:r>
        <w:rPr>
          <w:rFonts w:ascii="Times New Roman"/>
          <w:b w:val="false"/>
          <w:i w:val="false"/>
          <w:color w:val="000000"/>
          <w:sz w:val="28"/>
        </w:rPr>
        <w:t>
      1.3. Расширение партнерского окружения.</w:t>
      </w:r>
    </w:p>
    <w:bookmarkEnd w:id="353"/>
    <w:bookmarkStart w:name="z384" w:id="354"/>
    <w:p>
      <w:pPr>
        <w:spacing w:after="0"/>
        <w:ind w:left="0"/>
        <w:jc w:val="both"/>
      </w:pPr>
      <w:r>
        <w:rPr>
          <w:rFonts w:ascii="Times New Roman"/>
          <w:b w:val="false"/>
          <w:i w:val="false"/>
          <w:color w:val="000000"/>
          <w:sz w:val="28"/>
        </w:rPr>
        <w:t>
      2. Расширение направлений исследований и улучшение качества научных результатов:</w:t>
      </w:r>
    </w:p>
    <w:bookmarkEnd w:id="354"/>
    <w:bookmarkStart w:name="z385" w:id="355"/>
    <w:p>
      <w:pPr>
        <w:spacing w:after="0"/>
        <w:ind w:left="0"/>
        <w:jc w:val="both"/>
      </w:pPr>
      <w:r>
        <w:rPr>
          <w:rFonts w:ascii="Times New Roman"/>
          <w:b w:val="false"/>
          <w:i w:val="false"/>
          <w:color w:val="000000"/>
          <w:sz w:val="28"/>
        </w:rPr>
        <w:t>
      2.1. Подготовка новых лидеров аграрной науки.</w:t>
      </w:r>
    </w:p>
    <w:bookmarkEnd w:id="355"/>
    <w:bookmarkStart w:name="z386" w:id="356"/>
    <w:p>
      <w:pPr>
        <w:spacing w:after="0"/>
        <w:ind w:left="0"/>
        <w:jc w:val="both"/>
      </w:pPr>
      <w:r>
        <w:rPr>
          <w:rFonts w:ascii="Times New Roman"/>
          <w:b w:val="false"/>
          <w:i w:val="false"/>
          <w:color w:val="000000"/>
          <w:sz w:val="28"/>
        </w:rPr>
        <w:t>
      2.2. Диверсификация внешних источников финансирования научных исследований.</w:t>
      </w:r>
    </w:p>
    <w:bookmarkEnd w:id="356"/>
    <w:bookmarkStart w:name="z387" w:id="357"/>
    <w:p>
      <w:pPr>
        <w:spacing w:after="0"/>
        <w:ind w:left="0"/>
        <w:jc w:val="both"/>
      </w:pPr>
      <w:r>
        <w:rPr>
          <w:rFonts w:ascii="Times New Roman"/>
          <w:b w:val="false"/>
          <w:i w:val="false"/>
          <w:color w:val="000000"/>
          <w:sz w:val="28"/>
        </w:rPr>
        <w:t>
      2.3. Создание собственной системы научных грантов.</w:t>
      </w:r>
    </w:p>
    <w:bookmarkEnd w:id="357"/>
    <w:bookmarkStart w:name="z388" w:id="358"/>
    <w:p>
      <w:pPr>
        <w:spacing w:after="0"/>
        <w:ind w:left="0"/>
        <w:jc w:val="both"/>
      </w:pPr>
      <w:r>
        <w:rPr>
          <w:rFonts w:ascii="Times New Roman"/>
          <w:b w:val="false"/>
          <w:i w:val="false"/>
          <w:color w:val="000000"/>
          <w:sz w:val="28"/>
        </w:rPr>
        <w:t>
      3. Улучшение качества образовательных услуг:</w:t>
      </w:r>
    </w:p>
    <w:bookmarkEnd w:id="358"/>
    <w:bookmarkStart w:name="z389" w:id="359"/>
    <w:p>
      <w:pPr>
        <w:spacing w:after="0"/>
        <w:ind w:left="0"/>
        <w:jc w:val="both"/>
      </w:pPr>
      <w:r>
        <w:rPr>
          <w:rFonts w:ascii="Times New Roman"/>
          <w:b w:val="false"/>
          <w:i w:val="false"/>
          <w:color w:val="000000"/>
          <w:sz w:val="28"/>
        </w:rPr>
        <w:t xml:space="preserve">
      1. </w:t>
      </w:r>
    </w:p>
    <w:bookmarkEnd w:id="359"/>
    <w:bookmarkStart w:name="z390" w:id="360"/>
    <w:p>
      <w:pPr>
        <w:spacing w:after="0"/>
        <w:ind w:left="0"/>
        <w:jc w:val="both"/>
      </w:pPr>
      <w:r>
        <w:rPr>
          <w:rFonts w:ascii="Times New Roman"/>
          <w:b w:val="false"/>
          <w:i w:val="false"/>
          <w:color w:val="000000"/>
          <w:sz w:val="28"/>
        </w:rPr>
        <w:t xml:space="preserve">
      2. </w:t>
      </w:r>
    </w:p>
    <w:bookmarkEnd w:id="360"/>
    <w:bookmarkStart w:name="z391" w:id="361"/>
    <w:p>
      <w:pPr>
        <w:spacing w:after="0"/>
        <w:ind w:left="0"/>
        <w:jc w:val="both"/>
      </w:pPr>
      <w:r>
        <w:rPr>
          <w:rFonts w:ascii="Times New Roman"/>
          <w:b w:val="false"/>
          <w:i w:val="false"/>
          <w:color w:val="000000"/>
          <w:sz w:val="28"/>
        </w:rPr>
        <w:t xml:space="preserve">
      3. </w:t>
      </w:r>
    </w:p>
    <w:bookmarkEnd w:id="361"/>
    <w:bookmarkStart w:name="z392" w:id="362"/>
    <w:p>
      <w:pPr>
        <w:spacing w:after="0"/>
        <w:ind w:left="0"/>
        <w:jc w:val="both"/>
      </w:pPr>
      <w:r>
        <w:rPr>
          <w:rFonts w:ascii="Times New Roman"/>
          <w:b w:val="false"/>
          <w:i w:val="false"/>
          <w:color w:val="000000"/>
          <w:sz w:val="28"/>
        </w:rPr>
        <w:t>
      3.1. Совершенствование системы формирования контингента обучающихся и поддержки карьеры выпускников.</w:t>
      </w:r>
    </w:p>
    <w:bookmarkEnd w:id="362"/>
    <w:bookmarkStart w:name="z393" w:id="363"/>
    <w:p>
      <w:pPr>
        <w:spacing w:after="0"/>
        <w:ind w:left="0"/>
        <w:jc w:val="both"/>
      </w:pPr>
      <w:r>
        <w:rPr>
          <w:rFonts w:ascii="Times New Roman"/>
          <w:b w:val="false"/>
          <w:i w:val="false"/>
          <w:color w:val="000000"/>
          <w:sz w:val="28"/>
        </w:rPr>
        <w:t>
      3.2. Улучшение условий для деятельности и профессионального развития ППС.</w:t>
      </w:r>
    </w:p>
    <w:bookmarkEnd w:id="363"/>
    <w:bookmarkStart w:name="z394" w:id="364"/>
    <w:p>
      <w:pPr>
        <w:spacing w:after="0"/>
        <w:ind w:left="0"/>
        <w:jc w:val="both"/>
      </w:pPr>
      <w:r>
        <w:rPr>
          <w:rFonts w:ascii="Times New Roman"/>
          <w:b w:val="false"/>
          <w:i w:val="false"/>
          <w:color w:val="000000"/>
          <w:sz w:val="28"/>
        </w:rPr>
        <w:t>
      3.3. Модернизация образовательного процесса и содержания образовательных программ.</w:t>
      </w:r>
    </w:p>
    <w:bookmarkEnd w:id="364"/>
    <w:bookmarkStart w:name="z395" w:id="365"/>
    <w:p>
      <w:pPr>
        <w:spacing w:after="0"/>
        <w:ind w:left="0"/>
        <w:jc w:val="both"/>
      </w:pPr>
      <w:r>
        <w:rPr>
          <w:rFonts w:ascii="Times New Roman"/>
          <w:b w:val="false"/>
          <w:i w:val="false"/>
          <w:color w:val="000000"/>
          <w:sz w:val="28"/>
        </w:rPr>
        <w:t>
      3.4. Расширение академической мобильности ППС и обучающихся.</w:t>
      </w:r>
    </w:p>
    <w:bookmarkEnd w:id="365"/>
    <w:bookmarkStart w:name="z396" w:id="366"/>
    <w:p>
      <w:pPr>
        <w:spacing w:after="0"/>
        <w:ind w:left="0"/>
        <w:jc w:val="both"/>
      </w:pPr>
      <w:r>
        <w:rPr>
          <w:rFonts w:ascii="Times New Roman"/>
          <w:b w:val="false"/>
          <w:i w:val="false"/>
          <w:color w:val="000000"/>
          <w:sz w:val="28"/>
        </w:rPr>
        <w:t>
      4. Расширение системы продвижения результатов деятельности КАТУ в практику:</w:t>
      </w:r>
    </w:p>
    <w:bookmarkEnd w:id="366"/>
    <w:bookmarkStart w:name="z397" w:id="367"/>
    <w:p>
      <w:pPr>
        <w:spacing w:after="0"/>
        <w:ind w:left="0"/>
        <w:jc w:val="both"/>
      </w:pPr>
      <w:r>
        <w:rPr>
          <w:rFonts w:ascii="Times New Roman"/>
          <w:b w:val="false"/>
          <w:i w:val="false"/>
          <w:color w:val="000000"/>
          <w:sz w:val="28"/>
        </w:rPr>
        <w:t xml:space="preserve">
      1. </w:t>
      </w:r>
    </w:p>
    <w:bookmarkEnd w:id="367"/>
    <w:bookmarkStart w:name="z398" w:id="368"/>
    <w:p>
      <w:pPr>
        <w:spacing w:after="0"/>
        <w:ind w:left="0"/>
        <w:jc w:val="both"/>
      </w:pPr>
      <w:r>
        <w:rPr>
          <w:rFonts w:ascii="Times New Roman"/>
          <w:b w:val="false"/>
          <w:i w:val="false"/>
          <w:color w:val="000000"/>
          <w:sz w:val="28"/>
        </w:rPr>
        <w:t xml:space="preserve">
      2. </w:t>
      </w:r>
    </w:p>
    <w:bookmarkEnd w:id="368"/>
    <w:bookmarkStart w:name="z399" w:id="369"/>
    <w:p>
      <w:pPr>
        <w:spacing w:after="0"/>
        <w:ind w:left="0"/>
        <w:jc w:val="both"/>
      </w:pPr>
      <w:r>
        <w:rPr>
          <w:rFonts w:ascii="Times New Roman"/>
          <w:b w:val="false"/>
          <w:i w:val="false"/>
          <w:color w:val="000000"/>
          <w:sz w:val="28"/>
        </w:rPr>
        <w:t xml:space="preserve">
      3. </w:t>
      </w:r>
    </w:p>
    <w:bookmarkEnd w:id="369"/>
    <w:bookmarkStart w:name="z400" w:id="370"/>
    <w:p>
      <w:pPr>
        <w:spacing w:after="0"/>
        <w:ind w:left="0"/>
        <w:jc w:val="both"/>
      </w:pPr>
      <w:r>
        <w:rPr>
          <w:rFonts w:ascii="Times New Roman"/>
          <w:b w:val="false"/>
          <w:i w:val="false"/>
          <w:color w:val="000000"/>
          <w:sz w:val="28"/>
        </w:rPr>
        <w:t xml:space="preserve">
      4. </w:t>
      </w:r>
    </w:p>
    <w:bookmarkEnd w:id="370"/>
    <w:bookmarkStart w:name="z401" w:id="371"/>
    <w:p>
      <w:pPr>
        <w:spacing w:after="0"/>
        <w:ind w:left="0"/>
        <w:jc w:val="both"/>
      </w:pPr>
      <w:r>
        <w:rPr>
          <w:rFonts w:ascii="Times New Roman"/>
          <w:b w:val="false"/>
          <w:i w:val="false"/>
          <w:color w:val="000000"/>
          <w:sz w:val="28"/>
        </w:rPr>
        <w:t>
      4.1. Развитие системы распространения знаний.</w:t>
      </w:r>
    </w:p>
    <w:bookmarkEnd w:id="371"/>
    <w:bookmarkStart w:name="z402" w:id="372"/>
    <w:p>
      <w:pPr>
        <w:spacing w:after="0"/>
        <w:ind w:left="0"/>
        <w:jc w:val="both"/>
      </w:pPr>
      <w:r>
        <w:rPr>
          <w:rFonts w:ascii="Times New Roman"/>
          <w:b w:val="false"/>
          <w:i w:val="false"/>
          <w:color w:val="000000"/>
          <w:sz w:val="28"/>
        </w:rPr>
        <w:t>
      4.2. Расширение механизмов и повышение эффективности инновационной деятельности.</w:t>
      </w:r>
    </w:p>
    <w:bookmarkEnd w:id="372"/>
    <w:bookmarkStart w:name="z403" w:id="373"/>
    <w:p>
      <w:pPr>
        <w:spacing w:after="0"/>
        <w:ind w:left="0"/>
        <w:jc w:val="both"/>
      </w:pPr>
      <w:r>
        <w:rPr>
          <w:rFonts w:ascii="Times New Roman"/>
          <w:b w:val="false"/>
          <w:i w:val="false"/>
          <w:color w:val="000000"/>
          <w:sz w:val="28"/>
        </w:rPr>
        <w:t>
      4.3. Интеграция ресурсов в единую систему поддержки трансферта зарубежных технологий.</w:t>
      </w:r>
    </w:p>
    <w:bookmarkEnd w:id="373"/>
    <w:bookmarkStart w:name="z404" w:id="374"/>
    <w:p>
      <w:pPr>
        <w:spacing w:after="0"/>
        <w:ind w:left="0"/>
        <w:jc w:val="both"/>
      </w:pPr>
      <w:r>
        <w:rPr>
          <w:rFonts w:ascii="Times New Roman"/>
          <w:b w:val="false"/>
          <w:i w:val="false"/>
          <w:color w:val="000000"/>
          <w:sz w:val="28"/>
        </w:rPr>
        <w:t>
      5. Модернизация имеющейся и создание недостающей инфраструктуры:</w:t>
      </w:r>
    </w:p>
    <w:bookmarkEnd w:id="374"/>
    <w:bookmarkStart w:name="z405" w:id="375"/>
    <w:p>
      <w:pPr>
        <w:spacing w:after="0"/>
        <w:ind w:left="0"/>
        <w:jc w:val="both"/>
      </w:pPr>
      <w:r>
        <w:rPr>
          <w:rFonts w:ascii="Times New Roman"/>
          <w:b w:val="false"/>
          <w:i w:val="false"/>
          <w:color w:val="000000"/>
          <w:sz w:val="28"/>
        </w:rPr>
        <w:t xml:space="preserve">
      5. </w:t>
      </w:r>
    </w:p>
    <w:bookmarkEnd w:id="375"/>
    <w:bookmarkStart w:name="z406" w:id="376"/>
    <w:p>
      <w:pPr>
        <w:spacing w:after="0"/>
        <w:ind w:left="0"/>
        <w:jc w:val="both"/>
      </w:pPr>
      <w:r>
        <w:rPr>
          <w:rFonts w:ascii="Times New Roman"/>
          <w:b w:val="false"/>
          <w:i w:val="false"/>
          <w:color w:val="000000"/>
          <w:sz w:val="28"/>
        </w:rPr>
        <w:t>
      5.1. Развитие кампусной сети.</w:t>
      </w:r>
    </w:p>
    <w:bookmarkEnd w:id="376"/>
    <w:bookmarkStart w:name="z407" w:id="377"/>
    <w:p>
      <w:pPr>
        <w:spacing w:after="0"/>
        <w:ind w:left="0"/>
        <w:jc w:val="both"/>
      </w:pPr>
      <w:r>
        <w:rPr>
          <w:rFonts w:ascii="Times New Roman"/>
          <w:b w:val="false"/>
          <w:i w:val="false"/>
          <w:color w:val="000000"/>
          <w:sz w:val="28"/>
        </w:rPr>
        <w:t>
      5.2. Модернизация имеющейся инфраструктуры.</w:t>
      </w:r>
    </w:p>
    <w:bookmarkEnd w:id="377"/>
    <w:bookmarkStart w:name="z408" w:id="378"/>
    <w:p>
      <w:pPr>
        <w:spacing w:after="0"/>
        <w:ind w:left="0"/>
        <w:jc w:val="both"/>
      </w:pPr>
      <w:r>
        <w:rPr>
          <w:rFonts w:ascii="Times New Roman"/>
          <w:b w:val="false"/>
          <w:i w:val="false"/>
          <w:color w:val="000000"/>
          <w:sz w:val="28"/>
        </w:rPr>
        <w:t>
      5.3. Создание недостающей инфраструктуры.</w:t>
      </w:r>
    </w:p>
    <w:bookmarkEnd w:id="378"/>
    <w:bookmarkStart w:name="z409" w:id="379"/>
    <w:p>
      <w:pPr>
        <w:spacing w:after="0"/>
        <w:ind w:left="0"/>
        <w:jc w:val="both"/>
      </w:pPr>
      <w:r>
        <w:rPr>
          <w:rFonts w:ascii="Times New Roman"/>
          <w:b w:val="false"/>
          <w:i w:val="false"/>
          <w:color w:val="000000"/>
          <w:sz w:val="28"/>
        </w:rPr>
        <w:t>
      5.4. Развитие технологических платформ.</w:t>
      </w:r>
    </w:p>
    <w:bookmarkEnd w:id="379"/>
    <w:bookmarkStart w:name="z410" w:id="380"/>
    <w:p>
      <w:pPr>
        <w:spacing w:after="0"/>
        <w:ind w:left="0"/>
        <w:jc w:val="both"/>
      </w:pPr>
      <w:r>
        <w:rPr>
          <w:rFonts w:ascii="Times New Roman"/>
          <w:b w:val="false"/>
          <w:i w:val="false"/>
          <w:color w:val="000000"/>
          <w:sz w:val="28"/>
        </w:rPr>
        <w:t>
      С учетом собственного опыта реформирования КАТУ и практики ведущих исследовательских аграрных университетов, решение указанных задач будет достигаться на основе следующих подходов:</w:t>
      </w:r>
    </w:p>
    <w:bookmarkEnd w:id="380"/>
    <w:bookmarkStart w:name="z411" w:id="381"/>
    <w:p>
      <w:pPr>
        <w:spacing w:after="0"/>
        <w:ind w:left="0"/>
        <w:jc w:val="both"/>
      </w:pPr>
      <w:r>
        <w:rPr>
          <w:rFonts w:ascii="Times New Roman"/>
          <w:b w:val="false"/>
          <w:i w:val="false"/>
          <w:color w:val="000000"/>
          <w:sz w:val="28"/>
        </w:rPr>
        <w:t>
      1) сотрудничество с субъектами предпринимательства, общественными объединениями, академическим сообществом и государственными органами для направления деятельности на удовлетворение их потребностей;</w:t>
      </w:r>
    </w:p>
    <w:bookmarkEnd w:id="381"/>
    <w:bookmarkStart w:name="z412" w:id="382"/>
    <w:p>
      <w:pPr>
        <w:spacing w:after="0"/>
        <w:ind w:left="0"/>
        <w:jc w:val="both"/>
      </w:pPr>
      <w:r>
        <w:rPr>
          <w:rFonts w:ascii="Times New Roman"/>
          <w:b w:val="false"/>
          <w:i w:val="false"/>
          <w:color w:val="000000"/>
          <w:sz w:val="28"/>
        </w:rPr>
        <w:t>
      2) автономность, основанная на самостоятельном принятии решений сообществом КАТУ согласно четко сформулированными процедурами с полной ответственностью органов, принимающих и реализующих решения;</w:t>
      </w:r>
    </w:p>
    <w:bookmarkEnd w:id="382"/>
    <w:bookmarkStart w:name="z413" w:id="383"/>
    <w:p>
      <w:pPr>
        <w:spacing w:after="0"/>
        <w:ind w:left="0"/>
        <w:jc w:val="both"/>
      </w:pPr>
      <w:r>
        <w:rPr>
          <w:rFonts w:ascii="Times New Roman"/>
          <w:b w:val="false"/>
          <w:i w:val="false"/>
          <w:color w:val="000000"/>
          <w:sz w:val="28"/>
        </w:rPr>
        <w:t>
      3) ориентация научных исследований на наиболее приоритетные для Казахстана проблемы, с применением междисциплинарного и комплексного подходов;</w:t>
      </w:r>
    </w:p>
    <w:bookmarkEnd w:id="383"/>
    <w:bookmarkStart w:name="z414" w:id="384"/>
    <w:p>
      <w:pPr>
        <w:spacing w:after="0"/>
        <w:ind w:left="0"/>
        <w:jc w:val="both"/>
      </w:pPr>
      <w:r>
        <w:rPr>
          <w:rFonts w:ascii="Times New Roman"/>
          <w:b w:val="false"/>
          <w:i w:val="false"/>
          <w:color w:val="000000"/>
          <w:sz w:val="28"/>
        </w:rPr>
        <w:t>
      4) постоянная актуализация образовательных программ с учетом потребностей работодателей, передовых отечественных (в том числе собственных) и зарубежных научных достижений;</w:t>
      </w:r>
    </w:p>
    <w:bookmarkEnd w:id="384"/>
    <w:bookmarkStart w:name="z415" w:id="385"/>
    <w:p>
      <w:pPr>
        <w:spacing w:after="0"/>
        <w:ind w:left="0"/>
        <w:jc w:val="both"/>
      </w:pPr>
      <w:r>
        <w:rPr>
          <w:rFonts w:ascii="Times New Roman"/>
          <w:b w:val="false"/>
          <w:i w:val="false"/>
          <w:color w:val="000000"/>
          <w:sz w:val="28"/>
        </w:rPr>
        <w:t>
      5) активная интеграция в мировую систему аграрной науки через партнерство с ведущими в мире исследовательскими университетами и научными центрами, сочетание их опыта и практики с местными условиями и объективными потребностями КАТУ;</w:t>
      </w:r>
    </w:p>
    <w:bookmarkEnd w:id="385"/>
    <w:bookmarkStart w:name="z416" w:id="386"/>
    <w:p>
      <w:pPr>
        <w:spacing w:after="0"/>
        <w:ind w:left="0"/>
        <w:jc w:val="both"/>
      </w:pPr>
      <w:r>
        <w:rPr>
          <w:rFonts w:ascii="Times New Roman"/>
          <w:b w:val="false"/>
          <w:i w:val="false"/>
          <w:color w:val="000000"/>
          <w:sz w:val="28"/>
        </w:rPr>
        <w:t>
      6) оснащение инфраструктуры передовой техникой и оборудованием по модели технологических платформ, с учетом оптимальности с позиции "затраты – выгоды".</w:t>
      </w:r>
    </w:p>
    <w:bookmarkEnd w:id="386"/>
    <w:p>
      <w:pPr>
        <w:spacing w:after="0"/>
        <w:ind w:left="0"/>
        <w:jc w:val="both"/>
      </w:pPr>
      <w:r>
        <w:rPr>
          <w:rFonts w:ascii="Times New Roman"/>
          <w:b/>
          <w:i w:val="false"/>
          <w:color w:val="000000"/>
          <w:sz w:val="28"/>
        </w:rPr>
        <w:t>8.2. Создание организационных условий для трансформации КАТУ в исследовательский аграрный университет</w:t>
      </w:r>
    </w:p>
    <w:p>
      <w:pPr>
        <w:spacing w:after="0"/>
        <w:ind w:left="0"/>
        <w:jc w:val="both"/>
      </w:pPr>
      <w:r>
        <w:rPr>
          <w:rFonts w:ascii="Times New Roman"/>
          <w:b/>
          <w:i w:val="false"/>
          <w:color w:val="000000"/>
          <w:sz w:val="28"/>
        </w:rPr>
        <w:t>8.2.1. Переход к новой модели управления</w:t>
      </w:r>
    </w:p>
    <w:bookmarkStart w:name="z419" w:id="387"/>
    <w:p>
      <w:pPr>
        <w:spacing w:after="0"/>
        <w:ind w:left="0"/>
        <w:jc w:val="both"/>
      </w:pPr>
      <w:r>
        <w:rPr>
          <w:rFonts w:ascii="Times New Roman"/>
          <w:b w:val="false"/>
          <w:i w:val="false"/>
          <w:color w:val="000000"/>
          <w:sz w:val="28"/>
        </w:rPr>
        <w:t>
      По примеру ведущих в мире исследовательских университетов, в процессе реформирования модель КАТУ в целом будет ориентирована на соблюдение следующих общепринятых принципов университетской автономии:</w:t>
      </w:r>
    </w:p>
    <w:bookmarkEnd w:id="387"/>
    <w:bookmarkStart w:name="z420" w:id="388"/>
    <w:p>
      <w:pPr>
        <w:spacing w:after="0"/>
        <w:ind w:left="0"/>
        <w:jc w:val="both"/>
      </w:pPr>
      <w:r>
        <w:rPr>
          <w:rFonts w:ascii="Times New Roman"/>
          <w:b w:val="false"/>
          <w:i w:val="false"/>
          <w:color w:val="000000"/>
          <w:sz w:val="28"/>
        </w:rPr>
        <w:t xml:space="preserve">
      1) </w:t>
      </w:r>
      <w:r>
        <w:rPr>
          <w:rFonts w:ascii="Times New Roman"/>
          <w:b/>
          <w:i w:val="false"/>
          <w:color w:val="000000"/>
          <w:sz w:val="28"/>
        </w:rPr>
        <w:t>принцип академической свободы</w:t>
      </w:r>
      <w:r>
        <w:rPr>
          <w:rFonts w:ascii="Times New Roman"/>
          <w:b w:val="false"/>
          <w:i w:val="false"/>
          <w:color w:val="000000"/>
          <w:sz w:val="28"/>
        </w:rPr>
        <w:t xml:space="preserve"> как фундаментальное условие для улучшения качества образовательных услуг, модернизации содержания и обеспечения гибкости образовательного процесса;</w:t>
      </w:r>
    </w:p>
    <w:bookmarkEnd w:id="388"/>
    <w:bookmarkStart w:name="z421" w:id="389"/>
    <w:p>
      <w:pPr>
        <w:spacing w:after="0"/>
        <w:ind w:left="0"/>
        <w:jc w:val="both"/>
      </w:pPr>
      <w:r>
        <w:rPr>
          <w:rFonts w:ascii="Times New Roman"/>
          <w:b w:val="false"/>
          <w:i w:val="false"/>
          <w:color w:val="000000"/>
          <w:sz w:val="28"/>
        </w:rPr>
        <w:t xml:space="preserve">
      2) </w:t>
      </w:r>
      <w:r>
        <w:rPr>
          <w:rFonts w:ascii="Times New Roman"/>
          <w:b/>
          <w:i w:val="false"/>
          <w:color w:val="000000"/>
          <w:sz w:val="28"/>
        </w:rPr>
        <w:t>принцип самоуправляемости</w:t>
      </w:r>
      <w:r>
        <w:rPr>
          <w:rFonts w:ascii="Times New Roman"/>
          <w:b w:val="false"/>
          <w:i w:val="false"/>
          <w:color w:val="000000"/>
          <w:sz w:val="28"/>
        </w:rPr>
        <w:t xml:space="preserve"> как фундаментальное условие для влияния КАТУ на собственную конкурентоспособность, обеспечения гибкости и оперативности управления при продвижении реформ;</w:t>
      </w:r>
    </w:p>
    <w:bookmarkEnd w:id="389"/>
    <w:bookmarkStart w:name="z422" w:id="390"/>
    <w:p>
      <w:pPr>
        <w:spacing w:after="0"/>
        <w:ind w:left="0"/>
        <w:jc w:val="both"/>
      </w:pPr>
      <w:r>
        <w:rPr>
          <w:rFonts w:ascii="Times New Roman"/>
          <w:b w:val="false"/>
          <w:i w:val="false"/>
          <w:color w:val="000000"/>
          <w:sz w:val="28"/>
        </w:rPr>
        <w:t xml:space="preserve">
      3) </w:t>
      </w:r>
      <w:r>
        <w:rPr>
          <w:rFonts w:ascii="Times New Roman"/>
          <w:b/>
          <w:i w:val="false"/>
          <w:color w:val="000000"/>
          <w:sz w:val="28"/>
        </w:rPr>
        <w:t>принцип подотчетности</w:t>
      </w:r>
      <w:r>
        <w:rPr>
          <w:rFonts w:ascii="Times New Roman"/>
          <w:b w:val="false"/>
          <w:i w:val="false"/>
          <w:color w:val="000000"/>
          <w:sz w:val="28"/>
        </w:rPr>
        <w:t xml:space="preserve"> как фундаментальное условие для внешнего общественного контроля за реализацией миссии КАТУ, обеспечения прозрачности деятельности и эффективности использования ресурсов. </w:t>
      </w:r>
    </w:p>
    <w:bookmarkEnd w:id="390"/>
    <w:bookmarkStart w:name="z423" w:id="391"/>
    <w:p>
      <w:pPr>
        <w:spacing w:after="0"/>
        <w:ind w:left="0"/>
        <w:jc w:val="both"/>
      </w:pPr>
      <w:r>
        <w:rPr>
          <w:rFonts w:ascii="Times New Roman"/>
          <w:b w:val="false"/>
          <w:i w:val="false"/>
          <w:color w:val="000000"/>
          <w:sz w:val="28"/>
        </w:rPr>
        <w:t xml:space="preserve">
      </w:t>
      </w:r>
      <w:r>
        <w:rPr>
          <w:rFonts w:ascii="Times New Roman"/>
          <w:b/>
          <w:i w:val="false"/>
          <w:color w:val="000000"/>
          <w:sz w:val="28"/>
        </w:rPr>
        <w:t>Принцип академической свободы</w:t>
      </w:r>
      <w:r>
        <w:rPr>
          <w:rFonts w:ascii="Times New Roman"/>
          <w:b w:val="false"/>
          <w:i w:val="false"/>
          <w:color w:val="000000"/>
          <w:sz w:val="28"/>
        </w:rPr>
        <w:t xml:space="preserve"> означает самостоятельность КАТУ в разработке образовательных программ на основе собственного понимания требований рынка труда, определении требований к ППС и обучающимся, разработке и применении уникальных методов обучения, и выборе направлений научных исследований. Принцип самоуправляемости означает самостоятельность КАТУ в принятии ключевых управленческих решений, включая использование ресурсов и инфраструктуры, академическую политику, кадровую политику и другие. Принцип подотчетности означает прозрачность деятельности для университетского сообщества, государственных органов и общества с целью формирования объективного представления о качестве предоставляемых услуг, проводимых научных исследованиях и вкладе в решение приоритетных для общества задач. </w:t>
      </w:r>
    </w:p>
    <w:bookmarkEnd w:id="391"/>
    <w:bookmarkStart w:name="z424" w:id="392"/>
    <w:p>
      <w:pPr>
        <w:spacing w:after="0"/>
        <w:ind w:left="0"/>
        <w:jc w:val="both"/>
      </w:pPr>
      <w:r>
        <w:rPr>
          <w:rFonts w:ascii="Times New Roman"/>
          <w:b w:val="false"/>
          <w:i w:val="false"/>
          <w:color w:val="000000"/>
          <w:sz w:val="28"/>
        </w:rPr>
        <w:t xml:space="preserve">
      С целью перехода к новой модели управления будет расширена и модернизирована практика коллегиальной разработки и принятия решений на всех уровнях управления КАТУ. </w:t>
      </w:r>
    </w:p>
    <w:bookmarkEnd w:id="392"/>
    <w:bookmarkStart w:name="z425" w:id="393"/>
    <w:p>
      <w:pPr>
        <w:spacing w:after="0"/>
        <w:ind w:left="0"/>
        <w:jc w:val="both"/>
      </w:pPr>
      <w:r>
        <w:rPr>
          <w:rFonts w:ascii="Times New Roman"/>
          <w:b w:val="false"/>
          <w:i w:val="false"/>
          <w:color w:val="000000"/>
          <w:sz w:val="28"/>
        </w:rPr>
        <w:t>
      Совет директоров КАТУ будет формироваться по представительскому принципу – на основе специализации каждого из членов Совета директоров в определенных направлениях деятельности КАТУ, и будет включать:</w:t>
      </w:r>
    </w:p>
    <w:bookmarkEnd w:id="393"/>
    <w:bookmarkStart w:name="z426" w:id="394"/>
    <w:p>
      <w:pPr>
        <w:spacing w:after="0"/>
        <w:ind w:left="0"/>
        <w:jc w:val="both"/>
      </w:pPr>
      <w:r>
        <w:rPr>
          <w:rFonts w:ascii="Times New Roman"/>
          <w:b w:val="false"/>
          <w:i w:val="false"/>
          <w:color w:val="000000"/>
          <w:sz w:val="28"/>
        </w:rPr>
        <w:t>
      1) руководителей заинтересованных государственных органов и местных исполнительных органов Целевого региона;</w:t>
      </w:r>
    </w:p>
    <w:bookmarkEnd w:id="394"/>
    <w:bookmarkStart w:name="z427" w:id="395"/>
    <w:p>
      <w:pPr>
        <w:spacing w:after="0"/>
        <w:ind w:left="0"/>
        <w:jc w:val="both"/>
      </w:pPr>
      <w:r>
        <w:rPr>
          <w:rFonts w:ascii="Times New Roman"/>
          <w:b w:val="false"/>
          <w:i w:val="false"/>
          <w:color w:val="000000"/>
          <w:sz w:val="28"/>
        </w:rPr>
        <w:t>
      2) представителей Национальной палаты предпринимателей "Атамекен", субъектов АПК и их объединений;</w:t>
      </w:r>
    </w:p>
    <w:bookmarkEnd w:id="395"/>
    <w:bookmarkStart w:name="z428" w:id="396"/>
    <w:p>
      <w:pPr>
        <w:spacing w:after="0"/>
        <w:ind w:left="0"/>
        <w:jc w:val="both"/>
      </w:pPr>
      <w:r>
        <w:rPr>
          <w:rFonts w:ascii="Times New Roman"/>
          <w:b w:val="false"/>
          <w:i w:val="false"/>
          <w:color w:val="000000"/>
          <w:sz w:val="28"/>
        </w:rPr>
        <w:t>
      3) представителей АОО "Назарбаев Университет" как адаптированной к условиям Казахстана модели современного исследовательского университета западного типа;</w:t>
      </w:r>
    </w:p>
    <w:bookmarkEnd w:id="396"/>
    <w:bookmarkStart w:name="z429" w:id="397"/>
    <w:p>
      <w:pPr>
        <w:spacing w:after="0"/>
        <w:ind w:left="0"/>
        <w:jc w:val="both"/>
      </w:pPr>
      <w:r>
        <w:rPr>
          <w:rFonts w:ascii="Times New Roman"/>
          <w:b w:val="false"/>
          <w:i w:val="false"/>
          <w:color w:val="000000"/>
          <w:sz w:val="28"/>
        </w:rPr>
        <w:t>
      4) известных ученых и экспертов, в том числе зарубежных, в области сельского хозяйства и сопутствующих направлений, имеющих практический опыт работы в ведущих зарубежных научных организациях и университетах.</w:t>
      </w:r>
    </w:p>
    <w:bookmarkEnd w:id="397"/>
    <w:bookmarkStart w:name="z430" w:id="398"/>
    <w:p>
      <w:pPr>
        <w:spacing w:after="0"/>
        <w:ind w:left="0"/>
        <w:jc w:val="both"/>
      </w:pPr>
      <w:r>
        <w:rPr>
          <w:rFonts w:ascii="Times New Roman"/>
          <w:b w:val="false"/>
          <w:i w:val="false"/>
          <w:color w:val="000000"/>
          <w:sz w:val="28"/>
        </w:rPr>
        <w:t xml:space="preserve">
      Деятельность членов Совета директоров будет осуществляться на общественных началах, за исключением зарубежных экспертов-членов Совета директоров, для которых будут возмещаться расходы на участие в заседаниях. </w:t>
      </w:r>
    </w:p>
    <w:bookmarkEnd w:id="398"/>
    <w:bookmarkStart w:name="z431" w:id="399"/>
    <w:p>
      <w:pPr>
        <w:spacing w:after="0"/>
        <w:ind w:left="0"/>
        <w:jc w:val="both"/>
      </w:pPr>
      <w:r>
        <w:rPr>
          <w:rFonts w:ascii="Times New Roman"/>
          <w:b w:val="false"/>
          <w:i w:val="false"/>
          <w:color w:val="000000"/>
          <w:sz w:val="28"/>
        </w:rPr>
        <w:t xml:space="preserve">
      На университетском уровне, на базе существующих коллегиальных органов управления будут образованы: </w:t>
      </w:r>
    </w:p>
    <w:bookmarkEnd w:id="399"/>
    <w:bookmarkStart w:name="z432" w:id="400"/>
    <w:p>
      <w:pPr>
        <w:spacing w:after="0"/>
        <w:ind w:left="0"/>
        <w:jc w:val="both"/>
      </w:pPr>
      <w:r>
        <w:rPr>
          <w:rFonts w:ascii="Times New Roman"/>
          <w:b w:val="false"/>
          <w:i w:val="false"/>
          <w:color w:val="000000"/>
          <w:sz w:val="28"/>
        </w:rPr>
        <w:t>
      1) Правление (Ректорат) – коллегиальный исполнительный орган, осуществляющий общее руководство деятельностью КАТУ в соответствии с Уставом, стратегией и Программой;</w:t>
      </w:r>
    </w:p>
    <w:bookmarkEnd w:id="400"/>
    <w:bookmarkStart w:name="z433" w:id="401"/>
    <w:p>
      <w:pPr>
        <w:spacing w:after="0"/>
        <w:ind w:left="0"/>
        <w:jc w:val="both"/>
      </w:pPr>
      <w:r>
        <w:rPr>
          <w:rFonts w:ascii="Times New Roman"/>
          <w:b w:val="false"/>
          <w:i w:val="false"/>
          <w:color w:val="000000"/>
          <w:sz w:val="28"/>
        </w:rPr>
        <w:t>
      2) Сенат – высший коллегиальный орган управления по вопросам развития КАТУ;</w:t>
      </w:r>
    </w:p>
    <w:bookmarkEnd w:id="401"/>
    <w:bookmarkStart w:name="z434" w:id="402"/>
    <w:p>
      <w:pPr>
        <w:spacing w:after="0"/>
        <w:ind w:left="0"/>
        <w:jc w:val="both"/>
      </w:pPr>
      <w:r>
        <w:rPr>
          <w:rFonts w:ascii="Times New Roman"/>
          <w:b w:val="false"/>
          <w:i w:val="false"/>
          <w:color w:val="000000"/>
          <w:sz w:val="28"/>
        </w:rPr>
        <w:t>
      3) Научный совет – коллегиальный орган управления по вопросам научной и инновационной деятельности КАТУ;</w:t>
      </w:r>
    </w:p>
    <w:bookmarkEnd w:id="402"/>
    <w:bookmarkStart w:name="z435" w:id="403"/>
    <w:p>
      <w:pPr>
        <w:spacing w:after="0"/>
        <w:ind w:left="0"/>
        <w:jc w:val="both"/>
      </w:pPr>
      <w:r>
        <w:rPr>
          <w:rFonts w:ascii="Times New Roman"/>
          <w:b w:val="false"/>
          <w:i w:val="false"/>
          <w:color w:val="000000"/>
          <w:sz w:val="28"/>
        </w:rPr>
        <w:t>
      4) Академический совет – коллегиальный орган управления по вопросам академической деятельности КАТУ.</w:t>
      </w:r>
    </w:p>
    <w:bookmarkEnd w:id="403"/>
    <w:bookmarkStart w:name="z436" w:id="404"/>
    <w:p>
      <w:pPr>
        <w:spacing w:after="0"/>
        <w:ind w:left="0"/>
        <w:jc w:val="both"/>
      </w:pPr>
      <w:r>
        <w:rPr>
          <w:rFonts w:ascii="Times New Roman"/>
          <w:b w:val="false"/>
          <w:i w:val="false"/>
          <w:color w:val="000000"/>
          <w:sz w:val="28"/>
        </w:rPr>
        <w:t>
      Функционал каждого из органов будет пересмотрен с целью четкого распределения ответственности и исключения дублирования полномочий. Для каждого из органов будет определен перечень вопросов, по которым ими принимаются окончательные решения. Кроме того, будут образованы ряд постоянно действующих комиссий по отдельным направлениям работы КАТУ: найму ППС и персонала, вознаграждениям, ценообразованию, оценке качества услуг и другим важным вопросам.</w:t>
      </w:r>
    </w:p>
    <w:bookmarkEnd w:id="404"/>
    <w:bookmarkStart w:name="z437" w:id="405"/>
    <w:p>
      <w:pPr>
        <w:spacing w:after="0"/>
        <w:ind w:left="0"/>
        <w:jc w:val="both"/>
      </w:pPr>
      <w:r>
        <w:rPr>
          <w:rFonts w:ascii="Times New Roman"/>
          <w:b w:val="false"/>
          <w:i w:val="false"/>
          <w:color w:val="000000"/>
          <w:sz w:val="28"/>
        </w:rPr>
        <w:t xml:space="preserve">
      Членство в коллегиальных органах будет выборным, состав будет формироваться по смешанному принципу (представительский и экспертный) и подлежать периодической ротации. В случае применимости, будет проработан вопрос включения в органы управления КАТУ внешних выгодополучателей: обучающихся и их родителей, выпускников, работодателей, потребителей научных результатов. </w:t>
      </w:r>
    </w:p>
    <w:bookmarkEnd w:id="405"/>
    <w:bookmarkStart w:name="z438" w:id="406"/>
    <w:p>
      <w:pPr>
        <w:spacing w:after="0"/>
        <w:ind w:left="0"/>
        <w:jc w:val="both"/>
      </w:pPr>
      <w:r>
        <w:rPr>
          <w:rFonts w:ascii="Times New Roman"/>
          <w:b w:val="false"/>
          <w:i w:val="false"/>
          <w:color w:val="000000"/>
          <w:sz w:val="28"/>
        </w:rPr>
        <w:t>
      Для разработки и поддержки реализации реформ в условиях автономии, к 2021 году при КАТУ будет сформирована Проектная группа из известных в мире экспертов в области управления исследовательскими университетами и научно-исследовательскими организациями в сфере сельского хозяйства, которая будет на постоянной основе оказывать поддержку КАТУ по следующим взаимосвязанным направлениям:</w:t>
      </w:r>
    </w:p>
    <w:bookmarkEnd w:id="406"/>
    <w:bookmarkStart w:name="z439" w:id="407"/>
    <w:p>
      <w:pPr>
        <w:spacing w:after="0"/>
        <w:ind w:left="0"/>
        <w:jc w:val="both"/>
      </w:pPr>
      <w:r>
        <w:rPr>
          <w:rFonts w:ascii="Times New Roman"/>
          <w:b w:val="false"/>
          <w:i w:val="false"/>
          <w:color w:val="000000"/>
          <w:sz w:val="28"/>
        </w:rPr>
        <w:t>
      1) построение эффективной системы управления;</w:t>
      </w:r>
    </w:p>
    <w:bookmarkEnd w:id="407"/>
    <w:bookmarkStart w:name="z440" w:id="408"/>
    <w:p>
      <w:pPr>
        <w:spacing w:after="0"/>
        <w:ind w:left="0"/>
        <w:jc w:val="both"/>
      </w:pPr>
      <w:r>
        <w:rPr>
          <w:rFonts w:ascii="Times New Roman"/>
          <w:b w:val="false"/>
          <w:i w:val="false"/>
          <w:color w:val="000000"/>
          <w:sz w:val="28"/>
        </w:rPr>
        <w:t>
      2) модернизация образовательного процесса;</w:t>
      </w:r>
    </w:p>
    <w:bookmarkEnd w:id="408"/>
    <w:bookmarkStart w:name="z441" w:id="409"/>
    <w:p>
      <w:pPr>
        <w:spacing w:after="0"/>
        <w:ind w:left="0"/>
        <w:jc w:val="both"/>
      </w:pPr>
      <w:r>
        <w:rPr>
          <w:rFonts w:ascii="Times New Roman"/>
          <w:b w:val="false"/>
          <w:i w:val="false"/>
          <w:color w:val="000000"/>
          <w:sz w:val="28"/>
        </w:rPr>
        <w:t>
      3) реформирование организации научных исследований, с переходом к моделям интегрированных научно-технических программ и технологических платформ коллективного пользования;</w:t>
      </w:r>
    </w:p>
    <w:bookmarkEnd w:id="409"/>
    <w:bookmarkStart w:name="z442" w:id="410"/>
    <w:p>
      <w:pPr>
        <w:spacing w:after="0"/>
        <w:ind w:left="0"/>
        <w:jc w:val="both"/>
      </w:pPr>
      <w:r>
        <w:rPr>
          <w:rFonts w:ascii="Times New Roman"/>
          <w:b w:val="false"/>
          <w:i w:val="false"/>
          <w:color w:val="000000"/>
          <w:sz w:val="28"/>
        </w:rPr>
        <w:t>
      4) развитие системы внедрения научных результатов и "обратной связи" с выгодополучателями.</w:t>
      </w:r>
    </w:p>
    <w:bookmarkEnd w:id="410"/>
    <w:bookmarkStart w:name="z443" w:id="411"/>
    <w:p>
      <w:pPr>
        <w:spacing w:after="0"/>
        <w:ind w:left="0"/>
        <w:jc w:val="both"/>
      </w:pPr>
      <w:r>
        <w:rPr>
          <w:rFonts w:ascii="Times New Roman"/>
          <w:b w:val="false"/>
          <w:i w:val="false"/>
          <w:color w:val="000000"/>
          <w:sz w:val="28"/>
        </w:rPr>
        <w:t>
      Проектная группа будет двухуровневой:</w:t>
      </w:r>
    </w:p>
    <w:bookmarkEnd w:id="411"/>
    <w:bookmarkStart w:name="z444" w:id="412"/>
    <w:p>
      <w:pPr>
        <w:spacing w:after="0"/>
        <w:ind w:left="0"/>
        <w:jc w:val="both"/>
      </w:pPr>
      <w:r>
        <w:rPr>
          <w:rFonts w:ascii="Times New Roman"/>
          <w:b w:val="false"/>
          <w:i w:val="false"/>
          <w:color w:val="000000"/>
          <w:sz w:val="28"/>
        </w:rPr>
        <w:t>
      1) на уровне стратегического руководства – поддержка правления в вопросах стратегического характера экспертами с опытом руководства ведущими в мире университетами или научными центрами в сфере сельского хозяйства;</w:t>
      </w:r>
    </w:p>
    <w:bookmarkEnd w:id="412"/>
    <w:bookmarkStart w:name="z445" w:id="413"/>
    <w:p>
      <w:pPr>
        <w:spacing w:after="0"/>
        <w:ind w:left="0"/>
        <w:jc w:val="both"/>
      </w:pPr>
      <w:r>
        <w:rPr>
          <w:rFonts w:ascii="Times New Roman"/>
          <w:b w:val="false"/>
          <w:i w:val="false"/>
          <w:color w:val="000000"/>
          <w:sz w:val="28"/>
        </w:rPr>
        <w:t>
      2) на уровне оперативного управления – поддержка академических и научных подразделений, в том числе участие зарубежных экспертов в реформировании на уровне факультетов, кафедр, образовательных программ, научно-исследовательских проектов, программ и центров.</w:t>
      </w:r>
    </w:p>
    <w:bookmarkEnd w:id="413"/>
    <w:bookmarkStart w:name="z446" w:id="414"/>
    <w:p>
      <w:pPr>
        <w:spacing w:after="0"/>
        <w:ind w:left="0"/>
        <w:jc w:val="both"/>
      </w:pPr>
      <w:r>
        <w:rPr>
          <w:rFonts w:ascii="Times New Roman"/>
          <w:b w:val="false"/>
          <w:i w:val="false"/>
          <w:color w:val="000000"/>
          <w:sz w:val="28"/>
        </w:rPr>
        <w:t xml:space="preserve">
      Для всесторонней поддержки реализации Программы количество членов проектной группы будет составлять не менее 8 человек, с охватом всех направлений деятельности КАТУ (см. таблицу 8.2.1.1). В зависимости от возможностей членов Проектной группы, работа с ними будет производиться очно или дистанционно. </w:t>
      </w:r>
    </w:p>
    <w:bookmarkEnd w:id="414"/>
    <w:bookmarkStart w:name="z447" w:id="415"/>
    <w:p>
      <w:pPr>
        <w:spacing w:after="0"/>
        <w:ind w:left="0"/>
        <w:jc w:val="both"/>
      </w:pPr>
      <w:r>
        <w:rPr>
          <w:rFonts w:ascii="Times New Roman"/>
          <w:b w:val="false"/>
          <w:i w:val="false"/>
          <w:color w:val="000000"/>
          <w:sz w:val="28"/>
        </w:rPr>
        <w:t>
      Таблица 8.2.1.1 – Формирование Проектной группы для поддержки реформирования КАТУ</w:t>
      </w:r>
    </w:p>
    <w:bookmarkEnd w:id="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28"/>
        <w:gridCol w:w="1128"/>
        <w:gridCol w:w="1928"/>
        <w:gridCol w:w="1929"/>
        <w:gridCol w:w="1929"/>
        <w:gridCol w:w="1929"/>
        <w:gridCol w:w="1929"/>
      </w:tblGrid>
      <w:tr>
        <w:trPr>
          <w:trHeight w:val="30" w:hRule="atLeast"/>
        </w:trPr>
        <w:tc>
          <w:tcPr>
            <w:tcW w:w="1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зарубежных экспертов в Проектной группе, человек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экспертов</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уровне правления</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уровне факультетов, центров</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растениеводству</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животноводству и ветеринарии</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техническим наукам</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управлению земельными ресурсами</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экономике АПК</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448" w:id="416"/>
    <w:p>
      <w:pPr>
        <w:spacing w:after="0"/>
        <w:ind w:left="0"/>
        <w:jc w:val="both"/>
      </w:pPr>
      <w:r>
        <w:rPr>
          <w:rFonts w:ascii="Times New Roman"/>
          <w:b w:val="false"/>
          <w:i w:val="false"/>
          <w:color w:val="000000"/>
          <w:sz w:val="28"/>
        </w:rPr>
        <w:t>
      В соответствии с действующим законодательством Республики Казахстан, в 2019 году завершена реорганизация КАТУ из акционерного общества в некоммерческое акционерное общество. Расширение автономии КАТУ по примеру АОО "Назарбаев Университет" и функционала в направлении научных исследований, трансферта и адаптации зарубежных технологий и распространения знаний КАТУ, будет достигнута путем поэтапной трасформации в исследовательский университет, в том числе путем внесения изменений и дополнений в некоторые законодательные акты Республики Казахстан.</w:t>
      </w:r>
    </w:p>
    <w:bookmarkEnd w:id="416"/>
    <w:bookmarkStart w:name="z449" w:id="417"/>
    <w:p>
      <w:pPr>
        <w:spacing w:after="0"/>
        <w:ind w:left="0"/>
        <w:jc w:val="both"/>
      </w:pPr>
      <w:r>
        <w:rPr>
          <w:rFonts w:ascii="Times New Roman"/>
          <w:b w:val="false"/>
          <w:i w:val="false"/>
          <w:color w:val="000000"/>
          <w:sz w:val="28"/>
        </w:rPr>
        <w:t>
      Целевыми индикаторами по указанному мероприятию являются:</w:t>
      </w:r>
    </w:p>
    <w:bookmarkEnd w:id="417"/>
    <w:bookmarkStart w:name="z450" w:id="418"/>
    <w:p>
      <w:pPr>
        <w:spacing w:after="0"/>
        <w:ind w:left="0"/>
        <w:jc w:val="both"/>
      </w:pPr>
      <w:r>
        <w:rPr>
          <w:rFonts w:ascii="Times New Roman"/>
          <w:b w:val="false"/>
          <w:i w:val="false"/>
          <w:color w:val="000000"/>
          <w:sz w:val="28"/>
        </w:rPr>
        <w:t>
      1) утверждение в новой редакции и внедрение положений о коллегиальных органах управления КАТУ – до окончания 2020 года;</w:t>
      </w:r>
    </w:p>
    <w:bookmarkEnd w:id="418"/>
    <w:bookmarkStart w:name="z451" w:id="419"/>
    <w:p>
      <w:pPr>
        <w:spacing w:after="0"/>
        <w:ind w:left="0"/>
        <w:jc w:val="both"/>
      </w:pPr>
      <w:r>
        <w:rPr>
          <w:rFonts w:ascii="Times New Roman"/>
          <w:b w:val="false"/>
          <w:i w:val="false"/>
          <w:color w:val="000000"/>
          <w:sz w:val="28"/>
        </w:rPr>
        <w:t>
      2) создание Проектной группы из числа известных международных экспертов – до окончания 2021 года.</w:t>
      </w:r>
    </w:p>
    <w:bookmarkEnd w:id="419"/>
    <w:p>
      <w:pPr>
        <w:spacing w:after="0"/>
        <w:ind w:left="0"/>
        <w:jc w:val="both"/>
      </w:pPr>
      <w:r>
        <w:rPr>
          <w:rFonts w:ascii="Times New Roman"/>
          <w:b/>
          <w:i w:val="false"/>
          <w:color w:val="000000"/>
          <w:sz w:val="28"/>
        </w:rPr>
        <w:t>8.2.2. Модернизация организационной и академической структуры</w:t>
      </w:r>
    </w:p>
    <w:bookmarkStart w:name="z453" w:id="420"/>
    <w:p>
      <w:pPr>
        <w:spacing w:after="0"/>
        <w:ind w:left="0"/>
        <w:jc w:val="both"/>
      </w:pPr>
      <w:r>
        <w:rPr>
          <w:rFonts w:ascii="Times New Roman"/>
          <w:b w:val="false"/>
          <w:i w:val="false"/>
          <w:color w:val="000000"/>
          <w:sz w:val="28"/>
        </w:rPr>
        <w:t>
      С целью повышения эффективности управления, по примеру ведущих исследовательских аграрных университетов будут пересмотрены функционал и процессы взаимодействия между структурными подразделениями КАТУ (см. рисунок 8.2.2.1).</w:t>
      </w:r>
    </w:p>
    <w:bookmarkEnd w:id="420"/>
    <w:bookmarkStart w:name="z454" w:id="421"/>
    <w:p>
      <w:pPr>
        <w:spacing w:after="0"/>
        <w:ind w:left="0"/>
        <w:jc w:val="both"/>
      </w:pPr>
      <w:r>
        <w:rPr>
          <w:rFonts w:ascii="Times New Roman"/>
          <w:b w:val="false"/>
          <w:i w:val="false"/>
          <w:color w:val="000000"/>
          <w:sz w:val="28"/>
        </w:rPr>
        <w:t xml:space="preserve">
      </w:t>
      </w:r>
    </w:p>
    <w:bookmarkEnd w:id="421"/>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5" w:id="422"/>
    <w:p>
      <w:pPr>
        <w:spacing w:after="0"/>
        <w:ind w:left="0"/>
        <w:jc w:val="both"/>
      </w:pPr>
      <w:r>
        <w:rPr>
          <w:rFonts w:ascii="Times New Roman"/>
          <w:b w:val="false"/>
          <w:i w:val="false"/>
          <w:color w:val="000000"/>
          <w:sz w:val="28"/>
        </w:rPr>
        <w:t>
      Рисунок 8.2.2.1 – Принципиальная схема организационной структуры КАТУ</w:t>
      </w:r>
    </w:p>
    <w:bookmarkEnd w:id="422"/>
    <w:bookmarkStart w:name="z456" w:id="423"/>
    <w:p>
      <w:pPr>
        <w:spacing w:after="0"/>
        <w:ind w:left="0"/>
        <w:jc w:val="both"/>
      </w:pPr>
      <w:r>
        <w:rPr>
          <w:rFonts w:ascii="Times New Roman"/>
          <w:b w:val="false"/>
          <w:i w:val="false"/>
          <w:color w:val="000000"/>
          <w:sz w:val="28"/>
        </w:rPr>
        <w:t xml:space="preserve">
      Основной деятельностью факультетов и кафедр станет реализация образовательных программ, предусматривающих выдачу дипломов и присвоение академических степеней выпускникам (см. таблицу 8.2.2.1). </w:t>
      </w:r>
    </w:p>
    <w:bookmarkEnd w:id="423"/>
    <w:bookmarkStart w:name="z457" w:id="424"/>
    <w:p>
      <w:pPr>
        <w:spacing w:after="0"/>
        <w:ind w:left="0"/>
        <w:jc w:val="both"/>
      </w:pPr>
      <w:r>
        <w:rPr>
          <w:rFonts w:ascii="Times New Roman"/>
          <w:b w:val="false"/>
          <w:i w:val="false"/>
          <w:color w:val="000000"/>
          <w:sz w:val="28"/>
        </w:rPr>
        <w:t>
      Центры будут создаваться для развития приоритетных для КАТУ научных направлений и выведения ППС, задействованных в них, из традиционной иерархии образовательного процесса. Каждый из центров будет ориентирован на определенную проблему или проблемную область, с применением междисциплинарного подхода и вовлечения представителей различных научных направлений.</w:t>
      </w:r>
    </w:p>
    <w:bookmarkEnd w:id="424"/>
    <w:bookmarkStart w:name="z458" w:id="425"/>
    <w:p>
      <w:pPr>
        <w:spacing w:after="0"/>
        <w:ind w:left="0"/>
        <w:jc w:val="both"/>
      </w:pPr>
      <w:r>
        <w:rPr>
          <w:rFonts w:ascii="Times New Roman"/>
          <w:b w:val="false"/>
          <w:i w:val="false"/>
          <w:color w:val="000000"/>
          <w:sz w:val="28"/>
        </w:rPr>
        <w:t>
      ТП будут создаваться путем объединения лабораторий, цехов и вспомогательной инфраструктуры, связанных общим технологическим процессом и/или областью применения. Особенностью ТП являются:</w:t>
      </w:r>
    </w:p>
    <w:bookmarkEnd w:id="425"/>
    <w:bookmarkStart w:name="z459" w:id="426"/>
    <w:p>
      <w:pPr>
        <w:spacing w:after="0"/>
        <w:ind w:left="0"/>
        <w:jc w:val="both"/>
      </w:pPr>
      <w:r>
        <w:rPr>
          <w:rFonts w:ascii="Times New Roman"/>
          <w:b w:val="false"/>
          <w:i w:val="false"/>
          <w:color w:val="000000"/>
          <w:sz w:val="28"/>
        </w:rPr>
        <w:t>
      1) функциональная универсальность – применимость для научно-исследовательских и опытно-конструкторских работ, обучения студентов, магистрантов и докторантов, апробации и внедрения научных результатов, и оказания услуг внешним потребителям;</w:t>
      </w:r>
    </w:p>
    <w:bookmarkEnd w:id="426"/>
    <w:bookmarkStart w:name="z460" w:id="427"/>
    <w:p>
      <w:pPr>
        <w:spacing w:after="0"/>
        <w:ind w:left="0"/>
        <w:jc w:val="both"/>
      </w:pPr>
      <w:r>
        <w:rPr>
          <w:rFonts w:ascii="Times New Roman"/>
          <w:b w:val="false"/>
          <w:i w:val="false"/>
          <w:color w:val="000000"/>
          <w:sz w:val="28"/>
        </w:rPr>
        <w:t>
      2) комплексность – инструментальная поддержка всех этапов от формулирования идеи до внедрения ее результатов в практику;</w:t>
      </w:r>
    </w:p>
    <w:bookmarkEnd w:id="427"/>
    <w:bookmarkStart w:name="z461" w:id="428"/>
    <w:p>
      <w:pPr>
        <w:spacing w:after="0"/>
        <w:ind w:left="0"/>
        <w:jc w:val="both"/>
      </w:pPr>
      <w:r>
        <w:rPr>
          <w:rFonts w:ascii="Times New Roman"/>
          <w:b w:val="false"/>
          <w:i w:val="false"/>
          <w:color w:val="000000"/>
          <w:sz w:val="28"/>
        </w:rPr>
        <w:t>
      3) междисциплинарность – ориентированность оборудования на запросы ППС и обучающихся различного профиля, имеющих потребности в одних и тех же инструментах, и процессах;</w:t>
      </w:r>
    </w:p>
    <w:bookmarkEnd w:id="428"/>
    <w:bookmarkStart w:name="z462" w:id="429"/>
    <w:p>
      <w:pPr>
        <w:spacing w:after="0"/>
        <w:ind w:left="0"/>
        <w:jc w:val="both"/>
      </w:pPr>
      <w:r>
        <w:rPr>
          <w:rFonts w:ascii="Times New Roman"/>
          <w:b w:val="false"/>
          <w:i w:val="false"/>
          <w:color w:val="000000"/>
          <w:sz w:val="28"/>
        </w:rPr>
        <w:t xml:space="preserve">
      4) доступность – регламентированный в режиме "24/7" (24 часа в сутки 7 дней в неделю) доступ к материально-технической базе для ППС и обучающихся, вне зависимости от факультета или специальности. </w:t>
      </w:r>
    </w:p>
    <w:bookmarkEnd w:id="429"/>
    <w:bookmarkStart w:name="z463" w:id="430"/>
    <w:p>
      <w:pPr>
        <w:spacing w:after="0"/>
        <w:ind w:left="0"/>
        <w:jc w:val="left"/>
      </w:pPr>
      <w:r>
        <w:rPr>
          <w:rFonts w:ascii="Times New Roman"/>
          <w:b/>
          <w:i w:val="false"/>
          <w:color w:val="000000"/>
        </w:rPr>
        <w:t xml:space="preserve"> Таблица 8.2.2.1 – Функциональная матрица к новой организационной структуре КАТУ</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4"/>
        <w:gridCol w:w="6975"/>
        <w:gridCol w:w="2735"/>
        <w:gridCol w:w="2016"/>
      </w:tblGrid>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Подразделения</w:t>
            </w:r>
          </w:p>
        </w:tc>
        <w:tc>
          <w:tcPr>
            <w:tcW w:w="6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Инфраструктура</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Кадры</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Факультеты</w:t>
            </w:r>
          </w:p>
        </w:tc>
        <w:tc>
          <w:tcPr>
            <w:tcW w:w="6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Подготовка кадров: бакалавриат </w:t>
            </w:r>
          </w:p>
          <w:p>
            <w:pPr>
              <w:spacing w:after="20"/>
              <w:ind w:left="20"/>
              <w:jc w:val="both"/>
            </w:pPr>
            <w:r>
              <w:drawing>
                <wp:inline distT="0" distB="0" distL="0" distR="0">
                  <wp:extent cx="317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175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магистратура </w:t>
            </w:r>
          </w:p>
          <w:p>
            <w:pPr>
              <w:spacing w:after="20"/>
              <w:ind w:left="20"/>
              <w:jc w:val="both"/>
            </w:pPr>
            <w:r>
              <w:drawing>
                <wp:inline distT="0" distB="0" distL="0" distR="0">
                  <wp:extent cx="317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175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докторантура </w:t>
            </w:r>
          </w:p>
          <w:p>
            <w:pPr>
              <w:spacing w:after="20"/>
              <w:ind w:left="20"/>
              <w:jc w:val="both"/>
            </w:pPr>
            <w:r>
              <w:drawing>
                <wp:inline distT="0" distB="0" distL="0" distR="0">
                  <wp:extent cx="317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175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дополнительное обучение</w:t>
            </w:r>
            <w:r>
              <w:br/>
            </w:r>
            <w:r>
              <w:rPr>
                <w:rFonts w:ascii="Times New Roman"/>
                <w:b w:val="false"/>
                <w:i w:val="false"/>
                <w:color w:val="000000"/>
                <w:sz w:val="20"/>
              </w:rPr>
              <w:t>
</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аудитории, прочие учебные и вспомогательные помещения</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ППС, вспомогательный персонал</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Центры</w:t>
            </w:r>
          </w:p>
        </w:tc>
        <w:tc>
          <w:tcPr>
            <w:tcW w:w="6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31"/>
          <w:p>
            <w:pPr>
              <w:spacing w:after="20"/>
              <w:ind w:left="20"/>
              <w:jc w:val="both"/>
            </w:pPr>
            <w:r>
              <w:rPr>
                <w:rFonts w:ascii="Times New Roman"/>
                <w:b w:val="false"/>
                <w:i w:val="false"/>
                <w:color w:val="000000"/>
                <w:sz w:val="20"/>
              </w:rPr>
              <w:t>
• Междисциплинарные научные исследования, нацеленные на масштабные, актуальные проблемы</w:t>
            </w:r>
            <w:r>
              <w:br/>
            </w:r>
            <w:r>
              <w:rPr>
                <w:rFonts w:ascii="Times New Roman"/>
                <w:b w:val="false"/>
                <w:i w:val="false"/>
                <w:color w:val="000000"/>
                <w:sz w:val="20"/>
              </w:rPr>
              <w:t>
• Продвижение научных результатов</w:t>
            </w:r>
          </w:p>
          <w:bookmarkEnd w:id="431"/>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432"/>
          <w:p>
            <w:pPr>
              <w:spacing w:after="20"/>
              <w:ind w:left="20"/>
              <w:jc w:val="both"/>
            </w:pPr>
            <w:r>
              <w:rPr>
                <w:rFonts w:ascii="Times New Roman"/>
                <w:b w:val="false"/>
                <w:i w:val="false"/>
                <w:color w:val="000000"/>
                <w:sz w:val="20"/>
              </w:rPr>
              <w:t>
средства обработки данных,</w:t>
            </w:r>
            <w:r>
              <w:br/>
            </w:r>
            <w:r>
              <w:rPr>
                <w:rFonts w:ascii="Times New Roman"/>
                <w:b w:val="false"/>
                <w:i w:val="false"/>
                <w:color w:val="000000"/>
                <w:sz w:val="20"/>
              </w:rPr>
              <w:t>
офисные помещения</w:t>
            </w:r>
          </w:p>
          <w:bookmarkEnd w:id="432"/>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исследователи</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Платформы</w:t>
            </w:r>
          </w:p>
        </w:tc>
        <w:tc>
          <w:tcPr>
            <w:tcW w:w="6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Междисциплинарная инфраструктура коллективного пользования для подготовки кадров и науки</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универсальные лаборатории, производственно-экспериментальная база</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инженеры, лаборанты, техники</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Департаменты</w:t>
            </w:r>
          </w:p>
        </w:tc>
        <w:tc>
          <w:tcPr>
            <w:tcW w:w="6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433"/>
          <w:p>
            <w:pPr>
              <w:spacing w:after="20"/>
              <w:ind w:left="20"/>
              <w:jc w:val="both"/>
            </w:pPr>
            <w:r>
              <w:rPr>
                <w:rFonts w:ascii="Times New Roman"/>
                <w:b w:val="false"/>
                <w:i w:val="false"/>
                <w:color w:val="000000"/>
                <w:sz w:val="20"/>
              </w:rPr>
              <w:t>
• "Руки Правления": создание условий для эффективной работы центров, факультетов, платформ</w:t>
            </w:r>
            <w:r>
              <w:br/>
            </w:r>
            <w:r>
              <w:rPr>
                <w:rFonts w:ascii="Times New Roman"/>
                <w:b w:val="false"/>
                <w:i w:val="false"/>
                <w:color w:val="000000"/>
                <w:sz w:val="20"/>
              </w:rPr>
              <w:t>
• Административные функции общего характера</w:t>
            </w:r>
          </w:p>
          <w:bookmarkEnd w:id="433"/>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офисные помещения, оборудование</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менеджеры</w:t>
            </w:r>
          </w:p>
        </w:tc>
      </w:tr>
    </w:tbl>
    <w:p>
      <w:pPr>
        <w:spacing w:after="0"/>
        <w:ind w:left="0"/>
        <w:jc w:val="left"/>
      </w:pPr>
      <w:r>
        <w:br/>
      </w:r>
      <w:r>
        <w:rPr>
          <w:rFonts w:ascii="Times New Roman"/>
          <w:b w:val="false"/>
          <w:i w:val="false"/>
          <w:color w:val="000000"/>
          <w:sz w:val="28"/>
        </w:rPr>
        <w:t>
</w:t>
      </w:r>
    </w:p>
    <w:bookmarkStart w:name="z467" w:id="434"/>
    <w:p>
      <w:pPr>
        <w:spacing w:after="0"/>
        <w:ind w:left="0"/>
        <w:jc w:val="both"/>
      </w:pPr>
      <w:r>
        <w:rPr>
          <w:rFonts w:ascii="Times New Roman"/>
          <w:b w:val="false"/>
          <w:i w:val="false"/>
          <w:color w:val="000000"/>
          <w:sz w:val="28"/>
        </w:rPr>
        <w:t xml:space="preserve">
      В мировой практике применение ТП оптимизирует использование и исключает дублирование оборудования, а также систематизирует работу по его модернизации и обслуживанию. В штате платформ будет преимущественно инженерно-технический и вспомогательный персонал, имеющий необходимую квалификацию для правильной эксплуатации соответствующего оборудования. Основу оснащения платформ составят дорогостоящие, специализированные оборудование, машины и сельскохозяйственная техника. </w:t>
      </w:r>
    </w:p>
    <w:bookmarkEnd w:id="434"/>
    <w:bookmarkStart w:name="z468" w:id="435"/>
    <w:p>
      <w:pPr>
        <w:spacing w:after="0"/>
        <w:ind w:left="0"/>
        <w:jc w:val="both"/>
      </w:pPr>
      <w:r>
        <w:rPr>
          <w:rFonts w:ascii="Times New Roman"/>
          <w:b w:val="false"/>
          <w:i w:val="false"/>
          <w:color w:val="000000"/>
          <w:sz w:val="28"/>
        </w:rPr>
        <w:t xml:space="preserve">
      Департаменты будут являться основной административной единицей, их деятельность будет ориентирована на создание необходимых условий для качественной работы факультетов, центров и ТП, управление ресурсами, и общую координацию реализации Программы. </w:t>
      </w:r>
    </w:p>
    <w:bookmarkEnd w:id="435"/>
    <w:bookmarkStart w:name="z469" w:id="436"/>
    <w:p>
      <w:pPr>
        <w:spacing w:after="0"/>
        <w:ind w:left="0"/>
        <w:jc w:val="both"/>
      </w:pPr>
      <w:r>
        <w:rPr>
          <w:rFonts w:ascii="Times New Roman"/>
          <w:b w:val="false"/>
          <w:i w:val="false"/>
          <w:color w:val="000000"/>
          <w:sz w:val="28"/>
        </w:rPr>
        <w:t xml:space="preserve">
      Должностные лица, занимающие руководящие должности на уровне факультетов, кафедр, ТП, центров, и департаментов, будут подлежать периодической ротации. Для перехода от преимущественно образовательной, узкоспециализированной деятельности к совмещению образовательной, научной и инновационной деятельности на междисциплинарной основе будет проработан вопрос реорганизации факультетов и кафедр. Их состав и структура будут сформированы на основе соответствия крупным областям знаний и предлагаемых дисциплин (не по принципу соответствия специальностям), с учетом практики UC Davis и других ведущих в мире исследовательских аграрных университетов. </w:t>
      </w:r>
    </w:p>
    <w:bookmarkEnd w:id="436"/>
    <w:bookmarkStart w:name="z470" w:id="437"/>
    <w:p>
      <w:pPr>
        <w:spacing w:after="0"/>
        <w:ind w:left="0"/>
        <w:jc w:val="both"/>
      </w:pPr>
      <w:r>
        <w:rPr>
          <w:rFonts w:ascii="Times New Roman"/>
          <w:b w:val="false"/>
          <w:i w:val="false"/>
          <w:color w:val="000000"/>
          <w:sz w:val="28"/>
        </w:rPr>
        <w:t xml:space="preserve">
      В соответствии с практикой ведущих исследовательских университетов, будут актуализированы документы, определяющие систему ценностей, основные принципы корпоративной, научной и образовательной этики. С целью повышения общей эффективности, будет дополнительно проанализировано разграничение функций между ППС (faculty), вспомогательными службами (staff) и администрацией. К функциям ППС будут отнесены только функции, непосредственно связанные с научными исследованиями, преподаванием, участием в инновационной деятельности и работе с ТП. Другие функции, такие как обслуживание научных исследований, воспитательная работа, подготовка отчетности, участие в административной работе будут переданы вспомогательным службам. При необходимости, будут созданы новые вспомогательные службы. </w:t>
      </w:r>
    </w:p>
    <w:bookmarkEnd w:id="437"/>
    <w:bookmarkStart w:name="z471" w:id="438"/>
    <w:p>
      <w:pPr>
        <w:spacing w:after="0"/>
        <w:ind w:left="0"/>
        <w:jc w:val="both"/>
      </w:pPr>
      <w:r>
        <w:rPr>
          <w:rFonts w:ascii="Times New Roman"/>
          <w:b w:val="false"/>
          <w:i w:val="false"/>
          <w:color w:val="000000"/>
          <w:sz w:val="28"/>
        </w:rPr>
        <w:t>
      Целевым индикатором по данному направлению является завершение перехода к новой организационной и академической структуре до окончания 2021 года, включая актуализацию положений о структурных подразделениях и других внутренних регламентирующих документов.</w:t>
      </w:r>
    </w:p>
    <w:bookmarkEnd w:id="438"/>
    <w:p>
      <w:pPr>
        <w:spacing w:after="0"/>
        <w:ind w:left="0"/>
        <w:jc w:val="both"/>
      </w:pPr>
      <w:r>
        <w:rPr>
          <w:rFonts w:ascii="Times New Roman"/>
          <w:b/>
          <w:i w:val="false"/>
          <w:color w:val="000000"/>
          <w:sz w:val="28"/>
        </w:rPr>
        <w:t>8.2.3. Расширение партнерского окружения</w:t>
      </w:r>
    </w:p>
    <w:p>
      <w:pPr>
        <w:spacing w:after="0"/>
        <w:ind w:left="0"/>
        <w:jc w:val="both"/>
      </w:pPr>
      <w:r>
        <w:rPr>
          <w:rFonts w:ascii="Times New Roman"/>
          <w:b/>
          <w:i w:val="false"/>
          <w:color w:val="000000"/>
          <w:sz w:val="28"/>
        </w:rPr>
        <w:t>8.2.3.1. Сотрудничество с ведущими в мире университетами и научными организациями</w:t>
      </w:r>
    </w:p>
    <w:bookmarkStart w:name="z474" w:id="439"/>
    <w:p>
      <w:pPr>
        <w:spacing w:after="0"/>
        <w:ind w:left="0"/>
        <w:jc w:val="both"/>
      </w:pPr>
      <w:r>
        <w:rPr>
          <w:rFonts w:ascii="Times New Roman"/>
          <w:b w:val="false"/>
          <w:i w:val="false"/>
          <w:color w:val="000000"/>
          <w:sz w:val="28"/>
        </w:rPr>
        <w:t>
      Основным партнером КАТУ будет являться UC Davis – "land-grant" университет, являющийся одним из ведущих научно-образовательных центров аграрного профиля в мире. По его модели, при поддержке профессоров и экспертов из UC Davis, будут разрабатываться и реализовываться мероприятия по реформированию КАТУ, предусмотренные Программой.</w:t>
      </w:r>
    </w:p>
    <w:bookmarkEnd w:id="439"/>
    <w:bookmarkStart w:name="z475" w:id="440"/>
    <w:p>
      <w:pPr>
        <w:spacing w:after="0"/>
        <w:ind w:left="0"/>
        <w:jc w:val="both"/>
      </w:pPr>
      <w:r>
        <w:rPr>
          <w:rFonts w:ascii="Times New Roman"/>
          <w:b w:val="false"/>
          <w:i w:val="false"/>
          <w:color w:val="000000"/>
          <w:sz w:val="28"/>
        </w:rPr>
        <w:t>
      В рамках модернизации образовательного процесса, совместно с AgroParisTech будут разработаны двухдипломные программы магистратуры по почвоведению, животноводству и защите растений. Профессора AgroParisTech также поддержат КАТУ в реформировании вспомогательных служб.</w:t>
      </w:r>
    </w:p>
    <w:bookmarkEnd w:id="440"/>
    <w:bookmarkStart w:name="z476" w:id="441"/>
    <w:p>
      <w:pPr>
        <w:spacing w:after="0"/>
        <w:ind w:left="0"/>
        <w:jc w:val="both"/>
      </w:pPr>
      <w:r>
        <w:rPr>
          <w:rFonts w:ascii="Times New Roman"/>
          <w:b w:val="false"/>
          <w:i w:val="false"/>
          <w:color w:val="000000"/>
          <w:sz w:val="28"/>
        </w:rPr>
        <w:t xml:space="preserve">
      В целях интеграции в мировое научно-образовательное пространство, освоения передовых знаний и технологий по отдельным научным направлениям будет расширяться сотрудничество с другими ведущими в мире исследовательскими университетами и научными центрами из США, Франции, Австралии, Канады, Германии, Нидерландов и Китайской Народной Республики. Основными направлениями сотрудничества будут: </w:t>
      </w:r>
    </w:p>
    <w:bookmarkEnd w:id="441"/>
    <w:bookmarkStart w:name="z477" w:id="442"/>
    <w:p>
      <w:pPr>
        <w:spacing w:after="0"/>
        <w:ind w:left="0"/>
        <w:jc w:val="both"/>
      </w:pPr>
      <w:r>
        <w:rPr>
          <w:rFonts w:ascii="Times New Roman"/>
          <w:b w:val="false"/>
          <w:i w:val="false"/>
          <w:color w:val="000000"/>
          <w:sz w:val="28"/>
        </w:rPr>
        <w:t>
      1) стажировки ППС и административно-управленческого персонала КАТУ;</w:t>
      </w:r>
    </w:p>
    <w:bookmarkEnd w:id="442"/>
    <w:bookmarkStart w:name="z478" w:id="443"/>
    <w:p>
      <w:pPr>
        <w:spacing w:after="0"/>
        <w:ind w:left="0"/>
        <w:jc w:val="both"/>
      </w:pPr>
      <w:r>
        <w:rPr>
          <w:rFonts w:ascii="Times New Roman"/>
          <w:b w:val="false"/>
          <w:i w:val="false"/>
          <w:color w:val="000000"/>
          <w:sz w:val="28"/>
        </w:rPr>
        <w:t>
      2) совместные научные исследования;</w:t>
      </w:r>
    </w:p>
    <w:bookmarkEnd w:id="443"/>
    <w:bookmarkStart w:name="z479" w:id="444"/>
    <w:p>
      <w:pPr>
        <w:spacing w:after="0"/>
        <w:ind w:left="0"/>
        <w:jc w:val="both"/>
      </w:pPr>
      <w:r>
        <w:rPr>
          <w:rFonts w:ascii="Times New Roman"/>
          <w:b w:val="false"/>
          <w:i w:val="false"/>
          <w:color w:val="000000"/>
          <w:sz w:val="28"/>
        </w:rPr>
        <w:t>
      3) приглашение в КАТУ для совместной работы профессоров, ученых и экспертов.</w:t>
      </w:r>
    </w:p>
    <w:bookmarkEnd w:id="444"/>
    <w:bookmarkStart w:name="z480" w:id="445"/>
    <w:p>
      <w:pPr>
        <w:spacing w:after="0"/>
        <w:ind w:left="0"/>
        <w:jc w:val="both"/>
      </w:pPr>
      <w:r>
        <w:rPr>
          <w:rFonts w:ascii="Times New Roman"/>
          <w:b w:val="false"/>
          <w:i w:val="false"/>
          <w:color w:val="000000"/>
          <w:sz w:val="28"/>
        </w:rPr>
        <w:t xml:space="preserve">
      Будет продолжено сотрудничество с традиционными партнерами КАТУ из Российской Федерации, Республики Беларусь, Польши, Чехии и других стран. Сотрудничество с ними будет сфокусировано на конкретных, представляющих взаимный интерес областях, с четкими научно-исследовательскими или академическими задачами. </w:t>
      </w:r>
    </w:p>
    <w:bookmarkEnd w:id="445"/>
    <w:bookmarkStart w:name="z481" w:id="446"/>
    <w:p>
      <w:pPr>
        <w:spacing w:after="0"/>
        <w:ind w:left="0"/>
        <w:jc w:val="both"/>
      </w:pPr>
      <w:r>
        <w:rPr>
          <w:rFonts w:ascii="Times New Roman"/>
          <w:b w:val="false"/>
          <w:i w:val="false"/>
          <w:color w:val="000000"/>
          <w:sz w:val="28"/>
        </w:rPr>
        <w:t>
      Целевыми индикаторами по указанному направлению являются:</w:t>
      </w:r>
    </w:p>
    <w:bookmarkEnd w:id="446"/>
    <w:bookmarkStart w:name="z482" w:id="447"/>
    <w:p>
      <w:pPr>
        <w:spacing w:after="0"/>
        <w:ind w:left="0"/>
        <w:jc w:val="both"/>
      </w:pPr>
      <w:r>
        <w:rPr>
          <w:rFonts w:ascii="Times New Roman"/>
          <w:b w:val="false"/>
          <w:i w:val="false"/>
          <w:color w:val="000000"/>
          <w:sz w:val="28"/>
        </w:rPr>
        <w:t>
      1) поддержание действующего статуса Соглашения о сотрудничестве КАТУ и UC Davis от 28 июня 2014 года;</w:t>
      </w:r>
    </w:p>
    <w:bookmarkEnd w:id="447"/>
    <w:bookmarkStart w:name="z483" w:id="448"/>
    <w:p>
      <w:pPr>
        <w:spacing w:after="0"/>
        <w:ind w:left="0"/>
        <w:jc w:val="both"/>
      </w:pPr>
      <w:r>
        <w:rPr>
          <w:rFonts w:ascii="Times New Roman"/>
          <w:b w:val="false"/>
          <w:i w:val="false"/>
          <w:color w:val="000000"/>
          <w:sz w:val="28"/>
        </w:rPr>
        <w:t>
      2) начало реализации не менее одной двухдипломной программы магистратуры с AgroParisTech;</w:t>
      </w:r>
    </w:p>
    <w:bookmarkEnd w:id="448"/>
    <w:bookmarkStart w:name="z484" w:id="449"/>
    <w:p>
      <w:pPr>
        <w:spacing w:after="0"/>
        <w:ind w:left="0"/>
        <w:jc w:val="both"/>
      </w:pPr>
      <w:r>
        <w:rPr>
          <w:rFonts w:ascii="Times New Roman"/>
          <w:b w:val="false"/>
          <w:i w:val="false"/>
          <w:color w:val="000000"/>
          <w:sz w:val="28"/>
        </w:rPr>
        <w:t>
      3) доля международных соглашений о сотрудничестве, на основании которых осуществляются активные действия, в общем количестве заключенных международных соглашений о сотрудничестве – не менее 25% в 2024 году.</w:t>
      </w:r>
    </w:p>
    <w:bookmarkEnd w:id="449"/>
    <w:p>
      <w:pPr>
        <w:spacing w:after="0"/>
        <w:ind w:left="0"/>
        <w:jc w:val="both"/>
      </w:pPr>
      <w:r>
        <w:rPr>
          <w:rFonts w:ascii="Times New Roman"/>
          <w:b/>
          <w:i w:val="false"/>
          <w:color w:val="000000"/>
          <w:sz w:val="28"/>
        </w:rPr>
        <w:t>8.2.3.2. Сотрудничество с научно-исследовательскими организациями и университетами Республики Казахстан</w:t>
      </w:r>
    </w:p>
    <w:bookmarkStart w:name="z486" w:id="450"/>
    <w:p>
      <w:pPr>
        <w:spacing w:after="0"/>
        <w:ind w:left="0"/>
        <w:jc w:val="both"/>
      </w:pPr>
      <w:r>
        <w:rPr>
          <w:rFonts w:ascii="Times New Roman"/>
          <w:b w:val="false"/>
          <w:i w:val="false"/>
          <w:color w:val="000000"/>
          <w:sz w:val="28"/>
        </w:rPr>
        <w:t>
      В 2018 – 2019 учебном году в образовательном процессе КАТУ участвовали 15 ученых из 12 научных организаций и 17 преподавателей из 8 вузов Республики Казахстан. По академической мобильности 49 студентов КАТУ обучались в других вузах Республики Казахстан, 59 студентов других вузов обучались в КАТУ. Ученые КАТУ участвовали в научных исследованиях по 18 темам, реализуемых другими научными организациями Казахстана.</w:t>
      </w:r>
    </w:p>
    <w:bookmarkEnd w:id="450"/>
    <w:bookmarkStart w:name="z487" w:id="451"/>
    <w:p>
      <w:pPr>
        <w:spacing w:after="0"/>
        <w:ind w:left="0"/>
        <w:jc w:val="both"/>
      </w:pPr>
      <w:r>
        <w:rPr>
          <w:rFonts w:ascii="Times New Roman"/>
          <w:b w:val="false"/>
          <w:i w:val="false"/>
          <w:color w:val="000000"/>
          <w:sz w:val="28"/>
        </w:rPr>
        <w:t>
      С целью привлечения к образовательному процессу ведущих профессоров и ученых, продолжится расширение сотрудничества с отраслевыми научно-исследовательскими организациями Министерства сельского хозяйства, Министерства образования и науки Республики Казахстан и университетами (см. рисунок 8.2.3.2.1).</w:t>
      </w:r>
    </w:p>
    <w:bookmarkEnd w:id="451"/>
    <w:bookmarkStart w:name="z488" w:id="452"/>
    <w:p>
      <w:pPr>
        <w:spacing w:after="0"/>
        <w:ind w:left="0"/>
        <w:jc w:val="both"/>
      </w:pPr>
      <w:r>
        <w:rPr>
          <w:rFonts w:ascii="Times New Roman"/>
          <w:b w:val="false"/>
          <w:i w:val="false"/>
          <w:color w:val="000000"/>
          <w:sz w:val="28"/>
        </w:rPr>
        <w:t>
      Другими формами сотрудничества КАТУ с отечественными научными организациями и вузами будут:</w:t>
      </w:r>
    </w:p>
    <w:bookmarkEnd w:id="452"/>
    <w:bookmarkStart w:name="z489" w:id="453"/>
    <w:p>
      <w:pPr>
        <w:spacing w:after="0"/>
        <w:ind w:left="0"/>
        <w:jc w:val="both"/>
      </w:pPr>
      <w:r>
        <w:rPr>
          <w:rFonts w:ascii="Times New Roman"/>
          <w:b w:val="false"/>
          <w:i w:val="false"/>
          <w:color w:val="000000"/>
          <w:sz w:val="28"/>
        </w:rPr>
        <w:t>
      1) совместная реализация научных программ и проектов;</w:t>
      </w:r>
    </w:p>
    <w:bookmarkEnd w:id="453"/>
    <w:bookmarkStart w:name="z490" w:id="454"/>
    <w:p>
      <w:pPr>
        <w:spacing w:after="0"/>
        <w:ind w:left="0"/>
        <w:jc w:val="both"/>
      </w:pPr>
      <w:r>
        <w:rPr>
          <w:rFonts w:ascii="Times New Roman"/>
          <w:b w:val="false"/>
          <w:i w:val="false"/>
          <w:color w:val="000000"/>
          <w:sz w:val="28"/>
        </w:rPr>
        <w:t>
      2) совместная подготовка научных кадров, в том числе путем переноса части образовательного процесса в организации-партнеры, с синхронизацией программ обучения с проводимыми ими научными исследованиями.</w:t>
      </w:r>
    </w:p>
    <w:bookmarkEnd w:id="454"/>
    <w:bookmarkStart w:name="z491" w:id="455"/>
    <w:p>
      <w:pPr>
        <w:spacing w:after="0"/>
        <w:ind w:left="0"/>
        <w:jc w:val="both"/>
      </w:pPr>
      <w:r>
        <w:rPr>
          <w:rFonts w:ascii="Times New Roman"/>
          <w:b w:val="false"/>
          <w:i w:val="false"/>
          <w:color w:val="000000"/>
          <w:sz w:val="28"/>
        </w:rPr>
        <w:t xml:space="preserve">
      </w:t>
      </w:r>
    </w:p>
    <w:bookmarkEnd w:id="455"/>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456"/>
    <w:p>
      <w:pPr>
        <w:spacing w:after="0"/>
        <w:ind w:left="0"/>
        <w:jc w:val="both"/>
      </w:pPr>
      <w:r>
        <w:rPr>
          <w:rFonts w:ascii="Times New Roman"/>
          <w:b w:val="false"/>
          <w:i w:val="false"/>
          <w:color w:val="000000"/>
          <w:sz w:val="28"/>
        </w:rPr>
        <w:t>
      Рисунок 8.2.3.2.1 – Схема взаимодействия КАТУ с отечественными университетами и научными организациями</w:t>
      </w:r>
    </w:p>
    <w:bookmarkEnd w:id="456"/>
    <w:bookmarkStart w:name="z493" w:id="457"/>
    <w:p>
      <w:pPr>
        <w:spacing w:after="0"/>
        <w:ind w:left="0"/>
        <w:jc w:val="both"/>
      </w:pPr>
      <w:r>
        <w:rPr>
          <w:rFonts w:ascii="Times New Roman"/>
          <w:b w:val="false"/>
          <w:i w:val="false"/>
          <w:color w:val="000000"/>
          <w:sz w:val="28"/>
        </w:rPr>
        <w:t>
      Сотрудничество с отечественными вузами, помимо указанных направлений, будет включать внутреннюю академическую мобильность и приглашение преподавателей из других университетов для преподавания отдельных дисциплин в КАТУ.</w:t>
      </w:r>
    </w:p>
    <w:bookmarkEnd w:id="457"/>
    <w:bookmarkStart w:name="z494" w:id="458"/>
    <w:p>
      <w:pPr>
        <w:spacing w:after="0"/>
        <w:ind w:left="0"/>
        <w:jc w:val="left"/>
      </w:pPr>
      <w:r>
        <w:rPr>
          <w:rFonts w:ascii="Times New Roman"/>
          <w:b/>
          <w:i w:val="false"/>
          <w:color w:val="000000"/>
        </w:rPr>
        <w:t xml:space="preserve"> Таблица 8.2.3.2.1 – Целевые индикаторы по развитию партнерства с научно-исследовательскими организациями и вузами Республики Казахстан</w:t>
      </w:r>
    </w:p>
    <w:bookmarkEnd w:id="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6"/>
        <w:gridCol w:w="3220"/>
        <w:gridCol w:w="1656"/>
        <w:gridCol w:w="1657"/>
        <w:gridCol w:w="1657"/>
        <w:gridCol w:w="1657"/>
        <w:gridCol w:w="1657"/>
      </w:tblGrid>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научных проектов и программ, реализуемых ППС КАТУ совместно с отечественными НИО и вузами, наим.</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обучающихся отечественных вузов, обучившихся в КАТУ в рамках академической мобильности, чел.</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r>
        <w:rPr>
          <w:rFonts w:ascii="Times New Roman"/>
          <w:b/>
          <w:i w:val="false"/>
          <w:color w:val="000000"/>
          <w:sz w:val="28"/>
        </w:rPr>
        <w:t>8.2.3.3. Сотрудничество с субъектами предпринимательского сектора</w:t>
      </w:r>
    </w:p>
    <w:bookmarkStart w:name="z496" w:id="459"/>
    <w:p>
      <w:pPr>
        <w:spacing w:after="0"/>
        <w:ind w:left="0"/>
        <w:jc w:val="both"/>
      </w:pPr>
      <w:r>
        <w:rPr>
          <w:rFonts w:ascii="Times New Roman"/>
          <w:b w:val="false"/>
          <w:i w:val="false"/>
          <w:color w:val="000000"/>
          <w:sz w:val="28"/>
        </w:rPr>
        <w:t>
      Начиная с 2011 года, преподавание 82 дисциплин КАТУ перенесено на базу предприятий и организаций по модели дуального обучения. К их преподаванию привлечены 90 специалистов из организаций-партнеров. ППС КАТУ проводятся научные исследования на базе 30 агроформирований.</w:t>
      </w:r>
    </w:p>
    <w:bookmarkEnd w:id="459"/>
    <w:bookmarkStart w:name="z497" w:id="460"/>
    <w:p>
      <w:pPr>
        <w:spacing w:after="0"/>
        <w:ind w:left="0"/>
        <w:jc w:val="both"/>
      </w:pPr>
      <w:r>
        <w:rPr>
          <w:rFonts w:ascii="Times New Roman"/>
          <w:b w:val="false"/>
          <w:i w:val="false"/>
          <w:color w:val="000000"/>
          <w:sz w:val="28"/>
        </w:rPr>
        <w:t>
      В целях усиления ориентации КАТУ на актуальные потребности экономики, продвижения научных результатов и обеспечения стабильного трудоустройства выпускников, будет углубляться сотрудничество с субъектами предпринимательства – работодателями выпускников КАТУ и потребителями научных результатов. Основным партнером КАТУ со стороны предпринимательского сектора будет Национальная палата предпринимателей "Атамекен", традиционно представляющая консолидированное мнение бизнес-сообщества. Сотрудничество с НПП "Атамекен" будет реализовываться на основе планов совместной деятельности, в 2020 году будет сформирован План совместной деятельности на 2021 – 2023 годы.</w:t>
      </w:r>
    </w:p>
    <w:bookmarkEnd w:id="460"/>
    <w:bookmarkStart w:name="z498" w:id="461"/>
    <w:p>
      <w:pPr>
        <w:spacing w:after="0"/>
        <w:ind w:left="0"/>
        <w:jc w:val="both"/>
      </w:pPr>
      <w:r>
        <w:rPr>
          <w:rFonts w:ascii="Times New Roman"/>
          <w:b w:val="false"/>
          <w:i w:val="false"/>
          <w:color w:val="000000"/>
          <w:sz w:val="28"/>
        </w:rPr>
        <w:t xml:space="preserve">
      Дополнительно будут активизированы прямые контакты с отраслевыми ассоциациями, такими как Союз птицеводов Казахстана, Союз фермеров Казахстана, Союз зернопереработчиков и хлебопеков, Коалиция за "зеленую" экономику, G-Global и другие организации, представляющие консолидированную позицию субъектов отдельных отраслей экономики (см. рисунок 8.2.3.3.1). </w:t>
      </w:r>
    </w:p>
    <w:bookmarkEnd w:id="461"/>
    <w:bookmarkStart w:name="z499" w:id="462"/>
    <w:p>
      <w:pPr>
        <w:spacing w:after="0"/>
        <w:ind w:left="0"/>
        <w:jc w:val="both"/>
      </w:pPr>
      <w:r>
        <w:rPr>
          <w:rFonts w:ascii="Times New Roman"/>
          <w:b w:val="false"/>
          <w:i w:val="false"/>
          <w:color w:val="000000"/>
          <w:sz w:val="28"/>
        </w:rPr>
        <w:t xml:space="preserve">
      </w:t>
      </w:r>
    </w:p>
    <w:bookmarkEnd w:id="462"/>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0" w:id="463"/>
    <w:p>
      <w:pPr>
        <w:spacing w:after="0"/>
        <w:ind w:left="0"/>
        <w:jc w:val="both"/>
      </w:pPr>
      <w:r>
        <w:rPr>
          <w:rFonts w:ascii="Times New Roman"/>
          <w:b w:val="false"/>
          <w:i w:val="false"/>
          <w:color w:val="000000"/>
          <w:sz w:val="28"/>
        </w:rPr>
        <w:t>
      Рисунок 8.2.3.3.1 – Схема взаимодействия КАТУ с субъектами предпринимательского сектора</w:t>
      </w:r>
    </w:p>
    <w:bookmarkEnd w:id="463"/>
    <w:bookmarkStart w:name="z501" w:id="464"/>
    <w:p>
      <w:pPr>
        <w:spacing w:after="0"/>
        <w:ind w:left="0"/>
        <w:jc w:val="both"/>
      </w:pPr>
      <w:r>
        <w:rPr>
          <w:rFonts w:ascii="Times New Roman"/>
          <w:b w:val="false"/>
          <w:i w:val="false"/>
          <w:color w:val="000000"/>
          <w:sz w:val="28"/>
        </w:rPr>
        <w:t>
      Сотрудничество с ними будет осуществляться по следующим направлениям:</w:t>
      </w:r>
    </w:p>
    <w:bookmarkEnd w:id="464"/>
    <w:bookmarkStart w:name="z502" w:id="465"/>
    <w:p>
      <w:pPr>
        <w:spacing w:after="0"/>
        <w:ind w:left="0"/>
        <w:jc w:val="both"/>
      </w:pPr>
      <w:r>
        <w:rPr>
          <w:rFonts w:ascii="Times New Roman"/>
          <w:b w:val="false"/>
          <w:i w:val="false"/>
          <w:color w:val="000000"/>
          <w:sz w:val="28"/>
        </w:rPr>
        <w:t>
      1) мониторинг отраслей и выявление наиболее актуальных проблем;</w:t>
      </w:r>
    </w:p>
    <w:bookmarkEnd w:id="465"/>
    <w:bookmarkStart w:name="z503" w:id="466"/>
    <w:p>
      <w:pPr>
        <w:spacing w:after="0"/>
        <w:ind w:left="0"/>
        <w:jc w:val="both"/>
      </w:pPr>
      <w:r>
        <w:rPr>
          <w:rFonts w:ascii="Times New Roman"/>
          <w:b w:val="false"/>
          <w:i w:val="false"/>
          <w:color w:val="000000"/>
          <w:sz w:val="28"/>
        </w:rPr>
        <w:t>
      2) привлечение к разработке новых образовательных программ, научных проектов, в том числе на этапах постановки задач и экспертизы полученных результатов;</w:t>
      </w:r>
    </w:p>
    <w:bookmarkEnd w:id="466"/>
    <w:bookmarkStart w:name="z504" w:id="467"/>
    <w:p>
      <w:pPr>
        <w:spacing w:after="0"/>
        <w:ind w:left="0"/>
        <w:jc w:val="both"/>
      </w:pPr>
      <w:r>
        <w:rPr>
          <w:rFonts w:ascii="Times New Roman"/>
          <w:b w:val="false"/>
          <w:i w:val="false"/>
          <w:color w:val="000000"/>
          <w:sz w:val="28"/>
        </w:rPr>
        <w:t>
      3) координация взаимодействия КАТУ с субъектами соответствующих отраслей, в том числе включение представителей указанных организаций в коллегиальные органы управления и другие комиссии КАТУ;</w:t>
      </w:r>
    </w:p>
    <w:bookmarkEnd w:id="467"/>
    <w:bookmarkStart w:name="z505" w:id="468"/>
    <w:p>
      <w:pPr>
        <w:spacing w:after="0"/>
        <w:ind w:left="0"/>
        <w:jc w:val="both"/>
      </w:pPr>
      <w:r>
        <w:rPr>
          <w:rFonts w:ascii="Times New Roman"/>
          <w:b w:val="false"/>
          <w:i w:val="false"/>
          <w:color w:val="000000"/>
          <w:sz w:val="28"/>
        </w:rPr>
        <w:t>
      4) поиск возможностей для спонсорской помощи КАТУ со стороны успешных субъектов предпринимательства.</w:t>
      </w:r>
    </w:p>
    <w:bookmarkEnd w:id="468"/>
    <w:bookmarkStart w:name="z506" w:id="469"/>
    <w:p>
      <w:pPr>
        <w:spacing w:after="0"/>
        <w:ind w:left="0"/>
        <w:jc w:val="both"/>
      </w:pPr>
      <w:r>
        <w:rPr>
          <w:rFonts w:ascii="Times New Roman"/>
          <w:b w:val="false"/>
          <w:i w:val="false"/>
          <w:color w:val="000000"/>
          <w:sz w:val="28"/>
        </w:rPr>
        <w:t>
      Сотрудничество напрямую с субъектами предпринимательства будет развиваться по следующим направлениям:</w:t>
      </w:r>
    </w:p>
    <w:bookmarkEnd w:id="469"/>
    <w:bookmarkStart w:name="z507" w:id="470"/>
    <w:p>
      <w:pPr>
        <w:spacing w:after="0"/>
        <w:ind w:left="0"/>
        <w:jc w:val="both"/>
      </w:pPr>
      <w:r>
        <w:rPr>
          <w:rFonts w:ascii="Times New Roman"/>
          <w:b w:val="false"/>
          <w:i w:val="false"/>
          <w:color w:val="000000"/>
          <w:sz w:val="28"/>
        </w:rPr>
        <w:t>
      1) дуальное обучение путем переноса практических занятий на базу субъектов предпринимательства;</w:t>
      </w:r>
    </w:p>
    <w:bookmarkEnd w:id="470"/>
    <w:bookmarkStart w:name="z508" w:id="471"/>
    <w:p>
      <w:pPr>
        <w:spacing w:after="0"/>
        <w:ind w:left="0"/>
        <w:jc w:val="both"/>
      </w:pPr>
      <w:r>
        <w:rPr>
          <w:rFonts w:ascii="Times New Roman"/>
          <w:b w:val="false"/>
          <w:i w:val="false"/>
          <w:color w:val="000000"/>
          <w:sz w:val="28"/>
        </w:rPr>
        <w:t>
      2) закладка опытов на базе субъектов предпринимательства в рамках научных исследований КАТУ, их привлечение к мероприятиям по распространению знаний и коммерциализации технологий;</w:t>
      </w:r>
    </w:p>
    <w:bookmarkEnd w:id="471"/>
    <w:bookmarkStart w:name="z509" w:id="472"/>
    <w:p>
      <w:pPr>
        <w:spacing w:after="0"/>
        <w:ind w:left="0"/>
        <w:jc w:val="both"/>
      </w:pPr>
      <w:r>
        <w:rPr>
          <w:rFonts w:ascii="Times New Roman"/>
          <w:b w:val="false"/>
          <w:i w:val="false"/>
          <w:color w:val="000000"/>
          <w:sz w:val="28"/>
        </w:rPr>
        <w:t>
      3) целевая подготовка кадров по заказу субъектов предпринимательства.</w:t>
      </w:r>
    </w:p>
    <w:bookmarkEnd w:id="472"/>
    <w:bookmarkStart w:name="z510" w:id="473"/>
    <w:p>
      <w:pPr>
        <w:spacing w:after="0"/>
        <w:ind w:left="0"/>
        <w:jc w:val="both"/>
      </w:pPr>
      <w:r>
        <w:rPr>
          <w:rFonts w:ascii="Times New Roman"/>
          <w:b w:val="false"/>
          <w:i w:val="false"/>
          <w:color w:val="000000"/>
          <w:sz w:val="28"/>
        </w:rPr>
        <w:t>
      Будут продолжены начатые в 2018 году практические стажировки ППС на базе ведущих предприятий, являющихся технологическими лидерами в своих отраслях. Ожидается, что это позволит поддерживать высокий уровень практических навыков ППС, оперативно реагировать на технологические потребности работодателей, и углубить сотрудничество с ними. Программа и продолжительность стажировки будет разрабатываться с каждой организацией индивидуально. На период стажировки за ППС будет сохраняться рабочее место в КАТУ. Дополнительно, будут разработаны меры поощрения ППС, прошедших стажировку, и привилегии при их карьерном продвижении. По результатам применения данной практики будет проработан вопрос введения обязательного прохождения производственной стажировки как одной из форм повышения квалификации.</w:t>
      </w:r>
    </w:p>
    <w:bookmarkEnd w:id="473"/>
    <w:bookmarkStart w:name="z511" w:id="474"/>
    <w:p>
      <w:pPr>
        <w:spacing w:after="0"/>
        <w:ind w:left="0"/>
        <w:jc w:val="left"/>
      </w:pPr>
      <w:r>
        <w:rPr>
          <w:rFonts w:ascii="Times New Roman"/>
          <w:b/>
          <w:i w:val="false"/>
          <w:color w:val="000000"/>
        </w:rPr>
        <w:t xml:space="preserve"> Таблица 8.2.3.3.1 – Целевые индикаторы по развитию партнерства с субъектами предпринимательства</w:t>
      </w:r>
    </w:p>
    <w:bookmarkEnd w:id="4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6"/>
        <w:gridCol w:w="2532"/>
        <w:gridCol w:w="1782"/>
        <w:gridCol w:w="1782"/>
        <w:gridCol w:w="1782"/>
        <w:gridCol w:w="1783"/>
        <w:gridCol w:w="1783"/>
      </w:tblGrid>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субъектов бизнеса, участвующих в научных исследованиях КАТУ, ед.</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специалистов из производства, участвующих в образовательном процессе, чел.</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ППС КАТУ, прошедших практические стажировки на ведущих предприятиях, чел.</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i w:val="false"/>
          <w:color w:val="000000"/>
          <w:sz w:val="28"/>
        </w:rPr>
        <w:t>8.3. Расширение направлений исследований и улучшение качества научных результатов</w:t>
      </w:r>
    </w:p>
    <w:bookmarkStart w:name="z513" w:id="475"/>
    <w:p>
      <w:pPr>
        <w:spacing w:after="0"/>
        <w:ind w:left="0"/>
        <w:jc w:val="both"/>
      </w:pPr>
      <w:r>
        <w:rPr>
          <w:rFonts w:ascii="Times New Roman"/>
          <w:b w:val="false"/>
          <w:i w:val="false"/>
          <w:color w:val="000000"/>
          <w:sz w:val="28"/>
        </w:rPr>
        <w:t>
      Как отмечалось, исторически КАТУ ориентирован преимущественно на подготовку кадров, поэтому ускоренное развитие научной компетенции является важнейшим условием для успешной реализации Программы. При этом в равной степени будут развиваться как прикладная компетенция в области передовых технологий, так и компетенция в области фундаментальных наук как основа для собственных передовых научных исследований в долгосрочной перспективе.</w:t>
      </w:r>
    </w:p>
    <w:bookmarkEnd w:id="475"/>
    <w:bookmarkStart w:name="z514" w:id="476"/>
    <w:p>
      <w:pPr>
        <w:spacing w:after="0"/>
        <w:ind w:left="0"/>
        <w:jc w:val="both"/>
      </w:pPr>
      <w:r>
        <w:rPr>
          <w:rFonts w:ascii="Times New Roman"/>
          <w:b w:val="false"/>
          <w:i w:val="false"/>
          <w:color w:val="000000"/>
          <w:sz w:val="28"/>
        </w:rPr>
        <w:t>
      Основными формами развития научного потенциала будут: создание условий для постоянного повышения уровня научной компетенции ППС и обучающихся, диверсификация источников финансирования научной деятельности, и создание собственной системы научных грантов.</w:t>
      </w:r>
    </w:p>
    <w:bookmarkEnd w:id="476"/>
    <w:p>
      <w:pPr>
        <w:spacing w:after="0"/>
        <w:ind w:left="0"/>
        <w:jc w:val="both"/>
      </w:pPr>
      <w:r>
        <w:rPr>
          <w:rFonts w:ascii="Times New Roman"/>
          <w:b/>
          <w:i w:val="false"/>
          <w:color w:val="000000"/>
          <w:sz w:val="28"/>
        </w:rPr>
        <w:t>8.3.1. Подготовка новых лидеров аграрной науки</w:t>
      </w:r>
    </w:p>
    <w:bookmarkStart w:name="z516" w:id="477"/>
    <w:p>
      <w:pPr>
        <w:spacing w:after="0"/>
        <w:ind w:left="0"/>
        <w:jc w:val="both"/>
      </w:pPr>
      <w:r>
        <w:rPr>
          <w:rFonts w:ascii="Times New Roman"/>
          <w:b w:val="false"/>
          <w:i w:val="false"/>
          <w:color w:val="000000"/>
          <w:sz w:val="28"/>
        </w:rPr>
        <w:t>
      Для успешной реализации Программы необходимо достаточное количество талантливых, мотивированных ученых, владеющих передовыми методами научных исследований, способных инициировать и руководить масштабными научно-исследовательскими проектами, и интегрированных в мировое научно-образовательное пространство (имеющих опыт работы или обучения за рубежом, совместные публикации с известными в мире учеными, владеющих одним или несколькими иностранными языками).</w:t>
      </w:r>
    </w:p>
    <w:bookmarkEnd w:id="477"/>
    <w:bookmarkStart w:name="z517" w:id="478"/>
    <w:p>
      <w:pPr>
        <w:spacing w:after="0"/>
        <w:ind w:left="0"/>
        <w:jc w:val="both"/>
      </w:pPr>
      <w:r>
        <w:rPr>
          <w:rFonts w:ascii="Times New Roman"/>
          <w:b w:val="false"/>
          <w:i w:val="false"/>
          <w:color w:val="000000"/>
          <w:sz w:val="28"/>
        </w:rPr>
        <w:t>
      Как правило, подготовка ученых такого уровня занимает значительное время и является наиболее сложным элементом в стратегиях реформирования университетов. С этой целью, с сентября 2016 года внедрены две новые магистерские программы научно-педагогического направления:</w:t>
      </w:r>
    </w:p>
    <w:bookmarkEnd w:id="478"/>
    <w:bookmarkStart w:name="z518" w:id="479"/>
    <w:p>
      <w:pPr>
        <w:spacing w:after="0"/>
        <w:ind w:left="0"/>
        <w:jc w:val="both"/>
      </w:pPr>
      <w:r>
        <w:rPr>
          <w:rFonts w:ascii="Times New Roman"/>
          <w:b w:val="false"/>
          <w:i w:val="false"/>
          <w:color w:val="000000"/>
          <w:sz w:val="28"/>
        </w:rPr>
        <w:t>
      1) по специальности "Агрономия" – для подготовки научных кадров в области селекции сельскохозяйственных культур и земледелия;</w:t>
      </w:r>
    </w:p>
    <w:bookmarkEnd w:id="479"/>
    <w:bookmarkStart w:name="z519" w:id="480"/>
    <w:p>
      <w:pPr>
        <w:spacing w:after="0"/>
        <w:ind w:left="0"/>
        <w:jc w:val="both"/>
      </w:pPr>
      <w:r>
        <w:rPr>
          <w:rFonts w:ascii="Times New Roman"/>
          <w:b w:val="false"/>
          <w:i w:val="false"/>
          <w:color w:val="000000"/>
          <w:sz w:val="28"/>
        </w:rPr>
        <w:t>
      2) по специальности "Технология производства продуктов животноводства" – для подготовки научных кадров в области управления генетическим потенциалом сельскохозяйственных животных, их кормления и содержания.</w:t>
      </w:r>
    </w:p>
    <w:bookmarkEnd w:id="480"/>
    <w:bookmarkStart w:name="z520" w:id="481"/>
    <w:p>
      <w:pPr>
        <w:spacing w:after="0"/>
        <w:ind w:left="0"/>
        <w:jc w:val="both"/>
      </w:pPr>
      <w:r>
        <w:rPr>
          <w:rFonts w:ascii="Times New Roman"/>
          <w:b w:val="false"/>
          <w:i w:val="false"/>
          <w:color w:val="000000"/>
          <w:sz w:val="28"/>
        </w:rPr>
        <w:t>
      Указанные программы разработаны известными профессорами из UC Davis, параллельно с разработкой магистерских программ профильного направления в рамках ГПИИР</w:t>
      </w:r>
      <w:r>
        <w:rPr>
          <w:rFonts w:ascii="Times New Roman"/>
          <w:b w:val="false"/>
          <w:i w:val="false"/>
          <w:color w:val="000000"/>
          <w:vertAlign w:val="superscript"/>
        </w:rPr>
        <w:t>27</w:t>
      </w:r>
      <w:r>
        <w:rPr>
          <w:rFonts w:ascii="Times New Roman"/>
          <w:b w:val="false"/>
          <w:i w:val="false"/>
          <w:color w:val="000000"/>
          <w:sz w:val="28"/>
        </w:rPr>
        <w:t>. Их целью является качественная подготовка магистрантов к поступлению в докторантуру ведущих университетов. По аналогичной схеме будут разрабатываться программы по другим направлениям. Всего до 2024 года включительно планируется разработать 17 новых магистерских программ и 7 новых программ докторантуры (см. таблицу 8.4.3.1).</w:t>
      </w:r>
    </w:p>
    <w:bookmarkEnd w:id="481"/>
    <w:bookmarkStart w:name="z521" w:id="482"/>
    <w:p>
      <w:pPr>
        <w:spacing w:after="0"/>
        <w:ind w:left="0"/>
        <w:jc w:val="both"/>
      </w:pPr>
      <w:r>
        <w:rPr>
          <w:rFonts w:ascii="Times New Roman"/>
          <w:b w:val="false"/>
          <w:i w:val="false"/>
          <w:color w:val="000000"/>
          <w:sz w:val="28"/>
        </w:rPr>
        <w:t>
      __________________________</w:t>
      </w:r>
    </w:p>
    <w:bookmarkEnd w:id="482"/>
    <w:bookmarkStart w:name="z522" w:id="48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27</w:t>
      </w:r>
      <w:r>
        <w:rPr>
          <w:rFonts w:ascii="Times New Roman"/>
          <w:b w:val="false"/>
          <w:i w:val="false"/>
          <w:color w:val="000000"/>
          <w:sz w:val="28"/>
        </w:rPr>
        <w:t>По аналогии с подходами UCDavis, в рамках каждой магистерской программы разрабатываются "План 1" - для профильного направления, и "План 2" - для научно-педагогического направления.</w:t>
      </w:r>
    </w:p>
    <w:bookmarkEnd w:id="4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23" w:id="484"/>
    <w:p>
      <w:pPr>
        <w:spacing w:after="0"/>
        <w:ind w:left="0"/>
        <w:jc w:val="both"/>
      </w:pPr>
      <w:r>
        <w:rPr>
          <w:rFonts w:ascii="Times New Roman"/>
          <w:b w:val="false"/>
          <w:i w:val="false"/>
          <w:color w:val="000000"/>
          <w:sz w:val="28"/>
        </w:rPr>
        <w:t>
      С целью повышения уровня научной компетенции ППС будет применяться целевая подготовка PhD и/или организация пост-докторантуры в ведущих зарубежных исследовательских университетах сельскохозяйственного профиля, в первую очередь – в UC Davis. Для подготовки к обучению за рубежом наиболее талантливых и мотивированных молодых преподавателей и ученых будут создаваться специальные условия, в том числе:</w:t>
      </w:r>
    </w:p>
    <w:bookmarkEnd w:id="484"/>
    <w:bookmarkStart w:name="z524" w:id="485"/>
    <w:p>
      <w:pPr>
        <w:spacing w:after="0"/>
        <w:ind w:left="0"/>
        <w:jc w:val="both"/>
      </w:pPr>
      <w:r>
        <w:rPr>
          <w:rFonts w:ascii="Times New Roman"/>
          <w:b w:val="false"/>
          <w:i w:val="false"/>
          <w:color w:val="000000"/>
          <w:sz w:val="28"/>
        </w:rPr>
        <w:t>
      1) организация целенаправленного, углубленного изучения английского языка с зарубежными преподавателями – носителями языка;</w:t>
      </w:r>
    </w:p>
    <w:bookmarkEnd w:id="485"/>
    <w:bookmarkStart w:name="z525" w:id="486"/>
    <w:p>
      <w:pPr>
        <w:spacing w:after="0"/>
        <w:ind w:left="0"/>
        <w:jc w:val="both"/>
      </w:pPr>
      <w:r>
        <w:rPr>
          <w:rFonts w:ascii="Times New Roman"/>
          <w:b w:val="false"/>
          <w:i w:val="false"/>
          <w:color w:val="000000"/>
          <w:sz w:val="28"/>
        </w:rPr>
        <w:t>
      2) обязательное включение в научные программы и проекты расходов на зарубежные стажировки продолжительностью не менее двух недель по направлениям, связанным с темой исследования;</w:t>
      </w:r>
    </w:p>
    <w:bookmarkEnd w:id="486"/>
    <w:bookmarkStart w:name="z526" w:id="487"/>
    <w:p>
      <w:pPr>
        <w:spacing w:after="0"/>
        <w:ind w:left="0"/>
        <w:jc w:val="both"/>
      </w:pPr>
      <w:r>
        <w:rPr>
          <w:rFonts w:ascii="Times New Roman"/>
          <w:b w:val="false"/>
          <w:i w:val="false"/>
          <w:color w:val="000000"/>
          <w:sz w:val="28"/>
        </w:rPr>
        <w:t>
      3) приоритетное направление на зарубежные стажировки за счет собственных средств КАТУ преподавателей и ученых, задействованных в финансируемых научных исследованиях;</w:t>
      </w:r>
    </w:p>
    <w:bookmarkEnd w:id="487"/>
    <w:bookmarkStart w:name="z527" w:id="488"/>
    <w:p>
      <w:pPr>
        <w:spacing w:after="0"/>
        <w:ind w:left="0"/>
        <w:jc w:val="both"/>
      </w:pPr>
      <w:r>
        <w:rPr>
          <w:rFonts w:ascii="Times New Roman"/>
          <w:b w:val="false"/>
          <w:i w:val="false"/>
          <w:color w:val="000000"/>
          <w:sz w:val="28"/>
        </w:rPr>
        <w:t>
      4) резервирование рабочих мест в КАТУ для талантливых, наиболее мотивированных к научной деятельности выпускников бакалавриата с целью использования их потенциала для развития КАТУ.</w:t>
      </w:r>
    </w:p>
    <w:bookmarkEnd w:id="488"/>
    <w:bookmarkStart w:name="z528" w:id="489"/>
    <w:p>
      <w:pPr>
        <w:spacing w:after="0"/>
        <w:ind w:left="0"/>
        <w:jc w:val="both"/>
      </w:pPr>
      <w:r>
        <w:rPr>
          <w:rFonts w:ascii="Times New Roman"/>
          <w:b w:val="false"/>
          <w:i w:val="false"/>
          <w:color w:val="000000"/>
          <w:sz w:val="28"/>
        </w:rPr>
        <w:t>
      Источниками финансирования затрат на обучение за рубежом будут АО "Центр международных программ" (программа "Болашак"), ресурсы других отечественных и зарубежных международных программ, также собственные средства КАТУ и средства, привлекаемые в КАТУ в рамках научно-исследовательских программ и проектов.</w:t>
      </w:r>
    </w:p>
    <w:bookmarkEnd w:id="489"/>
    <w:bookmarkStart w:name="z529" w:id="490"/>
    <w:p>
      <w:pPr>
        <w:spacing w:after="0"/>
        <w:ind w:left="0"/>
        <w:jc w:val="both"/>
      </w:pPr>
      <w:r>
        <w:rPr>
          <w:rFonts w:ascii="Times New Roman"/>
          <w:b w:val="false"/>
          <w:i w:val="false"/>
          <w:color w:val="000000"/>
          <w:sz w:val="28"/>
        </w:rPr>
        <w:t>
      Помимо этого, будет расширена практика приглашения ученых из других научных организаций и университетов, в особенности с научными степенями PhD или доктора по профилю, присвоенными ведущими зарубежными исследовательскими университетами. Такая практика позволит в кратчайшие сроки расширить академический профиль КАТУ новыми научными компетенциями, а также внедрять в КАТУ положительный опыт организаций, из которых будут приглашаться ученые.</w:t>
      </w:r>
    </w:p>
    <w:bookmarkEnd w:id="490"/>
    <w:bookmarkStart w:name="z530" w:id="491"/>
    <w:p>
      <w:pPr>
        <w:spacing w:after="0"/>
        <w:ind w:left="0"/>
        <w:jc w:val="both"/>
      </w:pPr>
      <w:r>
        <w:rPr>
          <w:rFonts w:ascii="Times New Roman"/>
          <w:b w:val="false"/>
          <w:i w:val="false"/>
          <w:color w:val="000000"/>
          <w:sz w:val="28"/>
        </w:rPr>
        <w:t xml:space="preserve">
      С целью поддержки талантливой молодежи будет усилена роль Совета молодых ученых КАТУ в принятии управленческих решений и его самостоятельность в реализации собственных инициатив. В Планах развития КАТУ ежегодно будет предусматриваться финансирование на мероприятия Совета молодых ученых. </w:t>
      </w:r>
    </w:p>
    <w:bookmarkEnd w:id="491"/>
    <w:bookmarkStart w:name="z531" w:id="492"/>
    <w:p>
      <w:pPr>
        <w:spacing w:after="0"/>
        <w:ind w:left="0"/>
        <w:jc w:val="both"/>
      </w:pPr>
      <w:r>
        <w:rPr>
          <w:rFonts w:ascii="Times New Roman"/>
          <w:b w:val="false"/>
          <w:i w:val="false"/>
          <w:color w:val="000000"/>
          <w:sz w:val="28"/>
        </w:rPr>
        <w:t>
      Привлечение магистрантов и докторантов к реализации научных программ и проектов станет обязательным с 2021 года, с установлением минимального количества докторантов и магистрантов на один проект в зависимости от объема его финансирования. Такой подход, помимо подготовки научных кадров, позволит: на ранней стадии выявлять таланты, имеющие потенциал для занятия наукой, обучать их передовым знаниям и навыкам, передавать накопленный старшим поколением опыт молодым специалистам в процессе совместной научной работы.</w:t>
      </w:r>
    </w:p>
    <w:bookmarkEnd w:id="492"/>
    <w:bookmarkStart w:name="z532" w:id="493"/>
    <w:p>
      <w:pPr>
        <w:spacing w:after="0"/>
        <w:ind w:left="0"/>
        <w:jc w:val="left"/>
      </w:pPr>
      <w:r>
        <w:rPr>
          <w:rFonts w:ascii="Times New Roman"/>
          <w:b/>
          <w:i w:val="false"/>
          <w:color w:val="000000"/>
        </w:rPr>
        <w:t xml:space="preserve"> Таблица 8.3.1.1 – Целевые индикаторы по подготовке новых лидеров аграрной науки</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4602"/>
        <w:gridCol w:w="1404"/>
        <w:gridCol w:w="1405"/>
        <w:gridCol w:w="1405"/>
        <w:gridCol w:w="1405"/>
        <w:gridCol w:w="1405"/>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ППС и ученых КАТУ, поступивших в докторантуру зарубежных вузов – партнеров, чел.</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кандидатов наук, PhD и докторов наук с международным опытом, приглашенных в КАТУ (с нарастающим итогом), чел.</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ППС, прошедших зарубежные стажировки в рамках научных проектов и программ, чел.</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выпускников бакалавриата, приглашенных для развития научной карьеры в КАТУ, чел.</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программ пост-докторантуры, наим.</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533" w:id="494"/>
    <w:p>
      <w:pPr>
        <w:spacing w:after="0"/>
        <w:ind w:left="0"/>
        <w:jc w:val="both"/>
      </w:pPr>
      <w:r>
        <w:rPr>
          <w:rFonts w:ascii="Times New Roman"/>
          <w:b w:val="false"/>
          <w:i w:val="false"/>
          <w:color w:val="000000"/>
          <w:sz w:val="28"/>
        </w:rPr>
        <w:t>
      По мере расширения научных исследований будет открываться пост-докторантура для ученых, недавно получивших степень PhD в Республике Казахстан или за рубежом, с целью наработки ими практического опыта для занятия старших преподавательских должностей. Направления пост-докторантуры будут определяться с учетом целей ИНТП, реализуемых КАТУ. Прием будет осуществляться на конкурсной основе, с установлением специальных требований к научным результатам по завершению пост-докторантуры и выдачей сертификатов в случае успешного завершения программы. Пилотные программы пост-докторантуры будут запущены в 2022 году. Их финансирование будет осуществляться из средств, соответствующих ИНТП, за счет собственных средств КАТУ, средств направляющей организации или других источников.</w:t>
      </w:r>
    </w:p>
    <w:bookmarkEnd w:id="494"/>
    <w:p>
      <w:pPr>
        <w:spacing w:after="0"/>
        <w:ind w:left="0"/>
        <w:jc w:val="both"/>
      </w:pPr>
      <w:r>
        <w:rPr>
          <w:rFonts w:ascii="Times New Roman"/>
          <w:b/>
          <w:i w:val="false"/>
          <w:color w:val="000000"/>
          <w:sz w:val="28"/>
        </w:rPr>
        <w:t>8.3.2. Диверсификация внешних источников финансирования научных исследований</w:t>
      </w:r>
    </w:p>
    <w:bookmarkStart w:name="z535" w:id="495"/>
    <w:p>
      <w:pPr>
        <w:spacing w:after="0"/>
        <w:ind w:left="0"/>
        <w:jc w:val="both"/>
      </w:pPr>
      <w:r>
        <w:rPr>
          <w:rFonts w:ascii="Times New Roman"/>
          <w:b w:val="false"/>
          <w:i w:val="false"/>
          <w:color w:val="000000"/>
          <w:sz w:val="28"/>
        </w:rPr>
        <w:t>
      Приоритетными направлениями научных исследований в КАТУ</w:t>
      </w:r>
      <w:r>
        <w:rPr>
          <w:rFonts w:ascii="Times New Roman"/>
          <w:b w:val="false"/>
          <w:i w:val="false"/>
          <w:color w:val="000000"/>
          <w:vertAlign w:val="superscript"/>
        </w:rPr>
        <w:t>28</w:t>
      </w:r>
      <w:r>
        <w:rPr>
          <w:rFonts w:ascii="Times New Roman"/>
          <w:b w:val="false"/>
          <w:i w:val="false"/>
          <w:color w:val="000000"/>
          <w:sz w:val="28"/>
        </w:rPr>
        <w:t xml:space="preserve"> будут:</w:t>
      </w:r>
    </w:p>
    <w:bookmarkEnd w:id="495"/>
    <w:bookmarkStart w:name="z536" w:id="496"/>
    <w:p>
      <w:pPr>
        <w:spacing w:after="0"/>
        <w:ind w:left="0"/>
        <w:jc w:val="both"/>
      </w:pPr>
      <w:r>
        <w:rPr>
          <w:rFonts w:ascii="Times New Roman"/>
          <w:b w:val="false"/>
          <w:i w:val="false"/>
          <w:color w:val="000000"/>
          <w:sz w:val="28"/>
        </w:rPr>
        <w:t>
      1) устойчивость аграрного сектора Казахстана: стабильные уровень производства, качество и ассортимент отечественной сельскохозяйственной продукции, обеспечивающие собственные потребности в продовольствии, устойчивый экспорт, приемлемое качество жизни в сельской местности, и сохранение окружающей среды;</w:t>
      </w:r>
    </w:p>
    <w:bookmarkEnd w:id="496"/>
    <w:bookmarkStart w:name="z537" w:id="497"/>
    <w:p>
      <w:pPr>
        <w:spacing w:after="0"/>
        <w:ind w:left="0"/>
        <w:jc w:val="both"/>
      </w:pPr>
      <w:r>
        <w:rPr>
          <w:rFonts w:ascii="Times New Roman"/>
          <w:b w:val="false"/>
          <w:i w:val="false"/>
          <w:color w:val="000000"/>
          <w:sz w:val="28"/>
        </w:rPr>
        <w:t xml:space="preserve">
      2) адаптация сельского хозяйства к последствиям глобального изменения климата: повышение стрессоустойчивости сельскохозяйственных культур за счет генетических и технологических факторов, введение в оборот новых видов сельскохозяйственных культур, мониторинг изменений кормовой базы, фона вредителей и болезней, другие возникающие вопросы; </w:t>
      </w:r>
    </w:p>
    <w:bookmarkEnd w:id="497"/>
    <w:bookmarkStart w:name="z538" w:id="498"/>
    <w:p>
      <w:pPr>
        <w:spacing w:after="0"/>
        <w:ind w:left="0"/>
        <w:jc w:val="both"/>
      </w:pPr>
      <w:r>
        <w:rPr>
          <w:rFonts w:ascii="Times New Roman"/>
          <w:b w:val="false"/>
          <w:i w:val="false"/>
          <w:color w:val="000000"/>
          <w:sz w:val="28"/>
        </w:rPr>
        <w:t>
      3) применение цифровых технологий в АПК и смежных отраслях: SmartFarming, географические информационные системы (ГИС), технологии точного земледелия и автоматизации производственных процессов.</w:t>
      </w:r>
    </w:p>
    <w:bookmarkEnd w:id="498"/>
    <w:bookmarkStart w:name="z539" w:id="499"/>
    <w:p>
      <w:pPr>
        <w:spacing w:after="0"/>
        <w:ind w:left="0"/>
        <w:jc w:val="both"/>
      </w:pPr>
      <w:r>
        <w:rPr>
          <w:rFonts w:ascii="Times New Roman"/>
          <w:b w:val="false"/>
          <w:i w:val="false"/>
          <w:color w:val="000000"/>
          <w:sz w:val="28"/>
        </w:rPr>
        <w:t>
      В рамках указанных приоритетов для каждого факультета и центра будут детализированы приоритетные направления развития научной компетенции. Как отмечалось, основной формой организации научных исследований будут являться интегрированные научно-технические программы (ИНТП, см. рисунок 7.2.2). Пилотными ИНТП, готовыми к реализации КАТУ совместно с зарубежными партнерами, являются программы по "умному" сельскому хозяйству, производству органической сельскохозяйственной продукции и мясному птицеводству. Дополнительно, в рамках Программы планируется разработать и приступить к реализации ИНТП по следующим направлениям:</w:t>
      </w:r>
    </w:p>
    <w:bookmarkEnd w:id="499"/>
    <w:bookmarkStart w:name="z540" w:id="500"/>
    <w:p>
      <w:pPr>
        <w:spacing w:after="0"/>
        <w:ind w:left="0"/>
        <w:jc w:val="both"/>
      </w:pPr>
      <w:r>
        <w:rPr>
          <w:rFonts w:ascii="Times New Roman"/>
          <w:b w:val="false"/>
          <w:i w:val="false"/>
          <w:color w:val="000000"/>
          <w:sz w:val="28"/>
        </w:rPr>
        <w:t>
      1) мясное скотоводство;</w:t>
      </w:r>
    </w:p>
    <w:bookmarkEnd w:id="500"/>
    <w:bookmarkStart w:name="z541" w:id="501"/>
    <w:p>
      <w:pPr>
        <w:spacing w:after="0"/>
        <w:ind w:left="0"/>
        <w:jc w:val="both"/>
      </w:pPr>
      <w:r>
        <w:rPr>
          <w:rFonts w:ascii="Times New Roman"/>
          <w:b w:val="false"/>
          <w:i w:val="false"/>
          <w:color w:val="000000"/>
          <w:sz w:val="28"/>
        </w:rPr>
        <w:t>
      2) управление водными ресурсами и почвенным плодородием в сельском хозяйстве;</w:t>
      </w:r>
    </w:p>
    <w:bookmarkEnd w:id="501"/>
    <w:bookmarkStart w:name="z542" w:id="502"/>
    <w:p>
      <w:pPr>
        <w:spacing w:after="0"/>
        <w:ind w:left="0"/>
        <w:jc w:val="both"/>
      </w:pPr>
      <w:r>
        <w:rPr>
          <w:rFonts w:ascii="Times New Roman"/>
          <w:b w:val="false"/>
          <w:i w:val="false"/>
          <w:color w:val="000000"/>
          <w:sz w:val="28"/>
        </w:rPr>
        <w:t>
      3) защита растений;</w:t>
      </w:r>
    </w:p>
    <w:bookmarkEnd w:id="502"/>
    <w:bookmarkStart w:name="z543" w:id="503"/>
    <w:p>
      <w:pPr>
        <w:spacing w:after="0"/>
        <w:ind w:left="0"/>
        <w:jc w:val="both"/>
      </w:pPr>
      <w:r>
        <w:rPr>
          <w:rFonts w:ascii="Times New Roman"/>
          <w:b w:val="false"/>
          <w:i w:val="false"/>
          <w:color w:val="000000"/>
          <w:sz w:val="28"/>
        </w:rPr>
        <w:t>
      4) рыбное хозяйство и аквакультура;</w:t>
      </w:r>
    </w:p>
    <w:bookmarkEnd w:id="503"/>
    <w:bookmarkStart w:name="z544" w:id="504"/>
    <w:p>
      <w:pPr>
        <w:spacing w:after="0"/>
        <w:ind w:left="0"/>
        <w:jc w:val="both"/>
      </w:pPr>
      <w:r>
        <w:rPr>
          <w:rFonts w:ascii="Times New Roman"/>
          <w:b w:val="false"/>
          <w:i w:val="false"/>
          <w:color w:val="000000"/>
          <w:sz w:val="28"/>
        </w:rPr>
        <w:t>
      5) устойчивое развитие сельских территорий.</w:t>
      </w:r>
    </w:p>
    <w:bookmarkEnd w:id="504"/>
    <w:bookmarkStart w:name="z545" w:id="505"/>
    <w:p>
      <w:pPr>
        <w:spacing w:after="0"/>
        <w:ind w:left="0"/>
        <w:jc w:val="both"/>
      </w:pPr>
      <w:r>
        <w:rPr>
          <w:rFonts w:ascii="Times New Roman"/>
          <w:b w:val="false"/>
          <w:i w:val="false"/>
          <w:color w:val="000000"/>
          <w:sz w:val="28"/>
        </w:rPr>
        <w:t xml:space="preserve">
      Конкретный перечень ИНТП, график их разработки и реализации будет разработан совместно с организациями-партнерами в 2020 году. </w:t>
      </w:r>
    </w:p>
    <w:bookmarkEnd w:id="505"/>
    <w:bookmarkStart w:name="z546" w:id="506"/>
    <w:p>
      <w:pPr>
        <w:spacing w:after="0"/>
        <w:ind w:left="0"/>
        <w:jc w:val="both"/>
      </w:pPr>
      <w:r>
        <w:rPr>
          <w:rFonts w:ascii="Times New Roman"/>
          <w:b w:val="false"/>
          <w:i w:val="false"/>
          <w:color w:val="000000"/>
          <w:sz w:val="28"/>
        </w:rPr>
        <w:t xml:space="preserve">
      В дополнение к ИНТП, КАТУ продолжит активно участвовать в конкурсах на грантовое финансирование, в том числе по направлениям, не относящимся к приоритетам, или для исследования отдельных, малоизученных аспектов масштабной технологической задачи. </w:t>
      </w:r>
    </w:p>
    <w:bookmarkEnd w:id="506"/>
    <w:bookmarkStart w:name="z547" w:id="507"/>
    <w:p>
      <w:pPr>
        <w:spacing w:after="0"/>
        <w:ind w:left="0"/>
        <w:jc w:val="both"/>
      </w:pPr>
      <w:r>
        <w:rPr>
          <w:rFonts w:ascii="Times New Roman"/>
          <w:b w:val="false"/>
          <w:i w:val="false"/>
          <w:color w:val="000000"/>
          <w:sz w:val="28"/>
        </w:rPr>
        <w:t xml:space="preserve">
      Дальнейшее развитие получит сотрудничество с университетами и научными центрами Китайской Народной Республики в рамках программы "Один пояс – один путь". Другими источниками финансирования научных исследований КАТУ будут являться партнерские программы (например, "Абай – Верн"), международные проекты, реализуемые при поддержке Правительства Республики Казахстан (например, проект Всемирного Банка "Стимулирование продуктивных инноваций" на 2016 – 2020 годы), гранты зарубежных организаций и заказы субъектов предпринимательства. </w:t>
      </w:r>
    </w:p>
    <w:bookmarkEnd w:id="507"/>
    <w:bookmarkStart w:name="z548" w:id="508"/>
    <w:p>
      <w:pPr>
        <w:spacing w:after="0"/>
        <w:ind w:left="0"/>
        <w:jc w:val="both"/>
      </w:pPr>
      <w:r>
        <w:rPr>
          <w:rFonts w:ascii="Times New Roman"/>
          <w:b w:val="false"/>
          <w:i w:val="false"/>
          <w:color w:val="000000"/>
          <w:sz w:val="28"/>
        </w:rPr>
        <w:t xml:space="preserve">
      С целью продвижения междисциплинарного подхода к исследованиям, углубления межкафедральной кооперации и повышения качества научных проектов, начиная с 2020 года, будут регулярно проводиться кафедральные и межкафедральные научные семинары, в том числе с приглашением внешних спикеров. Семинары будут посвящены обсуждению статуса ИНТП и научных проектов КАТУ, актуальных технологических задач, обмену опытом. Каждая кафедра будет проводить не менее одного семинара в год. </w:t>
      </w:r>
    </w:p>
    <w:bookmarkEnd w:id="508"/>
    <w:bookmarkStart w:name="z549" w:id="509"/>
    <w:p>
      <w:pPr>
        <w:spacing w:after="0"/>
        <w:ind w:left="0"/>
        <w:jc w:val="both"/>
      </w:pPr>
      <w:r>
        <w:rPr>
          <w:rFonts w:ascii="Times New Roman"/>
          <w:b w:val="false"/>
          <w:i w:val="false"/>
          <w:color w:val="000000"/>
          <w:sz w:val="28"/>
        </w:rPr>
        <w:t>
      Ожидается, что в результате диверсификации внешних источников финансирования науки доля ППС, задействованного в исследованиях с внешним финансированием, увеличится до 50% от общей численности ППС.</w:t>
      </w:r>
    </w:p>
    <w:bookmarkEnd w:id="509"/>
    <w:bookmarkStart w:name="z550" w:id="510"/>
    <w:p>
      <w:pPr>
        <w:spacing w:after="0"/>
        <w:ind w:left="0"/>
        <w:jc w:val="both"/>
      </w:pPr>
      <w:r>
        <w:rPr>
          <w:rFonts w:ascii="Times New Roman"/>
          <w:b w:val="false"/>
          <w:i w:val="false"/>
          <w:color w:val="000000"/>
          <w:sz w:val="28"/>
        </w:rPr>
        <w:t>
      ________________________________</w:t>
      </w:r>
    </w:p>
    <w:bookmarkEnd w:id="510"/>
    <w:bookmarkStart w:name="z551" w:id="51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28</w:t>
      </w:r>
      <w:r>
        <w:rPr>
          <w:rFonts w:ascii="Times New Roman"/>
          <w:b w:val="false"/>
          <w:i w:val="false"/>
          <w:color w:val="000000"/>
          <w:sz w:val="28"/>
        </w:rPr>
        <w:t>При определении приоритетных научных направлений руководствовались тремя критериями: достижение целей в Стратегии "Казахстан – 2050" и других программных документов, приоритетность для мировой аграрной науки, нацеленность на формирование компетенции, отсутствующей или не развитой в Казахстане.</w:t>
      </w:r>
    </w:p>
    <w:bookmarkEnd w:id="511"/>
    <w:bookmarkStart w:name="z552" w:id="512"/>
    <w:p>
      <w:pPr>
        <w:spacing w:after="0"/>
        <w:ind w:left="0"/>
        <w:jc w:val="left"/>
      </w:pPr>
      <w:r>
        <w:rPr>
          <w:rFonts w:ascii="Times New Roman"/>
          <w:b/>
          <w:i w:val="false"/>
          <w:color w:val="000000"/>
        </w:rPr>
        <w:t xml:space="preserve"> Таблица 8.3.2.1 – Целевые индикаторы по диверсификации внешних источников финансирования науки</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9"/>
        <w:gridCol w:w="2725"/>
        <w:gridCol w:w="1747"/>
        <w:gridCol w:w="1747"/>
        <w:gridCol w:w="1747"/>
        <w:gridCol w:w="1747"/>
        <w:gridCol w:w="1748"/>
      </w:tblGrid>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реализуемых ИНТП, наим.</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научных проектов в рамках грантового финансирования, не менее, наименований</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негосударственных источников в общем объеме финансирования научных исследований,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ППС, участвующих в финансируемых исследованиях,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p>
      <w:pPr>
        <w:spacing w:after="0"/>
        <w:ind w:left="0"/>
        <w:jc w:val="both"/>
      </w:pPr>
      <w:r>
        <w:rPr>
          <w:rFonts w:ascii="Times New Roman"/>
          <w:b/>
          <w:i w:val="false"/>
          <w:color w:val="000000"/>
          <w:sz w:val="28"/>
        </w:rPr>
        <w:t>8.3.3. Создание собственной системы научных грантов</w:t>
      </w:r>
    </w:p>
    <w:bookmarkStart w:name="z554" w:id="513"/>
    <w:p>
      <w:pPr>
        <w:spacing w:after="0"/>
        <w:ind w:left="0"/>
        <w:jc w:val="both"/>
      </w:pPr>
      <w:r>
        <w:rPr>
          <w:rFonts w:ascii="Times New Roman"/>
          <w:b w:val="false"/>
          <w:i w:val="false"/>
          <w:color w:val="000000"/>
          <w:sz w:val="28"/>
        </w:rPr>
        <w:t>
      В целях привлечения субъектов АПК к реализации совместных научных проектов, расширения участия ППС и обучающихся в научных исследованиях, КАТУ будет финансировать из собственных средств инициативные научные исследования. Денежные средства на указанные цели будут планироваться в виде отдельной статьи затрат в Плане развития КАТУ на соответствующий финансовый год. Другими источниками финансирования будут соответствующие отечественные и международные программы, доходы КАТУ от неосновной деятельности, ресурсы предпринимательского сектора, спонсорские взносы. Распределение фонда будет производиться по результатам собственной экспертизы КАТУ. Не менее половины объема финансирования из фонда будут направляться на проекты молодых ученых и распределяться Советом молодых ученых КАТУ.</w:t>
      </w:r>
    </w:p>
    <w:bookmarkEnd w:id="513"/>
    <w:bookmarkStart w:name="z555" w:id="514"/>
    <w:p>
      <w:pPr>
        <w:spacing w:after="0"/>
        <w:ind w:left="0"/>
        <w:jc w:val="both"/>
      </w:pPr>
      <w:r>
        <w:rPr>
          <w:rFonts w:ascii="Times New Roman"/>
          <w:b w:val="false"/>
          <w:i w:val="false"/>
          <w:color w:val="000000"/>
          <w:sz w:val="28"/>
        </w:rPr>
        <w:t xml:space="preserve">
      Финансируемые в рамках собственной системы научных грантов проекты будут носить преимущественно прикладной характер – получение измеримого практического результата на базе конкретного субъекта предпринимательства. Срок реализации проектов будет ограничен тремя годами, по сумме – не более эквивалента 18 тысяч долларов в год (всего до 54 тысяч долларов) в зависимости от бюджетных возможностей КАТУ. </w:t>
      </w:r>
    </w:p>
    <w:bookmarkEnd w:id="514"/>
    <w:bookmarkStart w:name="z556" w:id="515"/>
    <w:p>
      <w:pPr>
        <w:spacing w:after="0"/>
        <w:ind w:left="0"/>
        <w:jc w:val="both"/>
      </w:pPr>
      <w:r>
        <w:rPr>
          <w:rFonts w:ascii="Times New Roman"/>
          <w:b w:val="false"/>
          <w:i w:val="false"/>
          <w:color w:val="000000"/>
          <w:sz w:val="28"/>
        </w:rPr>
        <w:t>
      Обязательными условиями для участия в конкурсе проектов будут наличие софинансирования со стороны предпринимателей, привлечение к работе студентов и магистрантов КАТУ численностью не менее 30% от исследовательской группы, и доля ППС КАТУ в составе исследовательской группы не менее 80% (см. таблицу 8.3.3.1). На начальном этапе необходимая доля софинансирования со стороны предпринимателей будет установлена в размере 10% от стоимости проекта, в том числе не менее 3% – в форме денежных средств. Поэтапно, требования к софинансированию в форме денежных средств будут увеличены до 9% от стоимости проекта. В зависимости от специфики проекта, по механизму роялти КАТУ будет приобретать право на часть дополнительного дохода, получаемого партнером в результате реализации проекта.</w:t>
      </w:r>
    </w:p>
    <w:bookmarkEnd w:id="515"/>
    <w:bookmarkStart w:name="z557" w:id="516"/>
    <w:p>
      <w:pPr>
        <w:spacing w:after="0"/>
        <w:ind w:left="0"/>
        <w:jc w:val="both"/>
      </w:pPr>
      <w:r>
        <w:rPr>
          <w:rFonts w:ascii="Times New Roman"/>
          <w:b w:val="false"/>
          <w:i w:val="false"/>
          <w:color w:val="000000"/>
          <w:sz w:val="28"/>
        </w:rPr>
        <w:t>
      В 2020 году будут утверждены Правила выделения собственных научных грантов КАТУ, выделение грантов начнется с 2021 – 2022 учебного года. Доходы, полученные КАТУ в форме роялти, будут вкладываться в новые проекты.</w:t>
      </w:r>
    </w:p>
    <w:bookmarkEnd w:id="516"/>
    <w:bookmarkStart w:name="z558" w:id="517"/>
    <w:p>
      <w:pPr>
        <w:spacing w:after="0"/>
        <w:ind w:left="0"/>
        <w:jc w:val="left"/>
      </w:pPr>
      <w:r>
        <w:rPr>
          <w:rFonts w:ascii="Times New Roman"/>
          <w:b/>
          <w:i w:val="false"/>
          <w:color w:val="000000"/>
        </w:rPr>
        <w:t xml:space="preserve"> Таблица 8.3.3.1 – Целевые индикаторы по собственным научным грантам</w:t>
      </w:r>
    </w:p>
    <w:bookmarkEnd w:id="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2"/>
        <w:gridCol w:w="3262"/>
        <w:gridCol w:w="1649"/>
        <w:gridCol w:w="1649"/>
        <w:gridCol w:w="1649"/>
        <w:gridCol w:w="1649"/>
        <w:gridCol w:w="1650"/>
      </w:tblGrid>
      <w:tr>
        <w:trPr>
          <w:trHeight w:val="30" w:hRule="atLeast"/>
        </w:trPr>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реализуемых проектов по собственным научным грантам, ед.</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софинансирования проектов собственной системы научных грантов в денежной форме со стороны бизнеса, %</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i w:val="false"/>
          <w:color w:val="000000"/>
          <w:sz w:val="28"/>
        </w:rPr>
        <w:t xml:space="preserve">8.4. Улучшение качества образовательных услуг </w:t>
      </w:r>
    </w:p>
    <w:bookmarkStart w:name="z560" w:id="518"/>
    <w:p>
      <w:pPr>
        <w:spacing w:after="0"/>
        <w:ind w:left="0"/>
        <w:jc w:val="both"/>
      </w:pPr>
      <w:r>
        <w:rPr>
          <w:rFonts w:ascii="Times New Roman"/>
          <w:b w:val="false"/>
          <w:i w:val="false"/>
          <w:color w:val="000000"/>
          <w:sz w:val="28"/>
        </w:rPr>
        <w:t>
      С целью улучшения качества образовательных услуг образовательный процесс будет кардинально реформирован по следующим направлениям:</w:t>
      </w:r>
    </w:p>
    <w:bookmarkEnd w:id="518"/>
    <w:bookmarkStart w:name="z561" w:id="519"/>
    <w:p>
      <w:pPr>
        <w:spacing w:after="0"/>
        <w:ind w:left="0"/>
        <w:jc w:val="both"/>
      </w:pPr>
      <w:r>
        <w:rPr>
          <w:rFonts w:ascii="Times New Roman"/>
          <w:b w:val="false"/>
          <w:i w:val="false"/>
          <w:color w:val="000000"/>
          <w:sz w:val="28"/>
        </w:rPr>
        <w:t>
      1) совершенствование системы формирования контингента и поддержки карьеры выпускников;</w:t>
      </w:r>
    </w:p>
    <w:bookmarkEnd w:id="519"/>
    <w:bookmarkStart w:name="z562" w:id="520"/>
    <w:p>
      <w:pPr>
        <w:spacing w:after="0"/>
        <w:ind w:left="0"/>
        <w:jc w:val="both"/>
      </w:pPr>
      <w:r>
        <w:rPr>
          <w:rFonts w:ascii="Times New Roman"/>
          <w:b w:val="false"/>
          <w:i w:val="false"/>
          <w:color w:val="000000"/>
          <w:sz w:val="28"/>
        </w:rPr>
        <w:t>
      2) улучшение условий для деятельности и профессионального развития ППС;</w:t>
      </w:r>
    </w:p>
    <w:bookmarkEnd w:id="520"/>
    <w:bookmarkStart w:name="z563" w:id="521"/>
    <w:p>
      <w:pPr>
        <w:spacing w:after="0"/>
        <w:ind w:left="0"/>
        <w:jc w:val="both"/>
      </w:pPr>
      <w:r>
        <w:rPr>
          <w:rFonts w:ascii="Times New Roman"/>
          <w:b w:val="false"/>
          <w:i w:val="false"/>
          <w:color w:val="000000"/>
          <w:sz w:val="28"/>
        </w:rPr>
        <w:t>
      3) модернизация организации образовательного процесса и содержания образовательных программ;</w:t>
      </w:r>
    </w:p>
    <w:bookmarkEnd w:id="521"/>
    <w:bookmarkStart w:name="z564" w:id="522"/>
    <w:p>
      <w:pPr>
        <w:spacing w:after="0"/>
        <w:ind w:left="0"/>
        <w:jc w:val="both"/>
      </w:pPr>
      <w:r>
        <w:rPr>
          <w:rFonts w:ascii="Times New Roman"/>
          <w:b w:val="false"/>
          <w:i w:val="false"/>
          <w:color w:val="000000"/>
          <w:sz w:val="28"/>
        </w:rPr>
        <w:t xml:space="preserve">
      4) расширение академической мобильности ППС и обучающихся. </w:t>
      </w:r>
    </w:p>
    <w:bookmarkEnd w:id="522"/>
    <w:bookmarkStart w:name="z565" w:id="523"/>
    <w:p>
      <w:pPr>
        <w:spacing w:after="0"/>
        <w:ind w:left="0"/>
        <w:jc w:val="both"/>
      </w:pPr>
      <w:r>
        <w:rPr>
          <w:rFonts w:ascii="Times New Roman"/>
          <w:b w:val="false"/>
          <w:i w:val="false"/>
          <w:color w:val="000000"/>
          <w:sz w:val="28"/>
        </w:rPr>
        <w:t>
      Образовательный процесс будет основан на ограниченном количестве уникальных образовательных программ бакалавриата, магистратуры и докторантуры, содержание которых будет нацелено на потребности Целевого региона, структура и методы обучения будут максимально приближены к лучшим в мире аналогам (UC Davis, AgroParisTech и другие).</w:t>
      </w:r>
    </w:p>
    <w:bookmarkEnd w:id="523"/>
    <w:p>
      <w:pPr>
        <w:spacing w:after="0"/>
        <w:ind w:left="0"/>
        <w:jc w:val="both"/>
      </w:pPr>
      <w:r>
        <w:rPr>
          <w:rFonts w:ascii="Times New Roman"/>
          <w:b/>
          <w:i w:val="false"/>
          <w:color w:val="000000"/>
          <w:sz w:val="28"/>
        </w:rPr>
        <w:t>8.4.1. Совершенствование системы формирования контингента обучающихся и поддержки карьеры выпускников</w:t>
      </w:r>
    </w:p>
    <w:bookmarkStart w:name="z567" w:id="524"/>
    <w:p>
      <w:pPr>
        <w:spacing w:after="0"/>
        <w:ind w:left="0"/>
        <w:jc w:val="both"/>
      </w:pPr>
      <w:r>
        <w:rPr>
          <w:rFonts w:ascii="Times New Roman"/>
          <w:b w:val="false"/>
          <w:i w:val="false"/>
          <w:color w:val="000000"/>
          <w:sz w:val="28"/>
        </w:rPr>
        <w:t xml:space="preserve">
      Средний контингент обучающихся в период реализации Программы не превысит существующего уровня, но акцент будет сделан на увеличение приема на программы послевузовского обучения, с поэтапным сокращением контингента бакалавриата. Доля обучающихся в магистратуре и докторантуре к 2024 году будет последовательно увеличена до 20% от общего контингента обучающихся. </w:t>
      </w:r>
    </w:p>
    <w:bookmarkEnd w:id="524"/>
    <w:bookmarkStart w:name="z568" w:id="525"/>
    <w:p>
      <w:pPr>
        <w:spacing w:after="0"/>
        <w:ind w:left="0"/>
        <w:jc w:val="both"/>
      </w:pPr>
      <w:r>
        <w:rPr>
          <w:rFonts w:ascii="Times New Roman"/>
          <w:b w:val="false"/>
          <w:i w:val="false"/>
          <w:color w:val="000000"/>
          <w:sz w:val="28"/>
        </w:rPr>
        <w:t>
      Как отмечалось (см. раздел 3.1.), только около 20% выпускников по направлениям, связанным с сельским хозяйством, стремятся трудоустроиться по специальности. В этой связи, для улучшения качества подготовки и трудоустройства, обучающихся по специальности, будет проработан вопрос изменения критериев оценки при поступлении в КАТУ. В частности, будет повышено значение мотивации к выбранной специальности, что позволит ограничить набор абитуриентов, изначально не нацеленных на трудоустройство по выбранной специальности. Мотивация будет оцениваться на основе эссе, собеседования или другими доступными методами по примеру зарубежных университетов-партнеров КАТУ.</w:t>
      </w:r>
    </w:p>
    <w:bookmarkEnd w:id="525"/>
    <w:bookmarkStart w:name="z569" w:id="526"/>
    <w:p>
      <w:pPr>
        <w:spacing w:after="0"/>
        <w:ind w:left="0"/>
        <w:jc w:val="both"/>
      </w:pPr>
      <w:r>
        <w:rPr>
          <w:rFonts w:ascii="Times New Roman"/>
          <w:b w:val="false"/>
          <w:i w:val="false"/>
          <w:color w:val="000000"/>
          <w:sz w:val="28"/>
        </w:rPr>
        <w:t>
      Будет расширена практика подготовки кадров по заказу предприятий и организаций. В 2018 году в КАТУ на основе заказа предприятий обучались 26 студентов. Как правило, такой заказ практически гарантирует трудоустройство выпускника по специальности на базе организации-заказчика. Будут разработаны меры стимулирования работодателей к прямому заказу на подготовку кадров путем участия в разработке индивидуального плана обучения, увязки практических дисциплин и лабораторных работ с потребностями организации-работодателя, приоритетного включения обучающихся по заказу работодателей в научные исследования по актуальным для них проблемам. Планируется, что, начиная с 2020 – 2021 учебного года, ежегодно будут приниматься на обучение по заказу работодателей не менее 20 человек, с поэтапным увеличением их численности до 40.</w:t>
      </w:r>
    </w:p>
    <w:bookmarkEnd w:id="526"/>
    <w:bookmarkStart w:name="z570" w:id="527"/>
    <w:p>
      <w:pPr>
        <w:spacing w:after="0"/>
        <w:ind w:left="0"/>
        <w:jc w:val="both"/>
      </w:pPr>
      <w:r>
        <w:rPr>
          <w:rFonts w:ascii="Times New Roman"/>
          <w:b w:val="false"/>
          <w:i w:val="false"/>
          <w:color w:val="000000"/>
          <w:sz w:val="28"/>
        </w:rPr>
        <w:t>
      С целью привлечения наиболее талантливых выпускников школ в КАТУ (особенно по специальностям, связанных с сельским хозяйством), начиная с 2021 года будут проводиться Олимпиады среди школьников по направлениям академического профиля КАТУ (см. таблицу 8.4.1.2). Для победителей Олимпиад будут предусмотрены ценные призы, в том числе предоставление гранта на обучение за счет собственных средств КАТУ или спонсорской помощи. Положение о собственных грантах КАТУ будет разработано и утверждено в 2020 году.</w:t>
      </w:r>
    </w:p>
    <w:bookmarkEnd w:id="527"/>
    <w:bookmarkStart w:name="z571" w:id="528"/>
    <w:p>
      <w:pPr>
        <w:spacing w:after="0"/>
        <w:ind w:left="0"/>
        <w:jc w:val="left"/>
      </w:pPr>
      <w:r>
        <w:rPr>
          <w:rFonts w:ascii="Times New Roman"/>
          <w:b/>
          <w:i w:val="false"/>
          <w:color w:val="000000"/>
        </w:rPr>
        <w:t xml:space="preserve"> Таблица 8.4.1.2 – Проведение Олимпиад среди школьников</w:t>
      </w:r>
    </w:p>
    <w:bookmarkEnd w:id="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3"/>
        <w:gridCol w:w="1308"/>
        <w:gridCol w:w="1897"/>
        <w:gridCol w:w="1898"/>
        <w:gridCol w:w="1898"/>
        <w:gridCol w:w="1898"/>
        <w:gridCol w:w="1898"/>
      </w:tblGrid>
      <w:tr>
        <w:trPr>
          <w:trHeight w:val="30" w:hRule="atLeast"/>
        </w:trPr>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Олимпиады среди школьников, наим.</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биологическим наукам</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техническим наукам</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программированию</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творческим специальностям</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572" w:id="529"/>
    <w:p>
      <w:pPr>
        <w:spacing w:after="0"/>
        <w:ind w:left="0"/>
        <w:jc w:val="both"/>
      </w:pPr>
      <w:r>
        <w:rPr>
          <w:rFonts w:ascii="Times New Roman"/>
          <w:b w:val="false"/>
          <w:i w:val="false"/>
          <w:color w:val="000000"/>
          <w:sz w:val="28"/>
        </w:rPr>
        <w:t>
      Для поддержки трудоустройства выпускников КАТУ, в 2020 году будет разработана специальная программа, включающая:</w:t>
      </w:r>
    </w:p>
    <w:bookmarkEnd w:id="529"/>
    <w:bookmarkStart w:name="z573" w:id="530"/>
    <w:p>
      <w:pPr>
        <w:spacing w:after="0"/>
        <w:ind w:left="0"/>
        <w:jc w:val="both"/>
      </w:pPr>
      <w:r>
        <w:rPr>
          <w:rFonts w:ascii="Times New Roman"/>
          <w:b w:val="false"/>
          <w:i w:val="false"/>
          <w:color w:val="000000"/>
          <w:sz w:val="28"/>
        </w:rPr>
        <w:t>
      1) организацию и развитие карьерного центра по образцу успешных моделей в мире, со специальными курсами дисциплин по развитию коммуникационных навыков для успешного трудоустройства;</w:t>
      </w:r>
    </w:p>
    <w:bookmarkEnd w:id="530"/>
    <w:bookmarkStart w:name="z574" w:id="531"/>
    <w:p>
      <w:pPr>
        <w:spacing w:after="0"/>
        <w:ind w:left="0"/>
        <w:jc w:val="both"/>
      </w:pPr>
      <w:r>
        <w:rPr>
          <w:rFonts w:ascii="Times New Roman"/>
          <w:b w:val="false"/>
          <w:i w:val="false"/>
          <w:color w:val="000000"/>
          <w:sz w:val="28"/>
        </w:rPr>
        <w:t>
      2) систему информирования выпускников о вакансиях и работодателей о кандидатах;</w:t>
      </w:r>
    </w:p>
    <w:bookmarkEnd w:id="531"/>
    <w:bookmarkStart w:name="z575" w:id="532"/>
    <w:p>
      <w:pPr>
        <w:spacing w:after="0"/>
        <w:ind w:left="0"/>
        <w:jc w:val="both"/>
      </w:pPr>
      <w:r>
        <w:rPr>
          <w:rFonts w:ascii="Times New Roman"/>
          <w:b w:val="false"/>
          <w:i w:val="false"/>
          <w:color w:val="000000"/>
          <w:sz w:val="28"/>
        </w:rPr>
        <w:t>
      3) проведение семинаров для студентов и магистрантов по составлению резюме и прохождению собеседований, организация пробных собеседований.</w:t>
      </w:r>
    </w:p>
    <w:bookmarkEnd w:id="532"/>
    <w:bookmarkStart w:name="z576" w:id="533"/>
    <w:p>
      <w:pPr>
        <w:spacing w:after="0"/>
        <w:ind w:left="0"/>
        <w:jc w:val="both"/>
      </w:pPr>
      <w:r>
        <w:rPr>
          <w:rFonts w:ascii="Times New Roman"/>
          <w:b w:val="false"/>
          <w:i w:val="false"/>
          <w:color w:val="000000"/>
          <w:sz w:val="28"/>
        </w:rPr>
        <w:t xml:space="preserve">
      Для содействия успешной карьере будет разработан механизм постоянной взаимосвязи между КАТУ и выпускниками с целью поддержания их высокой компетенции и выявления возможностей для совершенствования образовательных программ (консультации со стороны ППС, доступ к информационным ресурсам, другие привилегии). В пилотном режиме, на базе одного из факультетов данный механизм будет внедрен с 2021 – 2022 учебного года. В случае успешного применения, данный опыт будет распространен на другие факультеты. </w:t>
      </w:r>
    </w:p>
    <w:bookmarkEnd w:id="533"/>
    <w:bookmarkStart w:name="z577" w:id="534"/>
    <w:p>
      <w:pPr>
        <w:spacing w:after="0"/>
        <w:ind w:left="0"/>
        <w:jc w:val="both"/>
      </w:pPr>
      <w:r>
        <w:rPr>
          <w:rFonts w:ascii="Times New Roman"/>
          <w:b w:val="false"/>
          <w:i w:val="false"/>
          <w:color w:val="000000"/>
          <w:sz w:val="28"/>
        </w:rPr>
        <w:t>
      Основными индикаторами по данному направлению является достижение в 2024 году трудоустройства не менее 90% выпускников в течение шести месяцев после окончания КАТУ, в том числе по специальности – не менее 40%.</w:t>
      </w:r>
    </w:p>
    <w:bookmarkEnd w:id="534"/>
    <w:p>
      <w:pPr>
        <w:spacing w:after="0"/>
        <w:ind w:left="0"/>
        <w:jc w:val="both"/>
      </w:pPr>
      <w:r>
        <w:rPr>
          <w:rFonts w:ascii="Times New Roman"/>
          <w:b/>
          <w:i w:val="false"/>
          <w:color w:val="000000"/>
          <w:sz w:val="28"/>
        </w:rPr>
        <w:t>8.4.2. Улучшение условий для деятельности и профессионального развития ППС</w:t>
      </w:r>
    </w:p>
    <w:bookmarkStart w:name="z579" w:id="535"/>
    <w:p>
      <w:pPr>
        <w:spacing w:after="0"/>
        <w:ind w:left="0"/>
        <w:jc w:val="both"/>
      </w:pPr>
      <w:r>
        <w:rPr>
          <w:rFonts w:ascii="Times New Roman"/>
          <w:b w:val="false"/>
          <w:i w:val="false"/>
          <w:color w:val="000000"/>
          <w:sz w:val="28"/>
        </w:rPr>
        <w:t>
      В целях стимулирования высоких академических и научных достижений, создания благоприятных условий для работы, личного и профессионального развития ППС в КАТУ будут реализованы следующие мероприятия:</w:t>
      </w:r>
    </w:p>
    <w:bookmarkEnd w:id="535"/>
    <w:bookmarkStart w:name="z580" w:id="536"/>
    <w:p>
      <w:pPr>
        <w:spacing w:after="0"/>
        <w:ind w:left="0"/>
        <w:jc w:val="both"/>
      </w:pPr>
      <w:r>
        <w:rPr>
          <w:rFonts w:ascii="Times New Roman"/>
          <w:b w:val="false"/>
          <w:i w:val="false"/>
          <w:color w:val="000000"/>
          <w:sz w:val="28"/>
        </w:rPr>
        <w:t>
      1. Качественное обучение английскому языку для упрощения доступа к передовой научно-технической информации, расширения спектра дисциплин, преподаваемых на английском языке, и улучшения качества их преподавания. В 2020 году на основе успешных международных методик для ППС, докторантов и магистрантов будет разработана многоуровневая система изучения английского языка. К преподаванию начальных уровней будут привлекаться преподаватели КАТУ с международным опытом. Для более продвинутых уровней будут привлекаться профессиональные преподаватели – носители английского языка</w:t>
      </w:r>
      <w:r>
        <w:rPr>
          <w:rFonts w:ascii="Times New Roman"/>
          <w:b w:val="false"/>
          <w:i w:val="false"/>
          <w:color w:val="000000"/>
          <w:vertAlign w:val="superscript"/>
        </w:rPr>
        <w:t>29</w:t>
      </w:r>
      <w:r>
        <w:rPr>
          <w:rFonts w:ascii="Times New Roman"/>
          <w:b w:val="false"/>
          <w:i w:val="false"/>
          <w:color w:val="000000"/>
          <w:sz w:val="28"/>
        </w:rPr>
        <w:t>. Работа с носителями английского языка применяется в КАТУ с 2014 года, когда специалисты из Великобритании, США, Австралии, Сингапура и Малайзии существенно усилили языковую компетенцию ППС КАТУ за относительно короткий срок. Группы обучающихся будут формироваться на конкурсной основе. Обучение будет бесплатным, расходы на привлечение преподавателей КАТУ и зарубежных преподавателей – носителей языка будут финансироваться за счет собственных средств КАТУ.</w:t>
      </w:r>
    </w:p>
    <w:bookmarkEnd w:id="536"/>
    <w:bookmarkStart w:name="z581" w:id="537"/>
    <w:p>
      <w:pPr>
        <w:spacing w:after="0"/>
        <w:ind w:left="0"/>
        <w:jc w:val="both"/>
      </w:pPr>
      <w:r>
        <w:rPr>
          <w:rFonts w:ascii="Times New Roman"/>
          <w:b w:val="false"/>
          <w:i w:val="false"/>
          <w:color w:val="000000"/>
          <w:sz w:val="28"/>
        </w:rPr>
        <w:t>
      Для поддержки навыков будут реализовываться специальные меры по формированию англоязычной языковой среды, в том числе проведение дней английского языка, гостевые лекции и размещение информации в корпусах на английском языке, и другие.</w:t>
      </w:r>
    </w:p>
    <w:bookmarkEnd w:id="537"/>
    <w:bookmarkStart w:name="z582" w:id="538"/>
    <w:p>
      <w:pPr>
        <w:spacing w:after="0"/>
        <w:ind w:left="0"/>
        <w:jc w:val="both"/>
      </w:pPr>
      <w:r>
        <w:rPr>
          <w:rFonts w:ascii="Times New Roman"/>
          <w:b w:val="false"/>
          <w:i w:val="false"/>
          <w:color w:val="000000"/>
          <w:sz w:val="28"/>
        </w:rPr>
        <w:t xml:space="preserve">
      2. Продолжительные стажировки в ведущих в мире университетах и научных центрах. Всего в рамках Программы запланированы 96 стажировок ППС КАТУ продолжительностью не менее одного месяца. Из них – 34 стажировок на базе UC Davis в течение одной полной четверти (2,5 месяца), в процессе которых преподаватели будут посещать интересующие курсы и совместно с профессорами разрабатывать аналогичные дисциплиныдля КАТУ. Не менее 32 преподавателей пройдут стажировки на базе AgroParisTech, в рамках которых совместно с профессорами из Франции будут разработаны курсы дисциплин для совместных двухдипломных программ магистратуры. На базе других организаций-партнеров стажировки пройдут не менее 30 преподавателей. </w:t>
      </w:r>
    </w:p>
    <w:bookmarkEnd w:id="538"/>
    <w:bookmarkStart w:name="z583" w:id="539"/>
    <w:p>
      <w:pPr>
        <w:spacing w:after="0"/>
        <w:ind w:left="0"/>
        <w:jc w:val="both"/>
      </w:pPr>
      <w:r>
        <w:rPr>
          <w:rFonts w:ascii="Times New Roman"/>
          <w:b w:val="false"/>
          <w:i w:val="false"/>
          <w:color w:val="000000"/>
          <w:sz w:val="28"/>
        </w:rPr>
        <w:t xml:space="preserve">
      Отбор кандидатов для направления на стажировку будет производиться на конкурсной основе. Программа каждой стажировки будет разрабатываться индивидуально, с учетом приоритетов развития компетенции каждого структурного подразделения, и будет содержать конкретные, измеримые показатели ожидаемого результата. По завершению стажировки будет разрабатываться детальный план внедрения ее результатов в КАТУ. </w:t>
      </w:r>
    </w:p>
    <w:bookmarkEnd w:id="539"/>
    <w:bookmarkStart w:name="z584" w:id="540"/>
    <w:p>
      <w:pPr>
        <w:spacing w:after="0"/>
        <w:ind w:left="0"/>
        <w:jc w:val="both"/>
      </w:pPr>
      <w:r>
        <w:rPr>
          <w:rFonts w:ascii="Times New Roman"/>
          <w:b w:val="false"/>
          <w:i w:val="false"/>
          <w:color w:val="000000"/>
          <w:sz w:val="28"/>
        </w:rPr>
        <w:t xml:space="preserve">
      Источниками финансирования затрат на стажировки будут собственные средства КАТУ, финансирование АО "Центр международных программ", международных и зарубежных организаций, другие доступные источники. </w:t>
      </w:r>
    </w:p>
    <w:bookmarkEnd w:id="540"/>
    <w:bookmarkStart w:name="z585" w:id="541"/>
    <w:p>
      <w:pPr>
        <w:spacing w:after="0"/>
        <w:ind w:left="0"/>
        <w:jc w:val="both"/>
      </w:pPr>
      <w:r>
        <w:rPr>
          <w:rFonts w:ascii="Times New Roman"/>
          <w:b w:val="false"/>
          <w:i w:val="false"/>
          <w:color w:val="000000"/>
          <w:sz w:val="28"/>
        </w:rPr>
        <w:t>
      3. Долгосрочные академические отпуска (sabattical leave) – продолжительное освобождение ППС от нагрузки для самостоятельной работы над повышением квалификации, освоением новых методов преподавания и исследований, открытием, сертификацией и аккредитацией лабораторий, подготовкой научных проектов и программ и другими профессиональными задачами согласно приоритетам КАТУ. Продолжительность отпуска будет составлять не менее одного академического периода, с сохранением полной или частичной заработной платы по решению Правления КАТУ. В соответствии с практикой исследовательских университетов США, право на академический отпуск будет предоставляться периодически, но не чаще одного раза в 5 лет.</w:t>
      </w:r>
    </w:p>
    <w:bookmarkEnd w:id="541"/>
    <w:bookmarkStart w:name="z586" w:id="542"/>
    <w:p>
      <w:pPr>
        <w:spacing w:after="0"/>
        <w:ind w:left="0"/>
        <w:jc w:val="both"/>
      </w:pPr>
      <w:r>
        <w:rPr>
          <w:rFonts w:ascii="Times New Roman"/>
          <w:b w:val="false"/>
          <w:i w:val="false"/>
          <w:color w:val="000000"/>
          <w:sz w:val="28"/>
        </w:rPr>
        <w:t xml:space="preserve">
      4. Прохождение стажировок ППС на базе передовых предприятий в соответствующих отраслях (см. раздел 8.2.5.3). </w:t>
      </w:r>
    </w:p>
    <w:bookmarkEnd w:id="542"/>
    <w:bookmarkStart w:name="z587" w:id="543"/>
    <w:p>
      <w:pPr>
        <w:spacing w:after="0"/>
        <w:ind w:left="0"/>
        <w:jc w:val="both"/>
      </w:pPr>
      <w:r>
        <w:rPr>
          <w:rFonts w:ascii="Times New Roman"/>
          <w:b w:val="false"/>
          <w:i w:val="false"/>
          <w:color w:val="000000"/>
          <w:sz w:val="28"/>
        </w:rPr>
        <w:t xml:space="preserve">
      5. Модернизация системы карьерного продвижения и оплаты труда. Как отмечалось в разделе 4.1, среднемесячная заработная плата ППС КАТУ значительно ниже средней по отрасли и уступает заработной плате в экономике. Поэтому, для поддержания высокого качества и привлекательных условий труда, с использованием всех доступных источников финансирования в приоритетном порядке будет осуществляться увеличение заработной платы. </w:t>
      </w:r>
    </w:p>
    <w:bookmarkEnd w:id="543"/>
    <w:bookmarkStart w:name="z588" w:id="544"/>
    <w:p>
      <w:pPr>
        <w:spacing w:after="0"/>
        <w:ind w:left="0"/>
        <w:jc w:val="both"/>
      </w:pPr>
      <w:r>
        <w:rPr>
          <w:rFonts w:ascii="Times New Roman"/>
          <w:b w:val="false"/>
          <w:i w:val="false"/>
          <w:color w:val="000000"/>
          <w:sz w:val="28"/>
        </w:rPr>
        <w:t>
      _____________________________________</w:t>
      </w:r>
    </w:p>
    <w:bookmarkEnd w:id="544"/>
    <w:bookmarkStart w:name="z589" w:id="54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29</w:t>
      </w:r>
      <w:r>
        <w:rPr>
          <w:rFonts w:ascii="Times New Roman"/>
          <w:b w:val="false"/>
          <w:i w:val="false"/>
          <w:color w:val="000000"/>
          <w:sz w:val="28"/>
        </w:rPr>
        <w:t>Преподаватели – носители английского языка могут привлекаться по несколько раз, в зависимости от качества преподавания и их возможностей для сотрудничества с КАТУ</w:t>
      </w:r>
    </w:p>
    <w:bookmarkEnd w:id="5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0" w:id="546"/>
    <w:p>
      <w:pPr>
        <w:spacing w:after="0"/>
        <w:ind w:left="0"/>
        <w:jc w:val="both"/>
      </w:pPr>
      <w:r>
        <w:rPr>
          <w:rFonts w:ascii="Times New Roman"/>
          <w:b w:val="false"/>
          <w:i w:val="false"/>
          <w:color w:val="000000"/>
          <w:sz w:val="28"/>
        </w:rPr>
        <w:t xml:space="preserve">
      Увеличение заработной платы будет производиться дифференцированно, с учетом профессиональных достижений каждого преподавателя. С 2020 – 2021 учебного года, на основе действующей рейтинговой системы оплаты труда будет внедрена новая система мотивации, предусматривающая дальнейшую дифференциацию выплат в зависимости от профессиональных достижений. Завершится переход от существующей системы, привязывающей рабочую ставку к учебной нагрузке, к новой системе, основанной на важности и качестве выполняемой работы для каждого уровня ППС. Начиная с 2023 года, обязательным условием для ППС с высоким уровнем вознаграждения станет участие в финансируемых научных исследованиях и/или мероприятиях по распространению знаний. </w:t>
      </w:r>
    </w:p>
    <w:bookmarkEnd w:id="546"/>
    <w:bookmarkStart w:name="z591" w:id="547"/>
    <w:p>
      <w:pPr>
        <w:spacing w:after="0"/>
        <w:ind w:left="0"/>
        <w:jc w:val="both"/>
      </w:pPr>
      <w:r>
        <w:rPr>
          <w:rFonts w:ascii="Times New Roman"/>
          <w:b w:val="false"/>
          <w:i w:val="false"/>
          <w:color w:val="000000"/>
          <w:sz w:val="28"/>
        </w:rPr>
        <w:t xml:space="preserve">
      С 2021 года система найма будет предусматривать привлечение ППС из-за рубежа. Штатная структура факультетов и кафедр будет формироваться на основе потребностей в специалистах с конкретной научной компетенцией (например, микробиолог, энтомолог, биохимик и т.д.). По каждой штатной единице будут разработаны новые квалификационные требования с описанием работ, выполнение которых ожидается от кандидата. Основными критериями при найме на работу и карьерных перемещениях будут предыдущие научные достижения кандидата и его видение дальнейшего развития исследований в КАТУ. </w:t>
      </w:r>
    </w:p>
    <w:bookmarkEnd w:id="547"/>
    <w:bookmarkStart w:name="z592" w:id="548"/>
    <w:p>
      <w:pPr>
        <w:spacing w:after="0"/>
        <w:ind w:left="0"/>
        <w:jc w:val="both"/>
      </w:pPr>
      <w:r>
        <w:rPr>
          <w:rFonts w:ascii="Times New Roman"/>
          <w:b w:val="false"/>
          <w:i w:val="false"/>
          <w:color w:val="000000"/>
          <w:sz w:val="28"/>
        </w:rPr>
        <w:t>
      6. Развитие внутренней системы повышения квалификации ППС. С целью формирования единой академической культуры и собственных образовательных стандартов, на базе Института повышения квалификации и дополнительного образования КАТУ получат дальнейшее развитие Школа преподавательского мастерства и Школа лекторов. Для разработки и реализации программ повышения квалификации будут привлекаться ведущие профессора КАТУ и университетов-партнеров. В 2020 году будут актуализированы требования к программам внутренней системы повышения квалификации ППС и оценка качества освоения материалов. Качество освоения будет влиять на карьерное продвижение ППС. Отдельно будет разработана вводная программа для принятых в КАТУ преподавателей с целью их интеграции в академическую среду КАТУ.</w:t>
      </w:r>
    </w:p>
    <w:bookmarkEnd w:id="548"/>
    <w:bookmarkStart w:name="z593" w:id="549"/>
    <w:p>
      <w:pPr>
        <w:spacing w:after="0"/>
        <w:ind w:left="0"/>
        <w:jc w:val="both"/>
      </w:pPr>
      <w:r>
        <w:rPr>
          <w:rFonts w:ascii="Times New Roman"/>
          <w:b w:val="false"/>
          <w:i w:val="false"/>
          <w:color w:val="000000"/>
          <w:sz w:val="28"/>
        </w:rPr>
        <w:t>
      С 2023 года программы внутренней системы повышения квалификации станут доступными на платной основе для профессорско-преподавательского состава других университетов.</w:t>
      </w:r>
    </w:p>
    <w:bookmarkEnd w:id="549"/>
    <w:bookmarkStart w:name="z594" w:id="550"/>
    <w:p>
      <w:pPr>
        <w:spacing w:after="0"/>
        <w:ind w:left="0"/>
        <w:jc w:val="both"/>
      </w:pPr>
      <w:r>
        <w:rPr>
          <w:rFonts w:ascii="Times New Roman"/>
          <w:b w:val="false"/>
          <w:i w:val="false"/>
          <w:color w:val="000000"/>
          <w:sz w:val="28"/>
        </w:rPr>
        <w:t xml:space="preserve">
      7. Оптимизация информационных систем образовательного процесса. Будет завершено внедрение информационной системы "Мой университет" на базе "1С: Университет Проф", начатой в 2018 году. При необходимости, функционал информационной системы будет расширяться, и адаптироваться под потребности и актуальную карту процессов КАТУ. </w:t>
      </w:r>
    </w:p>
    <w:bookmarkEnd w:id="550"/>
    <w:bookmarkStart w:name="z595" w:id="551"/>
    <w:p>
      <w:pPr>
        <w:spacing w:after="0"/>
        <w:ind w:left="0"/>
        <w:jc w:val="left"/>
      </w:pPr>
      <w:r>
        <w:rPr>
          <w:rFonts w:ascii="Times New Roman"/>
          <w:b/>
          <w:i w:val="false"/>
          <w:color w:val="000000"/>
        </w:rPr>
        <w:t xml:space="preserve"> Таблица 8.4.2.1 – Целевые индикаторы по улучшению условий для деятельности и профессионального развития ППС</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4"/>
        <w:gridCol w:w="2626"/>
        <w:gridCol w:w="1780"/>
        <w:gridCol w:w="1780"/>
        <w:gridCol w:w="1780"/>
        <w:gridCol w:w="1780"/>
        <w:gridCol w:w="1780"/>
      </w:tblGrid>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размер заработной платы ППС, не менее тыс. тенге в месяц</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ППС, прошедших стажировки на базе зарубежных научных организаций и вузов, чел.</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8.4.3. Модернизация организации образовательного процесса и содержания образовательных программ </w:t>
      </w:r>
    </w:p>
    <w:bookmarkStart w:name="z597" w:id="552"/>
    <w:p>
      <w:pPr>
        <w:spacing w:after="0"/>
        <w:ind w:left="0"/>
        <w:jc w:val="both"/>
      </w:pPr>
      <w:r>
        <w:rPr>
          <w:rFonts w:ascii="Times New Roman"/>
          <w:b w:val="false"/>
          <w:i w:val="false"/>
          <w:color w:val="000000"/>
          <w:sz w:val="28"/>
        </w:rPr>
        <w:t>
      С целью повышения эффективности образовательного процесса и оптимизации учебной нагрузки ППС, будут последовательно реализованы ряд реформ, включающие:</w:t>
      </w:r>
    </w:p>
    <w:bookmarkEnd w:id="552"/>
    <w:bookmarkStart w:name="z598" w:id="553"/>
    <w:p>
      <w:pPr>
        <w:spacing w:after="0"/>
        <w:ind w:left="0"/>
        <w:jc w:val="both"/>
      </w:pPr>
      <w:r>
        <w:rPr>
          <w:rFonts w:ascii="Times New Roman"/>
          <w:b w:val="false"/>
          <w:i w:val="false"/>
          <w:color w:val="000000"/>
          <w:sz w:val="28"/>
        </w:rPr>
        <w:t xml:space="preserve">
      1. Изменение содержания образовательных программ. Cодержание дисциплин будет изменено путем переноса акцента от заучивания известных фактов на развитие навыков самостоятельной работы с информацией, способностей качественно анализировать и находить оптимальные решения в различных практических ситуациях. </w:t>
      </w:r>
    </w:p>
    <w:bookmarkEnd w:id="553"/>
    <w:bookmarkStart w:name="z599" w:id="554"/>
    <w:p>
      <w:pPr>
        <w:spacing w:after="0"/>
        <w:ind w:left="0"/>
        <w:jc w:val="both"/>
      </w:pPr>
      <w:r>
        <w:rPr>
          <w:rFonts w:ascii="Times New Roman"/>
          <w:b w:val="false"/>
          <w:i w:val="false"/>
          <w:color w:val="000000"/>
          <w:sz w:val="28"/>
        </w:rPr>
        <w:t>
      Содержание образовательных программ будет формироваться на основе портрета выпускника – исчерпывающего, систематизированного перечня компетенций, которыми должен овладеть выпускник по завершению обучения, и перспективных направлений развития его карьеры. Портрет выпускника будет формироваться при участии работодателей, содержание образовательных программ будет регулярно актуализироваться на основе их рекомендаций. Для этого в 2020 году будет пересмотрена и усилена роль попечительских советов факультетов, до окончания 2021 года будут актуализированы портреты выпускника по всем образовательным программам КАТУ. В дальнейшем, портреты выпускника будут служить основой для разработки собственных образовательных стандартов КАТУ для каждой области знаний</w:t>
      </w:r>
      <w:r>
        <w:rPr>
          <w:rFonts w:ascii="Times New Roman"/>
          <w:b w:val="false"/>
          <w:i w:val="false"/>
          <w:color w:val="000000"/>
          <w:vertAlign w:val="superscript"/>
        </w:rPr>
        <w:t>30</w:t>
      </w:r>
      <w:r>
        <w:rPr>
          <w:rFonts w:ascii="Times New Roman"/>
          <w:b w:val="false"/>
          <w:i w:val="false"/>
          <w:color w:val="000000"/>
          <w:sz w:val="28"/>
        </w:rPr>
        <w:t xml:space="preserve">. </w:t>
      </w:r>
    </w:p>
    <w:bookmarkEnd w:id="554"/>
    <w:bookmarkStart w:name="z600" w:id="555"/>
    <w:p>
      <w:pPr>
        <w:spacing w:after="0"/>
        <w:ind w:left="0"/>
        <w:jc w:val="both"/>
      </w:pPr>
      <w:r>
        <w:rPr>
          <w:rFonts w:ascii="Times New Roman"/>
          <w:b w:val="false"/>
          <w:i w:val="false"/>
          <w:color w:val="000000"/>
          <w:sz w:val="28"/>
        </w:rPr>
        <w:t xml:space="preserve">
      Разработка учебных материалов будет осуществляться отдельно для бакалавриата, магистратуры и докторантуры, с исключением дублирования между ними. Акцент будет сделан на самостоятельную работу обучающихся, роль контактных занятий будет сведена к формированию базовых знаний и способности воспринимать профессиональную информацию. Дисциплины будут укрупнены и унифицированы путем объединения в единые курсы с целью соответствия потребностям широкого круга обучающихся на схожих программах. Количество дисциплин по выбору будет увеличено, большинство из них будут доступны для всех обучающихся в КАТУ. </w:t>
      </w:r>
    </w:p>
    <w:bookmarkEnd w:id="555"/>
    <w:bookmarkStart w:name="z601" w:id="556"/>
    <w:p>
      <w:pPr>
        <w:spacing w:after="0"/>
        <w:ind w:left="0"/>
        <w:jc w:val="both"/>
      </w:pPr>
      <w:r>
        <w:rPr>
          <w:rFonts w:ascii="Times New Roman"/>
          <w:b w:val="false"/>
          <w:i w:val="false"/>
          <w:color w:val="000000"/>
          <w:sz w:val="28"/>
        </w:rPr>
        <w:t xml:space="preserve">
      В рамках базовой подготовки обучающихся будет усилено преподавание фундаментальных наук в соответствии с профилем каждой образовательной программы, что повысит качество знаний, обеспечит дополнительную гибкость выпускникам при трудоустройстве и будет способствовать формированию способностей к научным исследованиям. </w:t>
      </w:r>
    </w:p>
    <w:bookmarkEnd w:id="556"/>
    <w:bookmarkStart w:name="z602" w:id="557"/>
    <w:p>
      <w:pPr>
        <w:spacing w:after="0"/>
        <w:ind w:left="0"/>
        <w:jc w:val="both"/>
      </w:pPr>
      <w:r>
        <w:rPr>
          <w:rFonts w:ascii="Times New Roman"/>
          <w:b w:val="false"/>
          <w:i w:val="false"/>
          <w:color w:val="000000"/>
          <w:sz w:val="28"/>
        </w:rPr>
        <w:t xml:space="preserve">
      Для повышения объективности оценки успеваемости будет расширена практика написания обучающимися письменных работ в форме эссе, курсовых и лабораторных отчетов. Для каждого из видов работ будут разработаны соответствующие требования и критерии оценки. </w:t>
      </w:r>
    </w:p>
    <w:bookmarkEnd w:id="557"/>
    <w:bookmarkStart w:name="z603" w:id="558"/>
    <w:p>
      <w:pPr>
        <w:spacing w:after="0"/>
        <w:ind w:left="0"/>
        <w:jc w:val="both"/>
      </w:pPr>
      <w:r>
        <w:rPr>
          <w:rFonts w:ascii="Times New Roman"/>
          <w:b w:val="false"/>
          <w:i w:val="false"/>
          <w:color w:val="000000"/>
          <w:sz w:val="28"/>
        </w:rPr>
        <w:t xml:space="preserve">
      2. Дальнейшее усиление практической подготовки обучающихся. К началу 2020 – 2021 учебного года будет завершена синхронизация академических периодов с сезонными сельскохозяйственными работами. Для студентов сельскохозяйственных специальностей станет обязательной практика продолжительностью не менее одного сельскохозяйственного сезона на базе кампусов КАТУ или передовых агроформирований. </w:t>
      </w:r>
    </w:p>
    <w:bookmarkEnd w:id="558"/>
    <w:bookmarkStart w:name="z604" w:id="559"/>
    <w:p>
      <w:pPr>
        <w:spacing w:after="0"/>
        <w:ind w:left="0"/>
        <w:jc w:val="both"/>
      </w:pPr>
      <w:r>
        <w:rPr>
          <w:rFonts w:ascii="Times New Roman"/>
          <w:b w:val="false"/>
          <w:i w:val="false"/>
          <w:color w:val="000000"/>
          <w:sz w:val="28"/>
        </w:rPr>
        <w:t>
      Доля практических и лабораторных занятий в общем содержании дисциплин будет увеличена, их содержание будет переориентировано с демонстрации известных технологий на развитие навыков применения инноваций на практике. Часть дисциплин, практика по которым требует специальной инфраструктуры, будет переведена в формат дуального обучения, с переносом практических и лабораторных занятий на соответствующие предприятия. С целью надлежащей организации практики будет проработан вопрос ее целевого финансирования.</w:t>
      </w:r>
    </w:p>
    <w:bookmarkEnd w:id="559"/>
    <w:bookmarkStart w:name="z605" w:id="560"/>
    <w:p>
      <w:pPr>
        <w:spacing w:after="0"/>
        <w:ind w:left="0"/>
        <w:jc w:val="both"/>
      </w:pPr>
      <w:r>
        <w:rPr>
          <w:rFonts w:ascii="Times New Roman"/>
          <w:b w:val="false"/>
          <w:i w:val="false"/>
          <w:color w:val="000000"/>
          <w:sz w:val="28"/>
        </w:rPr>
        <w:t>
      ______________________________</w:t>
      </w:r>
    </w:p>
    <w:bookmarkEnd w:id="560"/>
    <w:bookmarkStart w:name="z606" w:id="56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30</w:t>
      </w:r>
      <w:r>
        <w:rPr>
          <w:rFonts w:ascii="Times New Roman"/>
          <w:b w:val="false"/>
          <w:i w:val="false"/>
          <w:color w:val="000000"/>
          <w:sz w:val="28"/>
        </w:rPr>
        <w:t>Под образовательным стандартом понимается совокупность знаний и навыков, которыми должен овладеть каждый обучающийся КАТУ в течение периода обучения, с количественными и качественными показателями урвоня их освоения</w:t>
      </w:r>
    </w:p>
    <w:bookmarkEnd w:id="5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07" w:id="562"/>
    <w:p>
      <w:pPr>
        <w:spacing w:after="0"/>
        <w:ind w:left="0"/>
        <w:jc w:val="both"/>
      </w:pPr>
      <w:r>
        <w:rPr>
          <w:rFonts w:ascii="Times New Roman"/>
          <w:b w:val="false"/>
          <w:i w:val="false"/>
          <w:color w:val="000000"/>
          <w:sz w:val="28"/>
        </w:rPr>
        <w:t>
      3. Переход от организации образовательного процесса в формате групп к индивидуальным планам обучения. Для обеспечения гибкости образовательной траектории исходя из индивидуальных интересов и карьерных ожиданий обучающихся, организация образовательного процесса будет переведена на индивидуальные планы обучения. Все дисциплины в рамках образовательной программы будут разделены на обязательные (core – необходимые для выполнения требований соответствующей академической степени) и элективные. Обучающийся будет самостоятельно выбирать образовательную траекторию путем выбора дисциплин, в том числе с возможностью сочетания двух направлений обучения (major + minor).</w:t>
      </w:r>
    </w:p>
    <w:bookmarkEnd w:id="562"/>
    <w:bookmarkStart w:name="z608" w:id="563"/>
    <w:p>
      <w:pPr>
        <w:spacing w:after="0"/>
        <w:ind w:left="0"/>
        <w:jc w:val="both"/>
      </w:pPr>
      <w:r>
        <w:rPr>
          <w:rFonts w:ascii="Times New Roman"/>
          <w:b w:val="false"/>
          <w:i w:val="false"/>
          <w:color w:val="000000"/>
          <w:sz w:val="28"/>
        </w:rPr>
        <w:t>
      К началу 2020 – 2021 учебного года будет проработан вопрос перехода от семестровой структуры учебного года к триместрам или четвертям, с учетом оптимальности для отдельных направлений подготовки. Планируется, что помимо улучшения качества освоения дисциплин за счет сокращения периода и повышения интенсивности изучения дисциплин, данная реформа упростит привлечение в КАТУ ведущих преподавателей из-за рубежа, специалистов из предприятий и ученых из научных организаций Республики Казахстан. Аналогичная практика применена в пилотном режиме при внедрении новых магистерских программ для подготовки кадров по ГПИИР в 2015 – 2016 годы, и получила положительные отзывы со стороны обучающихся.</w:t>
      </w:r>
    </w:p>
    <w:bookmarkEnd w:id="563"/>
    <w:bookmarkStart w:name="z609" w:id="564"/>
    <w:p>
      <w:pPr>
        <w:spacing w:after="0"/>
        <w:ind w:left="0"/>
        <w:jc w:val="both"/>
      </w:pPr>
      <w:r>
        <w:rPr>
          <w:rFonts w:ascii="Times New Roman"/>
          <w:b w:val="false"/>
          <w:i w:val="false"/>
          <w:color w:val="000000"/>
          <w:sz w:val="28"/>
        </w:rPr>
        <w:t xml:space="preserve">
      4. Улучшение качества преподавания иностранного языка. Наряду с повышением уровня языковой компетенции ППС, преподавание иностранных языков будет перестроено на основе уровневой системы, с углубленным изучением общего, профессионального и академического языков. </w:t>
      </w:r>
    </w:p>
    <w:bookmarkEnd w:id="564"/>
    <w:bookmarkStart w:name="z610" w:id="565"/>
    <w:p>
      <w:pPr>
        <w:spacing w:after="0"/>
        <w:ind w:left="0"/>
        <w:jc w:val="both"/>
      </w:pPr>
      <w:r>
        <w:rPr>
          <w:rFonts w:ascii="Times New Roman"/>
          <w:b w:val="false"/>
          <w:i w:val="false"/>
          <w:color w:val="000000"/>
          <w:sz w:val="28"/>
        </w:rPr>
        <w:t>
      Основным изучаемым иностранным языком будет английский. Объем преподавания английского языка будет увеличен до пяти часов в неделю, с дополнительными внеклассными занятиями в языковой среде (activities). Оценка знаний будет производиться согласно официальным методикам TOEFL и IELTS. Конечной целью реформы является достижение уровня владения английским языком среди обучающихся в группах с полиязычным обучением по методике IELTS – не менее 6.5, по методике TOEFL IBT – не менее 80 баллов. В пилотном режиме данная система преподавания английского языка будет внедрена в 2020 – 2021 учебном году, с окончательным переходом к новой системе с 2021 – 2022 учебного года.</w:t>
      </w:r>
    </w:p>
    <w:bookmarkEnd w:id="565"/>
    <w:bookmarkStart w:name="z611" w:id="566"/>
    <w:p>
      <w:pPr>
        <w:spacing w:after="0"/>
        <w:ind w:left="0"/>
        <w:jc w:val="both"/>
      </w:pPr>
      <w:r>
        <w:rPr>
          <w:rFonts w:ascii="Times New Roman"/>
          <w:b w:val="false"/>
          <w:i w:val="false"/>
          <w:color w:val="000000"/>
          <w:sz w:val="28"/>
        </w:rPr>
        <w:t>
      Кроме того, начиная с 2020 – 2021 учебного года в образовательный процесс в качестве иностранного языка будет включен китайский язык. Для общего развития обучающихся получат поддержку инициативы по изучению других иностранных языков.</w:t>
      </w:r>
    </w:p>
    <w:bookmarkEnd w:id="566"/>
    <w:bookmarkStart w:name="z612" w:id="567"/>
    <w:p>
      <w:pPr>
        <w:spacing w:after="0"/>
        <w:ind w:left="0"/>
        <w:jc w:val="both"/>
      </w:pPr>
      <w:r>
        <w:rPr>
          <w:rFonts w:ascii="Times New Roman"/>
          <w:b w:val="false"/>
          <w:i w:val="false"/>
          <w:color w:val="000000"/>
          <w:sz w:val="28"/>
        </w:rPr>
        <w:t xml:space="preserve">
      С целью соблюдения целостности указанных реформ, основной формой их реализации будет разработка новых образовательных программ при поддержке профессоров из университетов-партнеров. За основу будет принят механизм, применявшийся при разработке новых программ магистратуры в рамках ГПИИР и ГПАПК (см. рисунок 4.1.5), который в дальнейшем будет применяться на всех уровнях обучения – бакалавриате, магистратуре и докторантуре (см. рисунок 8.4.3.1). </w:t>
      </w:r>
    </w:p>
    <w:bookmarkEnd w:id="567"/>
    <w:bookmarkStart w:name="z613" w:id="568"/>
    <w:p>
      <w:pPr>
        <w:spacing w:after="0"/>
        <w:ind w:left="0"/>
        <w:jc w:val="both"/>
      </w:pPr>
      <w:r>
        <w:rPr>
          <w:rFonts w:ascii="Times New Roman"/>
          <w:b w:val="false"/>
          <w:i w:val="false"/>
          <w:color w:val="000000"/>
          <w:sz w:val="28"/>
        </w:rPr>
        <w:t xml:space="preserve">
      Новые образовательные программы будут основаны на актуальных и прогнозных потребностях рынка труда и опыте и требованиях к квалификации ведущих в мире университетов. Их внедрение будет поэтапным, путем замены существующих программ. В 2020 году запланирован аудит профессорами UC Davis программ, разработанных в 2015 – 2016 годы, с целью установления их фактического качества в сравнении с первоначально запланированными результатами. Курсы фундаментальных наук и дисциплины специализации, преподаваемые на старших курсах, будут разрабатываться преимущественно на английском языке с целью привлечения обучающихся из-за рубежа. </w:t>
      </w:r>
    </w:p>
    <w:bookmarkEnd w:id="568"/>
    <w:bookmarkStart w:name="z614" w:id="569"/>
    <w:p>
      <w:pPr>
        <w:spacing w:after="0"/>
        <w:ind w:left="0"/>
        <w:jc w:val="both"/>
      </w:pPr>
      <w:r>
        <w:rPr>
          <w:rFonts w:ascii="Times New Roman"/>
          <w:b w:val="false"/>
          <w:i w:val="false"/>
          <w:color w:val="000000"/>
          <w:sz w:val="28"/>
        </w:rPr>
        <w:t xml:space="preserve">
      </w:t>
      </w:r>
    </w:p>
    <w:bookmarkEnd w:id="569"/>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5" w:id="570"/>
    <w:p>
      <w:pPr>
        <w:spacing w:after="0"/>
        <w:ind w:left="0"/>
        <w:jc w:val="both"/>
      </w:pPr>
      <w:r>
        <w:rPr>
          <w:rFonts w:ascii="Times New Roman"/>
          <w:b w:val="false"/>
          <w:i w:val="false"/>
          <w:color w:val="000000"/>
          <w:sz w:val="28"/>
        </w:rPr>
        <w:t>
      Рисунок 8.4.3.1 – Механизм разработки новых образовательных программ совместно с университетами-партнерами</w:t>
      </w:r>
    </w:p>
    <w:bookmarkEnd w:id="570"/>
    <w:bookmarkStart w:name="z616" w:id="571"/>
    <w:p>
      <w:pPr>
        <w:spacing w:after="0"/>
        <w:ind w:left="0"/>
        <w:jc w:val="both"/>
      </w:pPr>
      <w:r>
        <w:rPr>
          <w:rFonts w:ascii="Times New Roman"/>
          <w:b w:val="false"/>
          <w:i w:val="false"/>
          <w:color w:val="000000"/>
          <w:sz w:val="28"/>
        </w:rPr>
        <w:t>
      Бакалавриат КАТУ будет переориентирован на предоставление обучающимся фундаментальных знаний и навыков в выбранном направлении, которые послужат базой для дальнейшей научной или профессиональной специализации в ходе обучения в магистратуре. Специализация выпускников будет относительно широкой и гибкой с целью расширения возможностей для трудоустройства.</w:t>
      </w:r>
    </w:p>
    <w:bookmarkEnd w:id="571"/>
    <w:bookmarkStart w:name="z617" w:id="572"/>
    <w:p>
      <w:pPr>
        <w:spacing w:after="0"/>
        <w:ind w:left="0"/>
        <w:jc w:val="both"/>
      </w:pPr>
      <w:r>
        <w:rPr>
          <w:rFonts w:ascii="Times New Roman"/>
          <w:b w:val="false"/>
          <w:i w:val="false"/>
          <w:color w:val="000000"/>
          <w:sz w:val="28"/>
        </w:rPr>
        <w:t xml:space="preserve">
      Новые образовательные программы магистратуры будут разрабатываться для двух категорий обучающихся: </w:t>
      </w:r>
    </w:p>
    <w:bookmarkEnd w:id="572"/>
    <w:bookmarkStart w:name="z618" w:id="573"/>
    <w:p>
      <w:pPr>
        <w:spacing w:after="0"/>
        <w:ind w:left="0"/>
        <w:jc w:val="both"/>
      </w:pPr>
      <w:r>
        <w:rPr>
          <w:rFonts w:ascii="Times New Roman"/>
          <w:b w:val="false"/>
          <w:i w:val="false"/>
          <w:color w:val="000000"/>
          <w:sz w:val="28"/>
        </w:rPr>
        <w:t>
      1) научно-педагогическое направление – программы с акцентом на научные исследования, углубленное изучение наук и развитие научной специализации в выбранной области. Выпускники данных программ будут ориентированы на продолжение обучения в докторантуре (в том числе в зарубежных вузах-партнерах).</w:t>
      </w:r>
    </w:p>
    <w:bookmarkEnd w:id="573"/>
    <w:bookmarkStart w:name="z619" w:id="574"/>
    <w:p>
      <w:pPr>
        <w:spacing w:after="0"/>
        <w:ind w:left="0"/>
        <w:jc w:val="both"/>
      </w:pPr>
      <w:r>
        <w:rPr>
          <w:rFonts w:ascii="Times New Roman"/>
          <w:b w:val="false"/>
          <w:i w:val="false"/>
          <w:color w:val="000000"/>
          <w:sz w:val="28"/>
        </w:rPr>
        <w:t>
      2) профильное направление – программы с акцентом на углубление специальных знаний и получение дополнительных навыков для работы в реальном секторе экономики, в соответствии с профессиональными интересами обучающихся.</w:t>
      </w:r>
    </w:p>
    <w:bookmarkEnd w:id="574"/>
    <w:bookmarkStart w:name="z620" w:id="575"/>
    <w:p>
      <w:pPr>
        <w:spacing w:after="0"/>
        <w:ind w:left="0"/>
        <w:jc w:val="both"/>
      </w:pPr>
      <w:r>
        <w:rPr>
          <w:rFonts w:ascii="Times New Roman"/>
          <w:b w:val="false"/>
          <w:i w:val="false"/>
          <w:color w:val="000000"/>
          <w:sz w:val="28"/>
        </w:rPr>
        <w:t xml:space="preserve">
      Программы докторантуры будут нацелены на повышение уровня проводимых докторантами научных исследований, с учетом расширения направлений и углубления исследований в КАТУ в целом. </w:t>
      </w:r>
    </w:p>
    <w:bookmarkEnd w:id="575"/>
    <w:bookmarkStart w:name="z621" w:id="576"/>
    <w:p>
      <w:pPr>
        <w:spacing w:after="0"/>
        <w:ind w:left="0"/>
        <w:jc w:val="both"/>
      </w:pPr>
      <w:r>
        <w:rPr>
          <w:rFonts w:ascii="Times New Roman"/>
          <w:b w:val="false"/>
          <w:i w:val="false"/>
          <w:color w:val="000000"/>
          <w:sz w:val="28"/>
        </w:rPr>
        <w:t>
      Всего в рамках Программы планируется с привлечением профессоров из университетов-партнеров разработать и внедрить 37 новых образовательных программ, модернизировав все программы сельскохозяйственного направления.</w:t>
      </w:r>
    </w:p>
    <w:bookmarkEnd w:id="576"/>
    <w:bookmarkStart w:name="z622" w:id="577"/>
    <w:p>
      <w:pPr>
        <w:spacing w:after="0"/>
        <w:ind w:left="0"/>
        <w:jc w:val="both"/>
      </w:pPr>
      <w:r>
        <w:rPr>
          <w:rFonts w:ascii="Times New Roman"/>
          <w:b w:val="false"/>
          <w:i w:val="false"/>
          <w:color w:val="000000"/>
          <w:sz w:val="28"/>
        </w:rPr>
        <w:t xml:space="preserve">
      В целях освоения современных образовательных технологий для ППС на регулярной основе будут организовываться семинары с приглашением ведущих в мире экспертов. В 2016 году заслуженным профессором Кафедры сельскохозяйственной и биологической инженерии UC Davis, членом президиума Американской Академии образования, доктором Полом Сингх впервые проведен десятидневный семинар "Современные образовательные технологии для достижения успеха университетами". Аналогичные семинары будут проводиться регулярно. </w:t>
      </w:r>
    </w:p>
    <w:bookmarkEnd w:id="577"/>
    <w:bookmarkStart w:name="z623" w:id="578"/>
    <w:p>
      <w:pPr>
        <w:spacing w:after="0"/>
        <w:ind w:left="0"/>
        <w:jc w:val="both"/>
      </w:pPr>
      <w:r>
        <w:rPr>
          <w:rFonts w:ascii="Times New Roman"/>
          <w:b w:val="false"/>
          <w:i w:val="false"/>
          <w:color w:val="000000"/>
          <w:sz w:val="28"/>
        </w:rPr>
        <w:t xml:space="preserve">
      По мере истечения сроков действия аккредитации и модернизации содержания образовательных программ КАТУ, будет производиться их аккредитация. С целью привлечения иностранных студентов, для аккредитации образовательных программ, разработанных совместно с зарубежными университетами-партнерами, будут привлекаться авторитетные международные агентства. </w:t>
      </w:r>
    </w:p>
    <w:bookmarkEnd w:id="578"/>
    <w:bookmarkStart w:name="z624" w:id="579"/>
    <w:p>
      <w:pPr>
        <w:spacing w:after="0"/>
        <w:ind w:left="0"/>
        <w:jc w:val="left"/>
      </w:pPr>
      <w:r>
        <w:rPr>
          <w:rFonts w:ascii="Times New Roman"/>
          <w:b/>
          <w:i w:val="false"/>
          <w:color w:val="000000"/>
        </w:rPr>
        <w:t xml:space="preserve"> Таблица 8.4.3.1 – Целевые индикаторы по модернизации образовательного процесса и содержания образовательных программ</w:t>
      </w:r>
    </w:p>
    <w:bookmarkEnd w:id="5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8"/>
        <w:gridCol w:w="2373"/>
        <w:gridCol w:w="1713"/>
        <w:gridCol w:w="1714"/>
        <w:gridCol w:w="1714"/>
        <w:gridCol w:w="1714"/>
        <w:gridCol w:w="1714"/>
      </w:tblGrid>
      <w:tr>
        <w:trPr>
          <w:trHeight w:val="30" w:hRule="atLeast"/>
        </w:trPr>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новых образовательных программ (с нарастающим итогом), ед.</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бакалавриат</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магистратура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докторантура</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дисциплин с дуальным обучением, наименований</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семинаров по современным методикам и технологиям образования, ед.</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i w:val="false"/>
          <w:color w:val="000000"/>
          <w:sz w:val="28"/>
        </w:rPr>
        <w:t>8.4.4. Расширение академической мобильности ППС и обучающихся</w:t>
      </w:r>
    </w:p>
    <w:bookmarkStart w:name="z626" w:id="580"/>
    <w:p>
      <w:pPr>
        <w:spacing w:after="0"/>
        <w:ind w:left="0"/>
        <w:jc w:val="both"/>
      </w:pPr>
      <w:r>
        <w:rPr>
          <w:rFonts w:ascii="Times New Roman"/>
          <w:b w:val="false"/>
          <w:i w:val="false"/>
          <w:color w:val="000000"/>
          <w:sz w:val="28"/>
        </w:rPr>
        <w:t>
      В целях ускорения интеграции в мировое научно-образовательное пространство, освоения передовых знаний и технологий, формирования недостающих компетенций будет последовательно расширяться участие ППС и обучающихся КАТУ в программах академической мобильности следующим направлениям:</w:t>
      </w:r>
    </w:p>
    <w:bookmarkEnd w:id="580"/>
    <w:bookmarkStart w:name="z627" w:id="581"/>
    <w:p>
      <w:pPr>
        <w:spacing w:after="0"/>
        <w:ind w:left="0"/>
        <w:jc w:val="both"/>
      </w:pPr>
      <w:r>
        <w:rPr>
          <w:rFonts w:ascii="Times New Roman"/>
          <w:b w:val="false"/>
          <w:i w:val="false"/>
          <w:color w:val="000000"/>
          <w:sz w:val="28"/>
        </w:rPr>
        <w:t>
      1) Приглашение зарубежных профессоров из университетов-партнеров (Visiting Professor), имеющих практический опыт преподавания в такой же среде, как и создаваемая в КАТУ, что существенно ускорит реформирование и обеспечит достижение нескольких результатов:</w:t>
      </w:r>
    </w:p>
    <w:bookmarkEnd w:id="581"/>
    <w:bookmarkStart w:name="z628" w:id="582"/>
    <w:p>
      <w:pPr>
        <w:spacing w:after="0"/>
        <w:ind w:left="0"/>
        <w:jc w:val="both"/>
      </w:pPr>
      <w:r>
        <w:rPr>
          <w:rFonts w:ascii="Times New Roman"/>
          <w:b w:val="false"/>
          <w:i w:val="false"/>
          <w:color w:val="000000"/>
          <w:sz w:val="28"/>
        </w:rPr>
        <w:t>
      а) наработка собственной компетенции путем повышения квалификации ППС КАТУ в процессе совместной работы с зарубежными коллегами;</w:t>
      </w:r>
    </w:p>
    <w:bookmarkEnd w:id="582"/>
    <w:bookmarkStart w:name="z629" w:id="583"/>
    <w:p>
      <w:pPr>
        <w:spacing w:after="0"/>
        <w:ind w:left="0"/>
        <w:jc w:val="both"/>
      </w:pPr>
      <w:r>
        <w:rPr>
          <w:rFonts w:ascii="Times New Roman"/>
          <w:b w:val="false"/>
          <w:i w:val="false"/>
          <w:color w:val="000000"/>
          <w:sz w:val="28"/>
        </w:rPr>
        <w:t>
      б) решение зарубежными профессорами задач, которые ранее не могли быть решены по причине отсутствия необходимой компетенции в КАТУ;</w:t>
      </w:r>
    </w:p>
    <w:bookmarkEnd w:id="583"/>
    <w:bookmarkStart w:name="z630" w:id="584"/>
    <w:p>
      <w:pPr>
        <w:spacing w:after="0"/>
        <w:ind w:left="0"/>
        <w:jc w:val="both"/>
      </w:pPr>
      <w:r>
        <w:rPr>
          <w:rFonts w:ascii="Times New Roman"/>
          <w:b w:val="false"/>
          <w:i w:val="false"/>
          <w:color w:val="000000"/>
          <w:sz w:val="28"/>
        </w:rPr>
        <w:t>
      в) интеграция в мировое научно-образовательное пространство за счет авторитета и связей зарубежных профессоров;</w:t>
      </w:r>
    </w:p>
    <w:bookmarkEnd w:id="584"/>
    <w:bookmarkStart w:name="z631" w:id="585"/>
    <w:p>
      <w:pPr>
        <w:spacing w:after="0"/>
        <w:ind w:left="0"/>
        <w:jc w:val="both"/>
      </w:pPr>
      <w:r>
        <w:rPr>
          <w:rFonts w:ascii="Times New Roman"/>
          <w:b w:val="false"/>
          <w:i w:val="false"/>
          <w:color w:val="000000"/>
          <w:sz w:val="28"/>
        </w:rPr>
        <w:t>
      г) доступ к передовым знаниям и навыкам, носителями которых являются зарубежные профессора.</w:t>
      </w:r>
    </w:p>
    <w:bookmarkEnd w:id="585"/>
    <w:bookmarkStart w:name="z632" w:id="586"/>
    <w:p>
      <w:pPr>
        <w:spacing w:after="0"/>
        <w:ind w:left="0"/>
        <w:jc w:val="both"/>
      </w:pPr>
      <w:r>
        <w:rPr>
          <w:rFonts w:ascii="Times New Roman"/>
          <w:b w:val="false"/>
          <w:i w:val="false"/>
          <w:color w:val="000000"/>
          <w:sz w:val="28"/>
        </w:rPr>
        <w:t>
      Финансирование затрат на привлечение профессоров из зарубежных университетов-партнеров, с продолжительностью преподавания не менее двух недель, будет осуществляться за счет зарубежных и международных программ академической мобильности, а также из собственных средств КАТУ.</w:t>
      </w:r>
    </w:p>
    <w:bookmarkEnd w:id="586"/>
    <w:bookmarkStart w:name="z633" w:id="587"/>
    <w:p>
      <w:pPr>
        <w:spacing w:after="0"/>
        <w:ind w:left="0"/>
        <w:jc w:val="both"/>
      </w:pPr>
      <w:r>
        <w:rPr>
          <w:rFonts w:ascii="Times New Roman"/>
          <w:b w:val="false"/>
          <w:i w:val="false"/>
          <w:color w:val="000000"/>
          <w:sz w:val="28"/>
        </w:rPr>
        <w:t>
      В случае приглашения зарубежных преподавателей на продолжительный срок (не менее одного академического периода), будут использоваться как собственные средства КАТУ, так и средства из любых других источников, поддерживающих такие формы взаимодействия.</w:t>
      </w:r>
    </w:p>
    <w:bookmarkEnd w:id="587"/>
    <w:bookmarkStart w:name="z634" w:id="588"/>
    <w:p>
      <w:pPr>
        <w:spacing w:after="0"/>
        <w:ind w:left="0"/>
        <w:jc w:val="both"/>
      </w:pPr>
      <w:r>
        <w:rPr>
          <w:rFonts w:ascii="Times New Roman"/>
          <w:b w:val="false"/>
          <w:i w:val="false"/>
          <w:color w:val="000000"/>
          <w:sz w:val="28"/>
        </w:rPr>
        <w:t>
      2) Направление ППС КАТУ для преподавания в зарубежные университеты-партнеры. С целью углубления партнерских связей, получения международного опыта и практики пребывания в иностранной языковой среде, будет расширено направление ППС КАТУ в университеты-партнеры для чтения отдельных курсов дисциплин. Источниками финансирования данной деятельности будут средства зарубежных университетов-партнеров, зарубежных и международных программ, а также в случаях инициативы направления ППС за границу со стороны КАТУ – собственные средства КАТУ.</w:t>
      </w:r>
    </w:p>
    <w:bookmarkEnd w:id="588"/>
    <w:bookmarkStart w:name="z635" w:id="589"/>
    <w:p>
      <w:pPr>
        <w:spacing w:after="0"/>
        <w:ind w:left="0"/>
        <w:jc w:val="both"/>
      </w:pPr>
      <w:r>
        <w:rPr>
          <w:rFonts w:ascii="Times New Roman"/>
          <w:b w:val="false"/>
          <w:i w:val="false"/>
          <w:color w:val="000000"/>
          <w:sz w:val="28"/>
        </w:rPr>
        <w:t xml:space="preserve">
      3) Расширение академической мобильности обучающихся с целью доступа к дополнительным знаниям и компетенциям, в том числе в следующих направлениях: </w:t>
      </w:r>
    </w:p>
    <w:bookmarkEnd w:id="589"/>
    <w:bookmarkStart w:name="z636" w:id="590"/>
    <w:p>
      <w:pPr>
        <w:spacing w:after="0"/>
        <w:ind w:left="0"/>
        <w:jc w:val="both"/>
      </w:pPr>
      <w:r>
        <w:rPr>
          <w:rFonts w:ascii="Times New Roman"/>
          <w:b w:val="false"/>
          <w:i w:val="false"/>
          <w:color w:val="000000"/>
          <w:sz w:val="28"/>
        </w:rPr>
        <w:t>
      а) двухдипломные образовательные программы совместно с отечественными и зарубежными университетами, на основе взаимного предоставления ресурсов организаций-партнеров (преимущественно – университеты из ТОП-20 секторального рейтинга QS), с переносом части образовательного процесса на их базу;</w:t>
      </w:r>
    </w:p>
    <w:bookmarkEnd w:id="590"/>
    <w:bookmarkStart w:name="z637" w:id="591"/>
    <w:p>
      <w:pPr>
        <w:spacing w:after="0"/>
        <w:ind w:left="0"/>
        <w:jc w:val="both"/>
      </w:pPr>
      <w:r>
        <w:rPr>
          <w:rFonts w:ascii="Times New Roman"/>
          <w:b w:val="false"/>
          <w:i w:val="false"/>
          <w:color w:val="000000"/>
          <w:sz w:val="28"/>
        </w:rPr>
        <w:t>
      б) направление обучающихся на обучение в течение одного полного академического периода в университеты-партнеры (преимущественно – в UC Davis и AgroParisTech) – за счет средств программы Министерства образования и науки Республики Казахстан, при необходимости – с частичным софинансированием за счет собственных средств КАТУ или средств обучающихся;</w:t>
      </w:r>
    </w:p>
    <w:bookmarkEnd w:id="591"/>
    <w:bookmarkStart w:name="z638" w:id="592"/>
    <w:p>
      <w:pPr>
        <w:spacing w:after="0"/>
        <w:ind w:left="0"/>
        <w:jc w:val="both"/>
      </w:pPr>
      <w:r>
        <w:rPr>
          <w:rFonts w:ascii="Times New Roman"/>
          <w:b w:val="false"/>
          <w:i w:val="false"/>
          <w:color w:val="000000"/>
          <w:sz w:val="28"/>
        </w:rPr>
        <w:t>
      в) направление обучающихся на семестровое обучение в университеты ближнего зарубежья, преимущественно в страны ЕЭС – путем взаимного обмена обучающимися на одинаковых условиях, определяемых КАТУ и принимающим университетом индивидуально в каждом конкретном случае;</w:t>
      </w:r>
    </w:p>
    <w:bookmarkEnd w:id="592"/>
    <w:bookmarkStart w:name="z639" w:id="593"/>
    <w:p>
      <w:pPr>
        <w:spacing w:after="0"/>
        <w:ind w:left="0"/>
        <w:jc w:val="both"/>
      </w:pPr>
      <w:r>
        <w:rPr>
          <w:rFonts w:ascii="Times New Roman"/>
          <w:b w:val="false"/>
          <w:i w:val="false"/>
          <w:color w:val="000000"/>
          <w:sz w:val="28"/>
        </w:rPr>
        <w:t>
      г) направление обучающихся на семестровое обучение в ведущие отечественные университеты соответствующего профиля – путем взаимного обмена обучающимися на одинаковых условиях или на платной основе за счет собственных средств КАТУ или обучающихся;</w:t>
      </w:r>
    </w:p>
    <w:bookmarkEnd w:id="593"/>
    <w:bookmarkStart w:name="z640" w:id="594"/>
    <w:p>
      <w:pPr>
        <w:spacing w:after="0"/>
        <w:ind w:left="0"/>
        <w:jc w:val="both"/>
      </w:pPr>
      <w:r>
        <w:rPr>
          <w:rFonts w:ascii="Times New Roman"/>
          <w:b w:val="false"/>
          <w:i w:val="false"/>
          <w:color w:val="000000"/>
          <w:sz w:val="28"/>
        </w:rPr>
        <w:t>
      д) краткосрочные стажировки магистрантов с целью изучения определенных, завершенных тематик по дисциплинам соответствующего профиля по заранее согласованным программам: для магистрантов с высокой успеваемостью и уровнем владения иностранным языком – за рубежом, для остальных магистрантов – в Республике Казахстан.</w:t>
      </w:r>
    </w:p>
    <w:bookmarkEnd w:id="594"/>
    <w:bookmarkStart w:name="z641" w:id="595"/>
    <w:p>
      <w:pPr>
        <w:spacing w:after="0"/>
        <w:ind w:left="0"/>
        <w:jc w:val="both"/>
      </w:pPr>
      <w:r>
        <w:rPr>
          <w:rFonts w:ascii="Times New Roman"/>
          <w:b w:val="false"/>
          <w:i w:val="false"/>
          <w:color w:val="000000"/>
          <w:sz w:val="28"/>
        </w:rPr>
        <w:t>
      Планируется, что в период реализации Программы обучение за рубежом в течение одного академического периода пройдут 182 обучающихся, из них 42 – в UC Davis, 70 – в AgroParisTech, и 70 – в других университетах-партнерах КАТУ.</w:t>
      </w:r>
    </w:p>
    <w:bookmarkEnd w:id="595"/>
    <w:bookmarkStart w:name="z642" w:id="596"/>
    <w:p>
      <w:pPr>
        <w:spacing w:after="0"/>
        <w:ind w:left="0"/>
        <w:jc w:val="both"/>
      </w:pPr>
      <w:r>
        <w:rPr>
          <w:rFonts w:ascii="Times New Roman"/>
          <w:b w:val="false"/>
          <w:i w:val="false"/>
          <w:color w:val="000000"/>
          <w:sz w:val="28"/>
        </w:rPr>
        <w:t xml:space="preserve">
      В 2020 – 2021 годы по всем специальностям магистратуры будут разработаны и согласованы с университетами-партнерами типовые программы стажировок, с учетом которых будет скорректировано содержание соответствующих дисциплин. </w:t>
      </w:r>
    </w:p>
    <w:bookmarkEnd w:id="596"/>
    <w:bookmarkStart w:name="z643" w:id="597"/>
    <w:p>
      <w:pPr>
        <w:spacing w:after="0"/>
        <w:ind w:left="0"/>
        <w:jc w:val="both"/>
      </w:pPr>
      <w:r>
        <w:rPr>
          <w:rFonts w:ascii="Times New Roman"/>
          <w:b w:val="false"/>
          <w:i w:val="false"/>
          <w:color w:val="000000"/>
          <w:sz w:val="28"/>
        </w:rPr>
        <w:t xml:space="preserve">
      С целью обеспечения сбалансированной академической мобильности, привлечение обучающихся из-за рубежа будет осуществляться путем прямых переговоров с университетами-партнерами, участия КАТУ в выставках за рубежом, актуализации и продвижения официального сайта и официальных страниц КАТУ в социальных сетях. На начальном этапе будут обеспечены привлекательные условия для привлечения обучающихся из других отечественных вузов и из университетов стран с русским языком обучения. </w:t>
      </w:r>
    </w:p>
    <w:bookmarkEnd w:id="597"/>
    <w:bookmarkStart w:name="z644" w:id="598"/>
    <w:p>
      <w:pPr>
        <w:spacing w:after="0"/>
        <w:ind w:left="0"/>
        <w:jc w:val="left"/>
      </w:pPr>
      <w:r>
        <w:rPr>
          <w:rFonts w:ascii="Times New Roman"/>
          <w:b/>
          <w:i w:val="false"/>
          <w:color w:val="000000"/>
        </w:rPr>
        <w:t xml:space="preserve"> Таблица 8.4.4.1 – Целевые индикаторы по академической мобильности</w:t>
      </w:r>
    </w:p>
    <w:bookmarkEnd w:id="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0"/>
        <w:gridCol w:w="3088"/>
        <w:gridCol w:w="1590"/>
        <w:gridCol w:w="1590"/>
        <w:gridCol w:w="1590"/>
        <w:gridCol w:w="1591"/>
        <w:gridCol w:w="1591"/>
      </w:tblGrid>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преподавателей из университетов-партнеров, преподающих в КАТУ (с нарастающим итогом), чел.</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совместных и/или двудипломных программ (с нарастающим итогом), шт.</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ППС КАТУ, преподававших за рубежом, чел.</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обучающихся КАТУ, направленных на семестровое обучение в вузы с английским языком обучения, чел.</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обучающихся в КАТУ из зарубежных вузов, чел.:</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русским языком обучения</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английским языком обучения</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bookmarkStart w:name="z645" w:id="599"/>
    <w:p>
      <w:pPr>
        <w:spacing w:after="0"/>
        <w:ind w:left="0"/>
        <w:jc w:val="both"/>
      </w:pPr>
      <w:r>
        <w:rPr>
          <w:rFonts w:ascii="Times New Roman"/>
          <w:b w:val="false"/>
          <w:i w:val="false"/>
          <w:color w:val="000000"/>
          <w:sz w:val="28"/>
        </w:rPr>
        <w:t>
      В настоящее время КАТУ предлагает 116 дисциплин на английском языке. В рамках Программы акцент будет сделан на качество преподавания на английском языке, а количество преподаваемых дисциплин будет увеличено до 120. Соответственно, по мере расширения преподаваемых дисциплин будет увеличиваться численность обучающихся из стран дальнего зарубежья.</w:t>
      </w:r>
    </w:p>
    <w:bookmarkEnd w:id="599"/>
    <w:p>
      <w:pPr>
        <w:spacing w:after="0"/>
        <w:ind w:left="0"/>
        <w:jc w:val="both"/>
      </w:pPr>
      <w:r>
        <w:rPr>
          <w:rFonts w:ascii="Times New Roman"/>
          <w:b/>
          <w:i w:val="false"/>
          <w:color w:val="000000"/>
          <w:sz w:val="28"/>
        </w:rPr>
        <w:t>8.5. Расширение системы продвижения результатов деятельности КАТУ в практику</w:t>
      </w:r>
    </w:p>
    <w:bookmarkStart w:name="z647" w:id="600"/>
    <w:p>
      <w:pPr>
        <w:spacing w:after="0"/>
        <w:ind w:left="0"/>
        <w:jc w:val="both"/>
      </w:pPr>
      <w:r>
        <w:rPr>
          <w:rFonts w:ascii="Times New Roman"/>
          <w:b w:val="false"/>
          <w:i w:val="false"/>
          <w:color w:val="000000"/>
          <w:sz w:val="28"/>
        </w:rPr>
        <w:t xml:space="preserve">
      С целью обеспечения максимального эффекта от реализации Программы для экономического и социального развития Республики Казахстан будет завершено формирование целостной системы продвижения результатов деятельности КАТУ в практику и расширен ее функционал. </w:t>
      </w:r>
    </w:p>
    <w:bookmarkEnd w:id="600"/>
    <w:bookmarkStart w:name="z648" w:id="601"/>
    <w:p>
      <w:pPr>
        <w:spacing w:after="0"/>
        <w:ind w:left="0"/>
        <w:jc w:val="both"/>
      </w:pPr>
      <w:r>
        <w:rPr>
          <w:rFonts w:ascii="Times New Roman"/>
          <w:b w:val="false"/>
          <w:i w:val="false"/>
          <w:color w:val="000000"/>
          <w:sz w:val="28"/>
        </w:rPr>
        <w:t>
      Помимо внедрения научных результатов путем коммерциализации и через систему распространения знаний, результаты научных исследований будут включаться в образовательные программы. В результате, по окончанию обучения выпускники будут владеть передовыми знаниями, навыками научной работы и практического применения инноваций.</w:t>
      </w:r>
    </w:p>
    <w:bookmarkEnd w:id="601"/>
    <w:bookmarkStart w:name="z649" w:id="602"/>
    <w:p>
      <w:pPr>
        <w:spacing w:after="0"/>
        <w:ind w:left="0"/>
        <w:jc w:val="both"/>
      </w:pPr>
      <w:r>
        <w:rPr>
          <w:rFonts w:ascii="Times New Roman"/>
          <w:b w:val="false"/>
          <w:i w:val="false"/>
          <w:color w:val="000000"/>
          <w:sz w:val="28"/>
        </w:rPr>
        <w:t>
      Другой важной целью системы продвижения результатов деятельности будет привлечение ресурсов из негосударственного сектора для поддержки развития КАТУ.</w:t>
      </w:r>
    </w:p>
    <w:bookmarkEnd w:id="602"/>
    <w:p>
      <w:pPr>
        <w:spacing w:after="0"/>
        <w:ind w:left="0"/>
        <w:jc w:val="both"/>
      </w:pPr>
      <w:r>
        <w:rPr>
          <w:rFonts w:ascii="Times New Roman"/>
          <w:b/>
          <w:i w:val="false"/>
          <w:color w:val="000000"/>
          <w:sz w:val="28"/>
        </w:rPr>
        <w:t>8.5.1. Развитие системы распространения знаний</w:t>
      </w:r>
    </w:p>
    <w:bookmarkStart w:name="z651" w:id="603"/>
    <w:p>
      <w:pPr>
        <w:spacing w:after="0"/>
        <w:ind w:left="0"/>
        <w:jc w:val="both"/>
      </w:pPr>
      <w:r>
        <w:rPr>
          <w:rFonts w:ascii="Times New Roman"/>
          <w:b w:val="false"/>
          <w:i w:val="false"/>
          <w:color w:val="000000"/>
          <w:sz w:val="28"/>
        </w:rPr>
        <w:t xml:space="preserve">
      По примеру ведущих в мире исследовательских аграрных университетов (в том числе UC Davis и других "land-grant" университетов США), система распространения знаний станет основным инструментом влияния КАТУ на эффективность АПК и неотъемлемой частью новой миссии КАТУ. </w:t>
      </w:r>
    </w:p>
    <w:bookmarkEnd w:id="603"/>
    <w:bookmarkStart w:name="z652" w:id="604"/>
    <w:p>
      <w:pPr>
        <w:spacing w:after="0"/>
        <w:ind w:left="0"/>
        <w:jc w:val="both"/>
      </w:pPr>
      <w:r>
        <w:rPr>
          <w:rFonts w:ascii="Times New Roman"/>
          <w:b w:val="false"/>
          <w:i w:val="false"/>
          <w:color w:val="000000"/>
          <w:sz w:val="28"/>
        </w:rPr>
        <w:t xml:space="preserve">
      Развитие системы распространения знаний и опыта, генерируемых в КАТУ, будет осуществляться в трех направлениях: </w:t>
      </w:r>
    </w:p>
    <w:bookmarkEnd w:id="604"/>
    <w:bookmarkStart w:name="z653" w:id="605"/>
    <w:p>
      <w:pPr>
        <w:spacing w:after="0"/>
        <w:ind w:left="0"/>
        <w:jc w:val="both"/>
      </w:pPr>
      <w:r>
        <w:rPr>
          <w:rFonts w:ascii="Times New Roman"/>
          <w:b w:val="false"/>
          <w:i w:val="false"/>
          <w:color w:val="000000"/>
          <w:sz w:val="28"/>
        </w:rPr>
        <w:t>
      1) дальнейшее расширение инструментария Офиса распространения знаний "Extension – KATU";</w:t>
      </w:r>
    </w:p>
    <w:bookmarkEnd w:id="605"/>
    <w:bookmarkStart w:name="z654" w:id="606"/>
    <w:p>
      <w:pPr>
        <w:spacing w:after="0"/>
        <w:ind w:left="0"/>
        <w:jc w:val="both"/>
      </w:pPr>
      <w:r>
        <w:rPr>
          <w:rFonts w:ascii="Times New Roman"/>
          <w:b w:val="false"/>
          <w:i w:val="false"/>
          <w:color w:val="000000"/>
          <w:sz w:val="28"/>
        </w:rPr>
        <w:t>
      2) совершенствование системы подготовки преподавателей колледжей сельскохозяйственного профиля;</w:t>
      </w:r>
    </w:p>
    <w:bookmarkEnd w:id="606"/>
    <w:bookmarkStart w:name="z655" w:id="607"/>
    <w:p>
      <w:pPr>
        <w:spacing w:after="0"/>
        <w:ind w:left="0"/>
        <w:jc w:val="both"/>
      </w:pPr>
      <w:r>
        <w:rPr>
          <w:rFonts w:ascii="Times New Roman"/>
          <w:b w:val="false"/>
          <w:i w:val="false"/>
          <w:color w:val="000000"/>
          <w:sz w:val="28"/>
        </w:rPr>
        <w:t>
      3) разработка программ дополнительного образования для специалистов, работающих в соответствующих отраслях, в том числе с использованием технологий дистанционного обучения.</w:t>
      </w:r>
    </w:p>
    <w:bookmarkEnd w:id="607"/>
    <w:bookmarkStart w:name="z656" w:id="608"/>
    <w:p>
      <w:pPr>
        <w:spacing w:after="0"/>
        <w:ind w:left="0"/>
        <w:jc w:val="both"/>
      </w:pPr>
      <w:r>
        <w:rPr>
          <w:rFonts w:ascii="Times New Roman"/>
          <w:b w:val="false"/>
          <w:i w:val="false"/>
          <w:color w:val="000000"/>
          <w:sz w:val="28"/>
        </w:rPr>
        <w:t xml:space="preserve">
      Деятельность Офиса распространения знаний ""Extension – KATU" будет связана с продвижением результатов КАТУ, коммерциализация которых в форме товара, объекта интеллектуальной собственности или инновационного проекта представляется затруднительной. </w:t>
      </w:r>
    </w:p>
    <w:bookmarkEnd w:id="608"/>
    <w:bookmarkStart w:name="z657" w:id="609"/>
    <w:p>
      <w:pPr>
        <w:spacing w:after="0"/>
        <w:ind w:left="0"/>
        <w:jc w:val="both"/>
      </w:pPr>
      <w:r>
        <w:rPr>
          <w:rFonts w:ascii="Times New Roman"/>
          <w:b w:val="false"/>
          <w:i w:val="false"/>
          <w:color w:val="000000"/>
          <w:sz w:val="28"/>
        </w:rPr>
        <w:t>
      Дальнейшее развитие Офиса распространения знаний "Extension – KATU" будет осуществляться в следующих направлениях:</w:t>
      </w:r>
    </w:p>
    <w:bookmarkEnd w:id="609"/>
    <w:bookmarkStart w:name="z658" w:id="610"/>
    <w:p>
      <w:pPr>
        <w:spacing w:after="0"/>
        <w:ind w:left="0"/>
        <w:jc w:val="both"/>
      </w:pPr>
      <w:r>
        <w:rPr>
          <w:rFonts w:ascii="Times New Roman"/>
          <w:b w:val="false"/>
          <w:i w:val="false"/>
          <w:color w:val="000000"/>
          <w:sz w:val="28"/>
        </w:rPr>
        <w:t>
      1) расширение охвата отраслей АПК услугами по распространению знаний;</w:t>
      </w:r>
    </w:p>
    <w:bookmarkEnd w:id="610"/>
    <w:bookmarkStart w:name="z659" w:id="611"/>
    <w:p>
      <w:pPr>
        <w:spacing w:after="0"/>
        <w:ind w:left="0"/>
        <w:jc w:val="both"/>
      </w:pPr>
      <w:r>
        <w:rPr>
          <w:rFonts w:ascii="Times New Roman"/>
          <w:b w:val="false"/>
          <w:i w:val="false"/>
          <w:color w:val="000000"/>
          <w:sz w:val="28"/>
        </w:rPr>
        <w:t>
      2) расширение спектра предлагаемых программ, с разработкой для каждой отрасли базовых программ продолжительностью до двух недель – по обучению всем вопросам организации производства отдельных видов сельскохозяйственной продукции и краткосрочных, специализированных программ – до 3 дней – по обучению отдельным этапам технологического процесса или элементам технологии;</w:t>
      </w:r>
    </w:p>
    <w:bookmarkEnd w:id="611"/>
    <w:bookmarkStart w:name="z660" w:id="612"/>
    <w:p>
      <w:pPr>
        <w:spacing w:after="0"/>
        <w:ind w:left="0"/>
        <w:jc w:val="both"/>
      </w:pPr>
      <w:r>
        <w:rPr>
          <w:rFonts w:ascii="Times New Roman"/>
          <w:b w:val="false"/>
          <w:i w:val="false"/>
          <w:color w:val="000000"/>
          <w:sz w:val="28"/>
        </w:rPr>
        <w:t>
      3) установление эффективных контактов с конечными потребителями научных результатов КАТУ в целях их информирования о возможностях сотрудничества с КАТУ, предлагаемых продуктах и обеспечения "обратной связи" для поддержания конкурентоспособности КАТУ и ориентированности на актуальные потребности.</w:t>
      </w:r>
    </w:p>
    <w:bookmarkEnd w:id="612"/>
    <w:bookmarkStart w:name="z661" w:id="613"/>
    <w:p>
      <w:pPr>
        <w:spacing w:after="0"/>
        <w:ind w:left="0"/>
        <w:jc w:val="both"/>
      </w:pPr>
      <w:r>
        <w:rPr>
          <w:rFonts w:ascii="Times New Roman"/>
          <w:b w:val="false"/>
          <w:i w:val="false"/>
          <w:color w:val="000000"/>
          <w:sz w:val="28"/>
        </w:rPr>
        <w:t>
      При наличии ресурсов, программы по распространению знаний будут разрабатываться с привлечением зарубежных партнеров – технологических лидеров в соответствующих отраслях. Для финансирования соответствующих расходов КАТУ на регулярной основе будет участвовать в конкурсе на получение финансирования по бюджетной программе 267 "Повышение доступности знаний и научных исследований" подпрограммы 100 "Информационное обеспечение субъектов агропромышленного комплекса на безвозмездной основе" Министерства сельского хозяйства Республики Казахстан.</w:t>
      </w:r>
    </w:p>
    <w:bookmarkEnd w:id="613"/>
    <w:bookmarkStart w:name="z662" w:id="614"/>
    <w:p>
      <w:pPr>
        <w:spacing w:after="0"/>
        <w:ind w:left="0"/>
        <w:jc w:val="both"/>
      </w:pPr>
      <w:r>
        <w:rPr>
          <w:rFonts w:ascii="Times New Roman"/>
          <w:b w:val="false"/>
          <w:i w:val="false"/>
          <w:color w:val="000000"/>
          <w:sz w:val="28"/>
        </w:rPr>
        <w:t xml:space="preserve">
      С целью демонстрации передовых технологий на практике, развитие кампусов будет планироваться с организацией демонстрационных площадок для мероприятий по распространению знаний. Часть ППС будет задействована в деятельности по распространению знаний в сочетании с преподаванием и/или научными исследованиями. Для ускорения внедрения научных результатов в практику распространение знаний будет интегрировано в научные исследования, для чего в ИНТП и научных проектах будут предусмотрены компоненты по распространению полученных научных результатов. </w:t>
      </w:r>
    </w:p>
    <w:bookmarkEnd w:id="614"/>
    <w:bookmarkStart w:name="z663" w:id="615"/>
    <w:p>
      <w:pPr>
        <w:spacing w:after="0"/>
        <w:ind w:left="0"/>
        <w:jc w:val="both"/>
      </w:pPr>
      <w:r>
        <w:rPr>
          <w:rFonts w:ascii="Times New Roman"/>
          <w:b w:val="false"/>
          <w:i w:val="false"/>
          <w:color w:val="000000"/>
          <w:sz w:val="28"/>
        </w:rPr>
        <w:t xml:space="preserve">
      По мере расширения компетенции, будет расширена линейка продуктов КАТУ для оказания консультационной поддержки субъектам АПК при внедрении новых технологий, в том числе путем прямого (с выездом на место) и дистанционного (с использованием технических средств коммуникаций) консультирования. </w:t>
      </w:r>
    </w:p>
    <w:bookmarkEnd w:id="615"/>
    <w:bookmarkStart w:name="z664" w:id="616"/>
    <w:p>
      <w:pPr>
        <w:spacing w:after="0"/>
        <w:ind w:left="0"/>
        <w:jc w:val="both"/>
      </w:pPr>
      <w:r>
        <w:rPr>
          <w:rFonts w:ascii="Times New Roman"/>
          <w:b w:val="false"/>
          <w:i w:val="false"/>
          <w:color w:val="000000"/>
          <w:sz w:val="28"/>
        </w:rPr>
        <w:t>
      Дополнительно, параллельно с созданием ТП "Прикладные информационные системы" будет разрабатываться специальное программное обеспечение для поддержки сельскохозяйственных товаропроизводителей по различным вопросам. Его продвижение на рынок будет осуществляться в форме услуги, предоставляемой КАТУ, или путем создания отдельных инновационных компаний, с привлечением ресурсов предпринимательского сектора, в том числе на базе студенческого бизнес-инкубатора.</w:t>
      </w:r>
    </w:p>
    <w:bookmarkEnd w:id="616"/>
    <w:bookmarkStart w:name="z665" w:id="617"/>
    <w:p>
      <w:pPr>
        <w:spacing w:after="0"/>
        <w:ind w:left="0"/>
        <w:jc w:val="both"/>
      </w:pPr>
      <w:r>
        <w:rPr>
          <w:rFonts w:ascii="Times New Roman"/>
          <w:b w:val="false"/>
          <w:i w:val="false"/>
          <w:color w:val="000000"/>
          <w:sz w:val="28"/>
        </w:rPr>
        <w:t xml:space="preserve">
      С целью улучшения качества подготовки специалистов с техническим и профессиональным образованием будет расширена поддержка колледжей сельскохозяйственного профиля путем обучения преподавателей. Совместно с UC Davis будет модернизировано содержание образовательной программы "Профессиональное обучение". В дополнение к специализациям "Механизация и автоматизация сельскохозяйственного производства" и "Радиоэлектроника и электротехника", к 2023 году будет обеспечен охват всех основных направлений АПК: животноводства, растениеводства, ветеринарии, переработки и хранения сельскохозяйственной продукции, менеджмента в АПК. Кроме того, в образовательную учебную программу будет включена дисциплина по обучению тренерскому мастерству для работы в системе распространения знаний. Для преподавателей колледжей будут разработаны специальные программы повышения квалификации, нацеленные на освоение передовых инноваций в соответствующем направлении, которые будут реализовываться на базе Института повышения квалификации и дополнительного образования КАТУ. </w:t>
      </w:r>
    </w:p>
    <w:bookmarkEnd w:id="617"/>
    <w:bookmarkStart w:name="z666" w:id="618"/>
    <w:p>
      <w:pPr>
        <w:spacing w:after="0"/>
        <w:ind w:left="0"/>
        <w:jc w:val="both"/>
      </w:pPr>
      <w:r>
        <w:rPr>
          <w:rFonts w:ascii="Times New Roman"/>
          <w:b w:val="false"/>
          <w:i w:val="false"/>
          <w:color w:val="000000"/>
          <w:sz w:val="28"/>
        </w:rPr>
        <w:t>
      Другим направлением системы распространения знаний на базе Института повышения квалификации и дополнительного образования КАТУ будет развитие программ дополнительного образования путем разработки дисциплин и курсов, доступных в удаленном режиме. При этом будет обеспечены возможности завершения образовательных программ с присуждением академической степени и прохождения отдельных курсов с выдачей сертификатов.</w:t>
      </w:r>
    </w:p>
    <w:bookmarkEnd w:id="618"/>
    <w:bookmarkStart w:name="z667" w:id="619"/>
    <w:p>
      <w:pPr>
        <w:spacing w:after="0"/>
        <w:ind w:left="0"/>
        <w:jc w:val="both"/>
      </w:pPr>
      <w:r>
        <w:rPr>
          <w:rFonts w:ascii="Times New Roman"/>
          <w:b w:val="false"/>
          <w:i w:val="false"/>
          <w:color w:val="000000"/>
          <w:sz w:val="28"/>
        </w:rPr>
        <w:t>
      На основе успешного опыта организации дистанционного обучения в ведущих в мире университетах, с 2022 года начнется реализация программ дистанционного обучения в новом формате: на основе применения современных информационных технологий, с переносом взаимодействия преподавателя и студентов в виртуальное пространство.</w:t>
      </w:r>
    </w:p>
    <w:bookmarkEnd w:id="619"/>
    <w:bookmarkStart w:name="z668" w:id="620"/>
    <w:p>
      <w:pPr>
        <w:spacing w:after="0"/>
        <w:ind w:left="0"/>
        <w:jc w:val="left"/>
      </w:pPr>
      <w:r>
        <w:rPr>
          <w:rFonts w:ascii="Times New Roman"/>
          <w:b/>
          <w:i w:val="false"/>
          <w:color w:val="000000"/>
        </w:rPr>
        <w:t xml:space="preserve"> Таблица 8.5.1.1 – Целевые индикаторы по распространению знаний</w:t>
      </w:r>
    </w:p>
    <w:bookmarkEnd w:id="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0"/>
        <w:gridCol w:w="2714"/>
        <w:gridCol w:w="1749"/>
        <w:gridCol w:w="1749"/>
        <w:gridCol w:w="1749"/>
        <w:gridCol w:w="1749"/>
        <w:gridCol w:w="1750"/>
      </w:tblGrid>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реализуемых программ по распространению знаний, наим.</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специалистов, обучившихся по программам распространения знаний, чел.</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договоров на консультационную поддержку, ед.</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подготовленных учебных видеофильмов, наим.</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специализаций в рамках образовательной программы "Профессиональное обучение", наим.</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предлагаемых программ повышения квалификации для преподавателей колледжей, наим.</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программ дистанционного и дополнительного образования, наим.</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i w:val="false"/>
          <w:color w:val="000000"/>
          <w:sz w:val="28"/>
        </w:rPr>
        <w:t>8.5.2. Расширение механизмов и повышение эффективности инновационной деятельности</w:t>
      </w:r>
    </w:p>
    <w:bookmarkStart w:name="z670" w:id="621"/>
    <w:p>
      <w:pPr>
        <w:spacing w:after="0"/>
        <w:ind w:left="0"/>
        <w:jc w:val="both"/>
      </w:pPr>
      <w:r>
        <w:rPr>
          <w:rFonts w:ascii="Times New Roman"/>
          <w:b w:val="false"/>
          <w:i w:val="false"/>
          <w:color w:val="000000"/>
          <w:sz w:val="28"/>
        </w:rPr>
        <w:t>
      Офисы коммерциализации технологий являются необходимым звеном ведущих в мире исследовательских университетов для связи академического и делового сообщества. К примеру, при Университете Иерусалима (The Hebrew University of Jerusalem</w:t>
      </w:r>
      <w:r>
        <w:rPr>
          <w:rFonts w:ascii="Times New Roman"/>
          <w:b w:val="false"/>
          <w:i w:val="false"/>
          <w:color w:val="000000"/>
          <w:vertAlign w:val="superscript"/>
        </w:rPr>
        <w:t>31</w:t>
      </w:r>
      <w:r>
        <w:rPr>
          <w:rFonts w:ascii="Times New Roman"/>
          <w:b w:val="false"/>
          <w:i w:val="false"/>
          <w:color w:val="000000"/>
          <w:sz w:val="28"/>
        </w:rPr>
        <w:t>, Израиль) действует офис коммерциализации технологий "Yiussum" (Юссум), входящий в 15 ведущих компаний мира в сфере трансферта технологий. Его ежегодный доход составляет более 100 млн долларов. Основными направлениями деятельности "Юссум" являются контрактные исследования для индустрии, управление интеллектуальной собственностью и создание инновационных компаний на базе научных разработок университета. Распоряжение правами на все инновационные разработки, создаваемые университетом, передаются "Юссум".</w:t>
      </w:r>
    </w:p>
    <w:bookmarkEnd w:id="621"/>
    <w:bookmarkStart w:name="z671" w:id="622"/>
    <w:p>
      <w:pPr>
        <w:spacing w:after="0"/>
        <w:ind w:left="0"/>
        <w:jc w:val="both"/>
      </w:pPr>
      <w:r>
        <w:rPr>
          <w:rFonts w:ascii="Times New Roman"/>
          <w:b w:val="false"/>
          <w:i w:val="false"/>
          <w:color w:val="000000"/>
          <w:sz w:val="28"/>
        </w:rPr>
        <w:t>
      В Республике Казахстан в целом сформированы базовые инструменты государственной поддержки инновационной деятельности, реализуются ряд проектов по поддержке и продвижению инноваций. Однако на уровне научных организаций и вузов (микро-уровень) соответствующие механизмы не получили широкого применения, что ограничивает привлечение ресурсов частного сектора в науку.</w:t>
      </w:r>
    </w:p>
    <w:bookmarkEnd w:id="622"/>
    <w:bookmarkStart w:name="z672" w:id="623"/>
    <w:p>
      <w:pPr>
        <w:spacing w:after="0"/>
        <w:ind w:left="0"/>
        <w:jc w:val="both"/>
      </w:pPr>
      <w:r>
        <w:rPr>
          <w:rFonts w:ascii="Times New Roman"/>
          <w:b w:val="false"/>
          <w:i w:val="false"/>
          <w:color w:val="000000"/>
          <w:sz w:val="28"/>
        </w:rPr>
        <w:t>
      В настоящее время коммерциализация научных результатов КАТУ в основном осуществляется путем проработки инновационных проектов совместно с субъектами предпринимательства (с 2014 года) и производства продукции или оказания услуг с использованием инфраструктуры КАТУ (с 2019 года).</w:t>
      </w:r>
    </w:p>
    <w:bookmarkEnd w:id="623"/>
    <w:bookmarkStart w:name="z673" w:id="624"/>
    <w:p>
      <w:pPr>
        <w:spacing w:after="0"/>
        <w:ind w:left="0"/>
        <w:jc w:val="both"/>
      </w:pPr>
      <w:r>
        <w:rPr>
          <w:rFonts w:ascii="Times New Roman"/>
          <w:b w:val="false"/>
          <w:i w:val="false"/>
          <w:color w:val="000000"/>
          <w:sz w:val="28"/>
        </w:rPr>
        <w:t xml:space="preserve">
      В рамках реализации Программы функции Офиса коммерциализации технологий КАТУ будут расширены в направлениях: </w:t>
      </w:r>
    </w:p>
    <w:bookmarkEnd w:id="624"/>
    <w:bookmarkStart w:name="z674" w:id="625"/>
    <w:p>
      <w:pPr>
        <w:spacing w:after="0"/>
        <w:ind w:left="0"/>
        <w:jc w:val="both"/>
      </w:pPr>
      <w:r>
        <w:rPr>
          <w:rFonts w:ascii="Times New Roman"/>
          <w:b w:val="false"/>
          <w:i w:val="false"/>
          <w:color w:val="000000"/>
          <w:sz w:val="28"/>
        </w:rPr>
        <w:t>
      1) квалифицированного управления интеллектуальной собственностью (с 2021 года);</w:t>
      </w:r>
    </w:p>
    <w:bookmarkEnd w:id="625"/>
    <w:bookmarkStart w:name="z675" w:id="626"/>
    <w:p>
      <w:pPr>
        <w:spacing w:after="0"/>
        <w:ind w:left="0"/>
        <w:jc w:val="both"/>
      </w:pPr>
      <w:r>
        <w:rPr>
          <w:rFonts w:ascii="Times New Roman"/>
          <w:b w:val="false"/>
          <w:i w:val="false"/>
          <w:color w:val="000000"/>
          <w:sz w:val="28"/>
        </w:rPr>
        <w:t>
      2) организации контрактных исследований по заказу субъектов предпринимательства (с 2022 года);</w:t>
      </w:r>
    </w:p>
    <w:bookmarkEnd w:id="626"/>
    <w:bookmarkStart w:name="z676" w:id="627"/>
    <w:p>
      <w:pPr>
        <w:spacing w:after="0"/>
        <w:ind w:left="0"/>
        <w:jc w:val="both"/>
      </w:pPr>
      <w:r>
        <w:rPr>
          <w:rFonts w:ascii="Times New Roman"/>
          <w:b w:val="false"/>
          <w:i w:val="false"/>
          <w:color w:val="000000"/>
          <w:sz w:val="28"/>
        </w:rPr>
        <w:t>
      3) продвижения объектов интеллектуальной собственности посредством заключения лицензионных договоров (с 2023 года).</w:t>
      </w:r>
    </w:p>
    <w:bookmarkEnd w:id="627"/>
    <w:bookmarkStart w:name="z677" w:id="628"/>
    <w:p>
      <w:pPr>
        <w:spacing w:after="0"/>
        <w:ind w:left="0"/>
        <w:jc w:val="both"/>
      </w:pPr>
      <w:r>
        <w:rPr>
          <w:rFonts w:ascii="Times New Roman"/>
          <w:b w:val="false"/>
          <w:i w:val="false"/>
          <w:color w:val="000000"/>
          <w:sz w:val="28"/>
        </w:rPr>
        <w:t>
      Стратегией в сфере реализации совместных проектов с субъектами предпринимательства будет создание инновационных компаний на основе разработок КАТУ, с участием КАТУ в их уставном капитале, а также применение альтернативных бизнес-моделей, обеспечивающих высокую экономическую эффективность. Источниками финансирования совместных проектов будут средства партнеров и организаций, осуществляющих поддержку инновационных проектов, спонсорские средства и другие ресурсы негосударственного сектора, и собственные ресурсы КАТУ.</w:t>
      </w:r>
    </w:p>
    <w:bookmarkEnd w:id="628"/>
    <w:bookmarkStart w:name="z678" w:id="629"/>
    <w:p>
      <w:pPr>
        <w:spacing w:after="0"/>
        <w:ind w:left="0"/>
        <w:jc w:val="both"/>
      </w:pPr>
      <w:r>
        <w:rPr>
          <w:rFonts w:ascii="Times New Roman"/>
          <w:b w:val="false"/>
          <w:i w:val="false"/>
          <w:color w:val="000000"/>
          <w:sz w:val="28"/>
        </w:rPr>
        <w:t>
      _________________________________</w:t>
      </w:r>
    </w:p>
    <w:bookmarkEnd w:id="629"/>
    <w:bookmarkStart w:name="z679" w:id="63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31</w:t>
      </w:r>
      <w:r>
        <w:rPr>
          <w:rFonts w:ascii="Times New Roman"/>
          <w:b w:val="false"/>
          <w:i w:val="false"/>
          <w:color w:val="000000"/>
          <w:sz w:val="28"/>
        </w:rPr>
        <w:t>TheHebrewUniversityofJerusalem-единственный университет в Израиле, имеющий сельскохозяйственный факультет; входит в 150 лучших университетов мира в сфере сельского и лесного хозяйства по рейтингу QS, а также в 250 ведущих университетов в в мире по рейтингу TimesHigherEducationWorldUniversityRankings</w:t>
      </w:r>
    </w:p>
    <w:bookmarkEnd w:id="6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80" w:id="631"/>
    <w:p>
      <w:pPr>
        <w:spacing w:after="0"/>
        <w:ind w:left="0"/>
        <w:jc w:val="both"/>
      </w:pPr>
      <w:r>
        <w:rPr>
          <w:rFonts w:ascii="Times New Roman"/>
          <w:b w:val="false"/>
          <w:i w:val="false"/>
          <w:color w:val="000000"/>
          <w:sz w:val="28"/>
        </w:rPr>
        <w:t xml:space="preserve">
      С 2021 года будет внедрена новая Патентная политика КАТУ, нацеленная на эффективную защиту и коммерциализацию создаваемых объектов интеллектуальной собственности, включающая собственную систему оценки потенциала коммерциализации каждого объекта и разработку индивидуальной стратегии его реализации. По мере появления собственных селекционных достижений, одним из направлений деятельности Офиса коммерциализации технологий станет организация их тиражирования и продвижение на рынок. </w:t>
      </w:r>
    </w:p>
    <w:bookmarkEnd w:id="631"/>
    <w:bookmarkStart w:name="z681" w:id="632"/>
    <w:p>
      <w:pPr>
        <w:spacing w:after="0"/>
        <w:ind w:left="0"/>
        <w:jc w:val="both"/>
      </w:pPr>
      <w:r>
        <w:rPr>
          <w:rFonts w:ascii="Times New Roman"/>
          <w:b w:val="false"/>
          <w:i w:val="false"/>
          <w:color w:val="000000"/>
          <w:sz w:val="28"/>
        </w:rPr>
        <w:t>
      С целью поддержки инициатив обучающихся и молодых ученых КАТУ по развитию предпринимательства, в 2021 году будет создан студенческий бизнес-инкубатор. Его миссией будет обеспечение условий для создания и развития предпринимательских проектов в студенческой среде. Поддержка проектов со стороны КАТУ будет осуществляться путем поиска инвесторов и финансирования, консультационной, организационной и методической поддержки.</w:t>
      </w:r>
    </w:p>
    <w:bookmarkEnd w:id="632"/>
    <w:bookmarkStart w:name="z682" w:id="633"/>
    <w:p>
      <w:pPr>
        <w:spacing w:after="0"/>
        <w:ind w:left="0"/>
        <w:jc w:val="both"/>
      </w:pPr>
      <w:r>
        <w:rPr>
          <w:rFonts w:ascii="Times New Roman"/>
          <w:b w:val="false"/>
          <w:i w:val="false"/>
          <w:color w:val="000000"/>
          <w:sz w:val="28"/>
        </w:rPr>
        <w:t>
      Будет расширяться поддержка студенческой команды ENACTUS – KATU, с поэтапным увеличением ежегодного бюджета команды до 3 млн тенге в год. Целью работы в данном направлении будет вхождение в тройку лидеров национальных чемпионатов по ENACTUS.</w:t>
      </w:r>
    </w:p>
    <w:bookmarkEnd w:id="633"/>
    <w:bookmarkStart w:name="z683" w:id="634"/>
    <w:p>
      <w:pPr>
        <w:spacing w:after="0"/>
        <w:ind w:left="0"/>
        <w:jc w:val="left"/>
      </w:pPr>
      <w:r>
        <w:rPr>
          <w:rFonts w:ascii="Times New Roman"/>
          <w:b/>
          <w:i w:val="false"/>
          <w:color w:val="000000"/>
        </w:rPr>
        <w:t xml:space="preserve"> Таблица 8.5.2.1 – Целевые индикаторы по коммерциализации научных результатов</w:t>
      </w:r>
    </w:p>
    <w:bookmarkEnd w:id="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5"/>
        <w:gridCol w:w="3344"/>
        <w:gridCol w:w="1634"/>
        <w:gridCol w:w="1634"/>
        <w:gridCol w:w="1634"/>
        <w:gridCol w:w="1634"/>
        <w:gridCol w:w="1635"/>
      </w:tblGrid>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действующих лицензионных договоров, ед.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старт-ап компаний на основе научных результатов КАТУ (с нарастающим итогом), ед.</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проектов на базе студенческого бизнес-инкубатора КАТУ( с нарастающим итогом), наим.</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договоров на проведение контрактных исследований, ед.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bookmarkStart w:name="z684" w:id="635"/>
    <w:p>
      <w:pPr>
        <w:spacing w:after="0"/>
        <w:ind w:left="0"/>
        <w:jc w:val="both"/>
      </w:pPr>
      <w:r>
        <w:rPr>
          <w:rFonts w:ascii="Times New Roman"/>
          <w:b w:val="false"/>
          <w:i w:val="false"/>
          <w:color w:val="000000"/>
          <w:sz w:val="28"/>
        </w:rPr>
        <w:t>
      Для ускорения коммерциализации научных результатов в практику будет применен подход по включению компонента коммерциализации научных результатов, в рамках выполняемых ИНТП и научных проектов.</w:t>
      </w:r>
    </w:p>
    <w:bookmarkEnd w:id="635"/>
    <w:p>
      <w:pPr>
        <w:spacing w:after="0"/>
        <w:ind w:left="0"/>
        <w:jc w:val="both"/>
      </w:pPr>
      <w:r>
        <w:rPr>
          <w:rFonts w:ascii="Times New Roman"/>
          <w:b/>
          <w:i w:val="false"/>
          <w:color w:val="000000"/>
          <w:sz w:val="28"/>
        </w:rPr>
        <w:t>8.5.3. Интеграция ресурсов в единую систему поддержки трансферта зарубежных технологий</w:t>
      </w:r>
    </w:p>
    <w:bookmarkStart w:name="z686" w:id="636"/>
    <w:p>
      <w:pPr>
        <w:spacing w:after="0"/>
        <w:ind w:left="0"/>
        <w:jc w:val="both"/>
      </w:pPr>
      <w:r>
        <w:rPr>
          <w:rFonts w:ascii="Times New Roman"/>
          <w:b w:val="false"/>
          <w:i w:val="false"/>
          <w:color w:val="000000"/>
          <w:sz w:val="28"/>
        </w:rPr>
        <w:t>
      С целью ускорения модернизации отечественного АПК и сокращения технологического разрыва между Республикой Казахстан и странами – технологическими лидерами, в соответствии с политикой КАТУ в области развития инновационного потенциала (см. раздел 7.2.) на основе сочетания научных исследований, подготовки кадров, коммерциализации научных результатов и распространения знаний будет развернута комплексная система трансферта успешных зарубежных технологий (см. рисунок 8.5.3.1).</w:t>
      </w:r>
    </w:p>
    <w:bookmarkEnd w:id="636"/>
    <w:bookmarkStart w:name="z687" w:id="637"/>
    <w:p>
      <w:pPr>
        <w:spacing w:after="0"/>
        <w:ind w:left="0"/>
        <w:jc w:val="both"/>
      </w:pPr>
      <w:r>
        <w:rPr>
          <w:rFonts w:ascii="Times New Roman"/>
          <w:b w:val="false"/>
          <w:i w:val="false"/>
          <w:color w:val="000000"/>
          <w:sz w:val="28"/>
        </w:rPr>
        <w:t>
      На регулярной основе будет проводиться целенаправленная работа по поиску подходящих технологий, их испытанию в условиях Казахстана (при необходимости – с адаптацией к местным условиям) и последующему внедрению положительного опыта в практику. Формой реализации трансферта технологий станут ИНТП, с привлечением соответствующих структурных подразделений КАТУ (факультетов, технологических платформ, центров) и заинтересованных субъектов предпринимательского сектора. С учетом применимости, компонент по испытанию и адаптации успешных зарубежных технологий будет прорабатываться в рамках каждой ИНТП (см. раздел 8.4.2.).</w:t>
      </w:r>
    </w:p>
    <w:bookmarkEnd w:id="637"/>
    <w:bookmarkStart w:name="z688" w:id="638"/>
    <w:p>
      <w:pPr>
        <w:spacing w:after="0"/>
        <w:ind w:left="0"/>
        <w:jc w:val="both"/>
      </w:pPr>
      <w:r>
        <w:rPr>
          <w:rFonts w:ascii="Times New Roman"/>
          <w:b w:val="false"/>
          <w:i w:val="false"/>
          <w:color w:val="000000"/>
          <w:sz w:val="28"/>
        </w:rPr>
        <w:t xml:space="preserve">
      </w:t>
      </w:r>
    </w:p>
    <w:bookmarkEnd w:id="638"/>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9" w:id="639"/>
    <w:p>
      <w:pPr>
        <w:spacing w:after="0"/>
        <w:ind w:left="0"/>
        <w:jc w:val="both"/>
      </w:pPr>
      <w:r>
        <w:rPr>
          <w:rFonts w:ascii="Times New Roman"/>
          <w:b w:val="false"/>
          <w:i w:val="false"/>
          <w:color w:val="000000"/>
          <w:sz w:val="28"/>
        </w:rPr>
        <w:t>
      Рисунок 8.5.3.1 – Схема организации трансферта зарубежных технологий в КАТУ</w:t>
      </w:r>
    </w:p>
    <w:bookmarkEnd w:id="639"/>
    <w:bookmarkStart w:name="z690" w:id="640"/>
    <w:p>
      <w:pPr>
        <w:spacing w:after="0"/>
        <w:ind w:left="0"/>
        <w:jc w:val="both"/>
      </w:pPr>
      <w:r>
        <w:rPr>
          <w:rFonts w:ascii="Times New Roman"/>
          <w:b w:val="false"/>
          <w:i w:val="false"/>
          <w:color w:val="000000"/>
          <w:sz w:val="28"/>
        </w:rPr>
        <w:t>
      Полученные результаты будут внедряться в практику посредством включения соответствующих модулей в образовательные программы КАТУ, оказания услуг на основе освоенных компетенций, и реализации программ в рамках системы распространения знаний. С учетом освоенных компетенций будет оснащаться соответствующая инфраструктура – демонстрационные стационары площадки и т.д.</w:t>
      </w:r>
    </w:p>
    <w:bookmarkEnd w:id="640"/>
    <w:bookmarkStart w:name="z691" w:id="641"/>
    <w:p>
      <w:pPr>
        <w:spacing w:after="0"/>
        <w:ind w:left="0"/>
        <w:jc w:val="both"/>
      </w:pPr>
      <w:r>
        <w:rPr>
          <w:rFonts w:ascii="Times New Roman"/>
          <w:b w:val="false"/>
          <w:i w:val="false"/>
          <w:color w:val="000000"/>
          <w:sz w:val="28"/>
        </w:rPr>
        <w:t xml:space="preserve">
      Для трансферта через изучение зарубежных технологий на базе КАТУ продолжится создание международных центров компетенции совместно с академическими и не академическими партнерами – носителями технологий. Акцент будет сделан на освоение знаний и инноваций, являющихся основой изучаемых технологий, с целью их последующего применения в научно-исследовательской и образовательной деятельности. Базой для создания международных центров будут служить кампусы и технологические платформы КАТУ. Для поиска и привлечения потенциальных партнеров будут использоваться партнерские связи зарубежных университетов и научных организаций, сотрудничающих с КАТУ, а также ресурсы дипломатических представительств зарубежных стран в Республике Казахстан. </w:t>
      </w:r>
    </w:p>
    <w:bookmarkEnd w:id="641"/>
    <w:bookmarkStart w:name="z692" w:id="642"/>
    <w:p>
      <w:pPr>
        <w:spacing w:after="0"/>
        <w:ind w:left="0"/>
        <w:jc w:val="both"/>
      </w:pPr>
      <w:r>
        <w:rPr>
          <w:rFonts w:ascii="Times New Roman"/>
          <w:b w:val="false"/>
          <w:i w:val="false"/>
          <w:color w:val="000000"/>
          <w:sz w:val="28"/>
        </w:rPr>
        <w:t>
      Источниками финансирования расходов на создание и оснащение международных центров компетенции будут средства организаций-партнеров. Текущие расходы будут финансироваться КАТУ совместно с организациями-партнерами. Всего до конца 2024 году на развитие КАТУ из зарубежных источников планируется привлечь не менее 2 млн доллара.</w:t>
      </w:r>
    </w:p>
    <w:bookmarkEnd w:id="642"/>
    <w:bookmarkStart w:name="z693" w:id="643"/>
    <w:p>
      <w:pPr>
        <w:spacing w:after="0"/>
        <w:ind w:left="0"/>
        <w:jc w:val="left"/>
      </w:pPr>
      <w:r>
        <w:rPr>
          <w:rFonts w:ascii="Times New Roman"/>
          <w:b/>
          <w:i w:val="false"/>
          <w:color w:val="000000"/>
        </w:rPr>
        <w:t xml:space="preserve"> Таблица 8.5.3.1 – Целевые индикаторы по трансферту зарубежных технологий</w:t>
      </w:r>
    </w:p>
    <w:bookmarkEnd w:id="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1"/>
        <w:gridCol w:w="1556"/>
        <w:gridCol w:w="1960"/>
        <w:gridCol w:w="1960"/>
        <w:gridCol w:w="1961"/>
        <w:gridCol w:w="1961"/>
        <w:gridCol w:w="1961"/>
      </w:tblGrid>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международных центров компетенции, наим.</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i w:val="false"/>
          <w:color w:val="000000"/>
          <w:sz w:val="28"/>
        </w:rPr>
        <w:t xml:space="preserve">8.5.4. Поддержка продвижения КАТУ </w:t>
      </w:r>
    </w:p>
    <w:bookmarkStart w:name="z695" w:id="644"/>
    <w:p>
      <w:pPr>
        <w:spacing w:after="0"/>
        <w:ind w:left="0"/>
        <w:jc w:val="both"/>
      </w:pPr>
      <w:r>
        <w:rPr>
          <w:rFonts w:ascii="Times New Roman"/>
          <w:b w:val="false"/>
          <w:i w:val="false"/>
          <w:color w:val="000000"/>
          <w:sz w:val="28"/>
        </w:rPr>
        <w:t>
      В целях формирования благоприятного партнерского окружения, привлечения ресурсов и расширения деловых связей будет активизирована работа по формированию положительного имиджа КАТУ в среде:</w:t>
      </w:r>
    </w:p>
    <w:bookmarkEnd w:id="644"/>
    <w:bookmarkStart w:name="z696" w:id="645"/>
    <w:p>
      <w:pPr>
        <w:spacing w:after="0"/>
        <w:ind w:left="0"/>
        <w:jc w:val="both"/>
      </w:pPr>
      <w:r>
        <w:rPr>
          <w:rFonts w:ascii="Times New Roman"/>
          <w:b w:val="false"/>
          <w:i w:val="false"/>
          <w:color w:val="000000"/>
          <w:sz w:val="28"/>
        </w:rPr>
        <w:t>
      1) абитуриентов, обучающихся и их родителей;</w:t>
      </w:r>
    </w:p>
    <w:bookmarkEnd w:id="645"/>
    <w:bookmarkStart w:name="z697" w:id="646"/>
    <w:p>
      <w:pPr>
        <w:spacing w:after="0"/>
        <w:ind w:left="0"/>
        <w:jc w:val="both"/>
      </w:pPr>
      <w:r>
        <w:rPr>
          <w:rFonts w:ascii="Times New Roman"/>
          <w:b w:val="false"/>
          <w:i w:val="false"/>
          <w:color w:val="000000"/>
          <w:sz w:val="28"/>
        </w:rPr>
        <w:t>
      2) субъектов предпринимательства и их объединений, в особенности действующих в АПК;</w:t>
      </w:r>
    </w:p>
    <w:bookmarkEnd w:id="646"/>
    <w:bookmarkStart w:name="z698" w:id="647"/>
    <w:p>
      <w:pPr>
        <w:spacing w:after="0"/>
        <w:ind w:left="0"/>
        <w:jc w:val="both"/>
      </w:pPr>
      <w:r>
        <w:rPr>
          <w:rFonts w:ascii="Times New Roman"/>
          <w:b w:val="false"/>
          <w:i w:val="false"/>
          <w:color w:val="000000"/>
          <w:sz w:val="28"/>
        </w:rPr>
        <w:t>
      3) ведущих в мире зарубежных научных организаций и университетов, профессоров и ученых;</w:t>
      </w:r>
    </w:p>
    <w:bookmarkEnd w:id="647"/>
    <w:bookmarkStart w:name="z699" w:id="648"/>
    <w:p>
      <w:pPr>
        <w:spacing w:after="0"/>
        <w:ind w:left="0"/>
        <w:jc w:val="both"/>
      </w:pPr>
      <w:r>
        <w:rPr>
          <w:rFonts w:ascii="Times New Roman"/>
          <w:b w:val="false"/>
          <w:i w:val="false"/>
          <w:color w:val="000000"/>
          <w:sz w:val="28"/>
        </w:rPr>
        <w:t xml:space="preserve">
      4) казахстанского научного и академического сообщества. </w:t>
      </w:r>
    </w:p>
    <w:bookmarkEnd w:id="648"/>
    <w:bookmarkStart w:name="z700" w:id="649"/>
    <w:p>
      <w:pPr>
        <w:spacing w:after="0"/>
        <w:ind w:left="0"/>
        <w:jc w:val="both"/>
      </w:pPr>
      <w:r>
        <w:rPr>
          <w:rFonts w:ascii="Times New Roman"/>
          <w:b w:val="false"/>
          <w:i w:val="false"/>
          <w:color w:val="000000"/>
          <w:sz w:val="28"/>
        </w:rPr>
        <w:t xml:space="preserve">
      Для продвижения КАТУ будут применяться различные каналы коммуникации: официальный сайт, печатные и электронные средства массовой информации, социальные сети, участие в республиканских и международных выставках и конференциях. </w:t>
      </w:r>
    </w:p>
    <w:bookmarkEnd w:id="649"/>
    <w:bookmarkStart w:name="z701" w:id="650"/>
    <w:p>
      <w:pPr>
        <w:spacing w:after="0"/>
        <w:ind w:left="0"/>
        <w:jc w:val="both"/>
      </w:pPr>
      <w:r>
        <w:rPr>
          <w:rFonts w:ascii="Times New Roman"/>
          <w:b w:val="false"/>
          <w:i w:val="false"/>
          <w:color w:val="000000"/>
          <w:sz w:val="28"/>
        </w:rPr>
        <w:t>
      Продвижение официального сайта КАТУ приведет к оптимизации его структуры и содержания, публикации аналитических материалов, практических результатов научной и инновационной деятельности, расширения функционала, доступного пользователям (организация стажировок, трудоустройство и другое).</w:t>
      </w:r>
    </w:p>
    <w:bookmarkEnd w:id="650"/>
    <w:bookmarkStart w:name="z702" w:id="651"/>
    <w:p>
      <w:pPr>
        <w:spacing w:after="0"/>
        <w:ind w:left="0"/>
        <w:jc w:val="both"/>
      </w:pPr>
      <w:r>
        <w:rPr>
          <w:rFonts w:ascii="Times New Roman"/>
          <w:b w:val="false"/>
          <w:i w:val="false"/>
          <w:color w:val="000000"/>
          <w:sz w:val="28"/>
        </w:rPr>
        <w:t>
      Для продвижения научных результатов будет реформирован журнал "Вестник науки КазАТУ". Целью реформы станет повышение популярности и авторитета в научной среде. Данную работу планируется проводить в партнерстве с известными в мире издательствами и наукометрическими базами, а также зарубежными организация и партнерами КАТУ. В составе КАТУ будет создано издательство как самостоятельное структурное подразделение. В качестве результата реформы ожидается включение журнала "Вестник науки КазАТУ" в одну из международных наукометрических баз данных до 2025 года.</w:t>
      </w:r>
    </w:p>
    <w:bookmarkEnd w:id="651"/>
    <w:bookmarkStart w:name="z703" w:id="652"/>
    <w:p>
      <w:pPr>
        <w:spacing w:after="0"/>
        <w:ind w:left="0"/>
        <w:jc w:val="both"/>
      </w:pPr>
      <w:r>
        <w:rPr>
          <w:rFonts w:ascii="Times New Roman"/>
          <w:b w:val="false"/>
          <w:i w:val="false"/>
          <w:color w:val="000000"/>
          <w:sz w:val="28"/>
        </w:rPr>
        <w:t>
      Дополнительно, для улучшения репутации КАТУ в системе мировой аграрной науки, совместно с организациями-партнерами будут проводиться не менее одной международной конференции в год по наиболее актуальным направлениям развития науки и технологий. Начиная с 2023 года, конференции будут проводиться полностью на английском языке.</w:t>
      </w:r>
    </w:p>
    <w:bookmarkEnd w:id="652"/>
    <w:bookmarkStart w:name="z704" w:id="653"/>
    <w:p>
      <w:pPr>
        <w:spacing w:after="0"/>
        <w:ind w:left="0"/>
        <w:jc w:val="both"/>
      </w:pPr>
      <w:r>
        <w:rPr>
          <w:rFonts w:ascii="Times New Roman"/>
          <w:b w:val="false"/>
          <w:i w:val="false"/>
          <w:color w:val="000000"/>
          <w:sz w:val="28"/>
        </w:rPr>
        <w:t>
      Для привлечения абитуриентов получит дополнительную поддержку развитие студенческой самодеятельности и спорта. Традиционно, КАТУ знаменит высокими достижениями в области студенческой самодеятельности. В 2018 году на базе Факультета искусства и творчества КАТУ действовали танцевальный ансамбль "Шаттық", 2 вокальных групп, оркестр национальных инструментов "Шабыт", студенческий театр "Ақжелкен", 4 студенческих команды КВН. Всего в указанных клубах заняты 154 обучающихся. С целью расширения охвата обучающихся творческими кружками и секциями, указанное направление (самодеятельность, творческие кружки) получит дополнительную поддержку. Финансирование затрат будет осуществляться за счет собственных средств КАТУ, спонсорской помощи и других источников.</w:t>
      </w:r>
    </w:p>
    <w:bookmarkEnd w:id="653"/>
    <w:bookmarkStart w:name="z705" w:id="654"/>
    <w:p>
      <w:pPr>
        <w:spacing w:after="0"/>
        <w:ind w:left="0"/>
        <w:jc w:val="both"/>
      </w:pPr>
      <w:r>
        <w:rPr>
          <w:rFonts w:ascii="Times New Roman"/>
          <w:b w:val="false"/>
          <w:i w:val="false"/>
          <w:color w:val="000000"/>
          <w:sz w:val="28"/>
        </w:rPr>
        <w:t>
      Для продвижения КАТУ в студенческой среде будет расширена поддержка спортивных команд. В вопросах формирования спортивной инфраструктуры и улучшения качества спортивных результатов КАТУ сконцентрируется на 3-5 основных видах спорта, в которых имеется наибольший потенциал к достижению высоких результатов. Приоритет будет отдаваться видам спорта, по которым проводятся официальные соревнования в рамках национальных студенческих лиг. Целевыми индикаторами является вхождение в тройку лидеров, начиная с 2023 года, по результатам национальных студенческих соревнований.</w:t>
      </w:r>
    </w:p>
    <w:bookmarkEnd w:id="654"/>
    <w:bookmarkStart w:name="z706" w:id="655"/>
    <w:p>
      <w:pPr>
        <w:spacing w:after="0"/>
        <w:ind w:left="0"/>
        <w:jc w:val="both"/>
      </w:pPr>
      <w:r>
        <w:rPr>
          <w:rFonts w:ascii="Times New Roman"/>
          <w:b w:val="false"/>
          <w:i w:val="false"/>
          <w:color w:val="000000"/>
          <w:sz w:val="28"/>
        </w:rPr>
        <w:t>
      Для привлечения талантливых спортсменов в КАТУ, начиная с 2022 года, для них будут выделяться специальные гранты, оплачиваемые из собственных средств КАТУ или из спонсорских средств.</w:t>
      </w:r>
    </w:p>
    <w:bookmarkEnd w:id="655"/>
    <w:bookmarkStart w:name="z707" w:id="656"/>
    <w:p>
      <w:pPr>
        <w:spacing w:after="0"/>
        <w:ind w:left="0"/>
        <w:jc w:val="left"/>
      </w:pPr>
      <w:r>
        <w:rPr>
          <w:rFonts w:ascii="Times New Roman"/>
          <w:b/>
          <w:i w:val="false"/>
          <w:color w:val="000000"/>
        </w:rPr>
        <w:t xml:space="preserve"> Таблица 8.5.4.1 – Целевые индикаторы по позиционированию КАТУ</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5"/>
        <w:gridCol w:w="2771"/>
        <w:gridCol w:w="1738"/>
        <w:gridCol w:w="1739"/>
        <w:gridCol w:w="1739"/>
        <w:gridCol w:w="1739"/>
        <w:gridCol w:w="1739"/>
      </w:tblGrid>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Позиция сайта КАТУ в национальном рейтинге сайтов вузов</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50</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40</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сюжетов о КАТУ на республиканских телеканалах, выпусков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грантов КАТУ для талантливых спортсменов (с нарастающим итогом), ед.</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i w:val="false"/>
          <w:color w:val="000000"/>
          <w:sz w:val="28"/>
        </w:rPr>
        <w:t>8.6. Модернизация существующей и создание недостающей инфраструктуры</w:t>
      </w:r>
    </w:p>
    <w:bookmarkStart w:name="z709" w:id="657"/>
    <w:p>
      <w:pPr>
        <w:spacing w:after="0"/>
        <w:ind w:left="0"/>
        <w:jc w:val="both"/>
      </w:pPr>
      <w:r>
        <w:rPr>
          <w:rFonts w:ascii="Times New Roman"/>
          <w:b w:val="false"/>
          <w:i w:val="false"/>
          <w:color w:val="000000"/>
          <w:sz w:val="28"/>
        </w:rPr>
        <w:t xml:space="preserve">
      С целью практической реализации всех запланированных реформ, для приведения инфраструктуры КАТУ в соответствие с новыми условиями для научных исследований, образовательного процесса и продвижения результатов деятельности будет реализован комплекс мероприятий по модернизации существующих объектов, созданию дополнительно необходимых объектов, и расширению технологических платформ в соответствии с академическим профилем КАТУ. </w:t>
      </w:r>
    </w:p>
    <w:bookmarkEnd w:id="657"/>
    <w:p>
      <w:pPr>
        <w:spacing w:after="0"/>
        <w:ind w:left="0"/>
        <w:jc w:val="both"/>
      </w:pPr>
      <w:r>
        <w:rPr>
          <w:rFonts w:ascii="Times New Roman"/>
          <w:b/>
          <w:i w:val="false"/>
          <w:color w:val="000000"/>
          <w:sz w:val="28"/>
        </w:rPr>
        <w:t>8.6.1. Развитие кампусной сети</w:t>
      </w:r>
    </w:p>
    <w:bookmarkStart w:name="z711" w:id="658"/>
    <w:p>
      <w:pPr>
        <w:spacing w:after="0"/>
        <w:ind w:left="0"/>
        <w:jc w:val="both"/>
      </w:pPr>
      <w:r>
        <w:rPr>
          <w:rFonts w:ascii="Times New Roman"/>
          <w:b w:val="false"/>
          <w:i w:val="false"/>
          <w:color w:val="000000"/>
          <w:sz w:val="28"/>
        </w:rPr>
        <w:t xml:space="preserve">
      Как свидетельствует опыт ведущих в мире исследовательских университетов, развитая система специализированных кампусов обеспечивает эффективное взаимодействие с локальными выгодополучателями и является критическим условием для поддержания высокого качества научных исследований и подготовки кадров. </w:t>
      </w:r>
    </w:p>
    <w:bookmarkEnd w:id="658"/>
    <w:bookmarkStart w:name="z712" w:id="659"/>
    <w:p>
      <w:pPr>
        <w:spacing w:after="0"/>
        <w:ind w:left="0"/>
        <w:jc w:val="both"/>
      </w:pPr>
      <w:r>
        <w:rPr>
          <w:rFonts w:ascii="Times New Roman"/>
          <w:b w:val="false"/>
          <w:i w:val="false"/>
          <w:color w:val="000000"/>
          <w:sz w:val="28"/>
        </w:rPr>
        <w:t xml:space="preserve">
      Главный кампус будет развиваться в направлении фундаментальных наук, биотехнологии, сельскохозяйственной и биологической инженерии, компьютерных технологий, в том числе биоинформатики, экономики АПК, промышленного и ландшафтного дизайна, и других направлений, не требующих нахождения в специальной среде. </w:t>
      </w:r>
    </w:p>
    <w:bookmarkEnd w:id="659"/>
    <w:bookmarkStart w:name="z713" w:id="660"/>
    <w:p>
      <w:pPr>
        <w:spacing w:after="0"/>
        <w:ind w:left="0"/>
        <w:jc w:val="both"/>
      </w:pPr>
      <w:r>
        <w:rPr>
          <w:rFonts w:ascii="Times New Roman"/>
          <w:b w:val="false"/>
          <w:i w:val="false"/>
          <w:color w:val="000000"/>
          <w:sz w:val="28"/>
        </w:rPr>
        <w:t>
      Кампус "Учхоз" будет развиваться в направлении науки о животных, технологий животноводства и ветеринарии. Помимо охотоведения, кампус "Дударай" будет развиваться в направлении озерно-товарного рыбоводства и управления природными экосистемами.</w:t>
      </w:r>
    </w:p>
    <w:bookmarkEnd w:id="660"/>
    <w:bookmarkStart w:name="z714" w:id="661"/>
    <w:p>
      <w:pPr>
        <w:spacing w:after="0"/>
        <w:ind w:left="0"/>
        <w:jc w:val="both"/>
      </w:pPr>
      <w:r>
        <w:rPr>
          <w:rFonts w:ascii="Times New Roman"/>
          <w:b w:val="false"/>
          <w:i w:val="false"/>
          <w:color w:val="000000"/>
          <w:sz w:val="28"/>
        </w:rPr>
        <w:t>
      Научно-экспериментальный кампус полевых работ будет развиваться в качестве основной площадки в сухостепной зоне центрального Казахстана. Земельный участок, полученный КАТУ в марте 2015 года сроком на 10 лет, по завершению освоения в 2023 году будет выкуплен в собственность КАТУ.</w:t>
      </w:r>
    </w:p>
    <w:bookmarkEnd w:id="661"/>
    <w:bookmarkStart w:name="z715" w:id="662"/>
    <w:p>
      <w:pPr>
        <w:spacing w:after="0"/>
        <w:ind w:left="0"/>
        <w:jc w:val="both"/>
      </w:pPr>
      <w:r>
        <w:rPr>
          <w:rFonts w:ascii="Times New Roman"/>
          <w:b w:val="false"/>
          <w:i w:val="false"/>
          <w:color w:val="000000"/>
          <w:sz w:val="28"/>
        </w:rPr>
        <w:t>
      Дополнительно, в целях интеграции и развития образовательной, научно-исследовательской базы в КАТУ будут переданы дочерние организации НАО "Национальный аграрный научно-образовательный центр":</w:t>
      </w:r>
    </w:p>
    <w:bookmarkEnd w:id="662"/>
    <w:bookmarkStart w:name="z716" w:id="663"/>
    <w:p>
      <w:pPr>
        <w:spacing w:after="0"/>
        <w:ind w:left="0"/>
        <w:jc w:val="both"/>
      </w:pPr>
      <w:r>
        <w:rPr>
          <w:rFonts w:ascii="Times New Roman"/>
          <w:b w:val="false"/>
          <w:i w:val="false"/>
          <w:color w:val="000000"/>
          <w:sz w:val="28"/>
        </w:rPr>
        <w:t>
      ТОО "Научно-производственный центр зернового хозяйства имени А.И. Бараева" (пос. Научный, Шортандинский район, Акмолинская область);</w:t>
      </w:r>
    </w:p>
    <w:bookmarkEnd w:id="663"/>
    <w:bookmarkStart w:name="z717" w:id="664"/>
    <w:p>
      <w:pPr>
        <w:spacing w:after="0"/>
        <w:ind w:left="0"/>
        <w:jc w:val="both"/>
      </w:pPr>
      <w:r>
        <w:rPr>
          <w:rFonts w:ascii="Times New Roman"/>
          <w:b w:val="false"/>
          <w:i w:val="false"/>
          <w:color w:val="000000"/>
          <w:sz w:val="28"/>
        </w:rPr>
        <w:t>
      ТОО "Казахский НИИ лесного хозяйства и агролесомелиорации имени А.Н. Бокейхана" (г. Щучинск, Акмолинская область);</w:t>
      </w:r>
    </w:p>
    <w:bookmarkEnd w:id="664"/>
    <w:bookmarkStart w:name="z718" w:id="665"/>
    <w:p>
      <w:pPr>
        <w:spacing w:after="0"/>
        <w:ind w:left="0"/>
        <w:jc w:val="both"/>
      </w:pPr>
      <w:r>
        <w:rPr>
          <w:rFonts w:ascii="Times New Roman"/>
          <w:b w:val="false"/>
          <w:i w:val="false"/>
          <w:color w:val="000000"/>
          <w:sz w:val="28"/>
        </w:rPr>
        <w:t>
      ТОО "Северо-Казахстанская сельскохозяйственная опытная станция" (Северо-Казахстанская область, Аккаинский район, с. Шагалалы);</w:t>
      </w:r>
    </w:p>
    <w:bookmarkEnd w:id="665"/>
    <w:bookmarkStart w:name="z719" w:id="666"/>
    <w:p>
      <w:pPr>
        <w:spacing w:after="0"/>
        <w:ind w:left="0"/>
        <w:jc w:val="both"/>
      </w:pPr>
      <w:r>
        <w:rPr>
          <w:rFonts w:ascii="Times New Roman"/>
          <w:b w:val="false"/>
          <w:i w:val="false"/>
          <w:color w:val="000000"/>
          <w:sz w:val="28"/>
        </w:rPr>
        <w:t>
      филиал ТОО "Казахский НИИ пищевой и перерабатывающей промышленности" в г. Нур-Султан (г. Нур-Султан, пр. Акжол, 26).</w:t>
      </w:r>
    </w:p>
    <w:bookmarkEnd w:id="666"/>
    <w:bookmarkStart w:name="z720" w:id="667"/>
    <w:p>
      <w:pPr>
        <w:spacing w:after="0"/>
        <w:ind w:left="0"/>
        <w:jc w:val="both"/>
      </w:pPr>
      <w:r>
        <w:rPr>
          <w:rFonts w:ascii="Times New Roman"/>
          <w:b w:val="false"/>
          <w:i w:val="false"/>
          <w:color w:val="000000"/>
          <w:sz w:val="28"/>
        </w:rPr>
        <w:t xml:space="preserve">
      1) ТОО "Научно-производственный центр зернового хозяйства имени А.И. Бараева" (пос. Научный, Шортандинский район, Акмолинская область) – как основная база для научных исследований, трансферта технологий и подготовки кадров в области растениеводства. Начиная с 2021 – 2022 учебного года, будет начат поэтапный перенос образовательного процесса на его базу. Все научные исследования и программы распространения знаний в области растениеводства, тиражирование селекционных достижений и производственная практика в течение всего сельскохозяйственного сезона также будут разворачиваться на его базе. </w:t>
      </w:r>
    </w:p>
    <w:bookmarkEnd w:id="667"/>
    <w:bookmarkStart w:name="z721" w:id="668"/>
    <w:p>
      <w:pPr>
        <w:spacing w:after="0"/>
        <w:ind w:left="0"/>
        <w:jc w:val="both"/>
      </w:pPr>
      <w:r>
        <w:rPr>
          <w:rFonts w:ascii="Times New Roman"/>
          <w:b w:val="false"/>
          <w:i w:val="false"/>
          <w:color w:val="000000"/>
          <w:sz w:val="28"/>
        </w:rPr>
        <w:t>
      Освободившаяся инфраструктура в городе Нур-Султане будет использована для размещения ППС, части аудиторий и лабораторий Института естественных наук, планируемого к созданию для усиления преподавания фундаментальных наук в рамках реформирования академической структуры КАТУ.</w:t>
      </w:r>
    </w:p>
    <w:bookmarkEnd w:id="668"/>
    <w:bookmarkStart w:name="z722" w:id="669"/>
    <w:p>
      <w:pPr>
        <w:spacing w:after="0"/>
        <w:ind w:left="0"/>
        <w:jc w:val="both"/>
      </w:pPr>
      <w:r>
        <w:rPr>
          <w:rFonts w:ascii="Times New Roman"/>
          <w:b w:val="false"/>
          <w:i w:val="false"/>
          <w:color w:val="000000"/>
          <w:sz w:val="28"/>
        </w:rPr>
        <w:t>
      2) ТОО "Казахский НИИ лесного хозяйства и агролесомелиорации" (г. Щучинск, Акмолинская область) – для расширения инфраструктуры и усиления научного потенциала существующего кампуса КАТУ, с последующим расширением его специализации в направлении наук об окружающей среде и управления природными экосистемами. После передачи в состав КАТУ на базе кампуса будет создано подразделение Офиса распространения знаний для специалистов лесного хозяйства. Будет проработан вопрос о переносе на базу кампуса части практических занятий и производственной практики по ландшафтному дизайну и рыбному хозяйству.</w:t>
      </w:r>
    </w:p>
    <w:bookmarkEnd w:id="669"/>
    <w:bookmarkStart w:name="z723" w:id="670"/>
    <w:p>
      <w:pPr>
        <w:spacing w:after="0"/>
        <w:ind w:left="0"/>
        <w:jc w:val="both"/>
      </w:pPr>
      <w:r>
        <w:rPr>
          <w:rFonts w:ascii="Times New Roman"/>
          <w:b w:val="false"/>
          <w:i w:val="false"/>
          <w:color w:val="000000"/>
          <w:sz w:val="28"/>
        </w:rPr>
        <w:t xml:space="preserve">
      3) ТОО "Северо-Казахстанская сельскохозяйственная опытная станция" (Северо-Казахстанская область, Аккаинский район, с. Шагалалы) – как основной кампус по сельскому хозяйству в условиях Северного Казахстана, в том числе по скотоводству, коневодству, точному земледелию, овощеводству, кормопроизводству, планированию и обустройству сельских территорий. На его базу будет перенесена часть образовательного процесса по соответствующим специальностям, а также производственная практика, научные исследования и мероприятия по распространению знаний, связанные с АПК Северного Казахстана. </w:t>
      </w:r>
    </w:p>
    <w:bookmarkEnd w:id="670"/>
    <w:bookmarkStart w:name="z724" w:id="671"/>
    <w:p>
      <w:pPr>
        <w:spacing w:after="0"/>
        <w:ind w:left="0"/>
        <w:jc w:val="both"/>
      </w:pPr>
      <w:r>
        <w:rPr>
          <w:rFonts w:ascii="Times New Roman"/>
          <w:b w:val="false"/>
          <w:i w:val="false"/>
          <w:color w:val="000000"/>
          <w:sz w:val="28"/>
        </w:rPr>
        <w:t>
      Освобожденная инфраструктура в городе Нур-Султане будет использована для создания Ветеринарного клинико-диагностического центра (кампус "Учхоз", пос. Интернациональный, 2023 год), размещения ППС и расширения базы для подготовки обучающихся.</w:t>
      </w:r>
    </w:p>
    <w:bookmarkEnd w:id="671"/>
    <w:bookmarkStart w:name="z725" w:id="672"/>
    <w:p>
      <w:pPr>
        <w:spacing w:after="0"/>
        <w:ind w:left="0"/>
        <w:jc w:val="both"/>
      </w:pPr>
      <w:r>
        <w:rPr>
          <w:rFonts w:ascii="Times New Roman"/>
          <w:b w:val="false"/>
          <w:i w:val="false"/>
          <w:color w:val="000000"/>
          <w:sz w:val="28"/>
        </w:rPr>
        <w:t>
      4) филиал ТОО "Казахский НИИ пищевой и перерабатывающей промышленности" в г. Нур-Султане (г. Нур-Султан, пр. Акжол, 26) – как основная база для научных исследований и подготовки кадров в области переработки сельскохозяйственной продукции и пищевой безопасности, с переносом кафедр, лабораторий и цехов соответствующего профиля. С 2020 – 2021 учебного года будет начат перенос на его базу дисциплин в области переработки сельскохозяйственной продукции. На прилегающей территории будет обустроена инфраструктура для хранения и обслуживания транспорта и сельскохозяйственной техники, размещения инновационных компаний и проектов студенческого бизнес-инкубатора, и другой вспомогательной деятельности. Освободившиеся помещения в Главном кампусе будут задействованы для размещения ППС, расширения аудиторий и лабораторий сельскохозяйственной и биологической инженерии.</w:t>
      </w:r>
    </w:p>
    <w:bookmarkEnd w:id="672"/>
    <w:bookmarkStart w:name="z726" w:id="673"/>
    <w:p>
      <w:pPr>
        <w:spacing w:after="0"/>
        <w:ind w:left="0"/>
        <w:jc w:val="both"/>
      </w:pPr>
      <w:r>
        <w:rPr>
          <w:rFonts w:ascii="Times New Roman"/>
          <w:b w:val="false"/>
          <w:i w:val="false"/>
          <w:color w:val="000000"/>
          <w:sz w:val="28"/>
        </w:rPr>
        <w:t xml:space="preserve">
      Расширение кампусной сети по указанной выше модели объединит в единой системе по модели "лаборатория </w:t>
      </w:r>
    </w:p>
    <w:bookmarkEnd w:id="673"/>
    <w:p>
      <w:pPr>
        <w:spacing w:after="0"/>
        <w:ind w:left="0"/>
        <w:jc w:val="both"/>
      </w:pPr>
      <w:r>
        <w:drawing>
          <wp:inline distT="0" distB="0" distL="0" distR="0">
            <wp:extent cx="317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175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аудитория </w:t>
      </w:r>
    </w:p>
    <w:p>
      <w:pPr>
        <w:spacing w:after="0"/>
        <w:ind w:left="0"/>
        <w:jc w:val="both"/>
      </w:pPr>
      <w:r>
        <w:drawing>
          <wp:inline distT="0" distB="0" distL="0" distR="0">
            <wp:extent cx="317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175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поле" всю необходимую инфраструктуру для научной, образовательной и инновационной деятельности, и позволит: </w:t>
      </w:r>
      <w:r>
        <w:br/>
      </w:r>
      <w:r>
        <w:rPr>
          <w:rFonts w:ascii="Times New Roman"/>
          <w:b w:val="false"/>
          <w:i w:val="false"/>
          <w:color w:val="000000"/>
          <w:sz w:val="28"/>
        </w:rPr>
        <w:t>
</w:t>
      </w:r>
    </w:p>
    <w:bookmarkStart w:name="z727" w:id="674"/>
    <w:p>
      <w:pPr>
        <w:spacing w:after="0"/>
        <w:ind w:left="0"/>
        <w:jc w:val="both"/>
      </w:pPr>
      <w:r>
        <w:rPr>
          <w:rFonts w:ascii="Times New Roman"/>
          <w:b w:val="false"/>
          <w:i w:val="false"/>
          <w:color w:val="000000"/>
          <w:sz w:val="28"/>
        </w:rPr>
        <w:t>
      1) обеспечить качественную поддержку всех отраслей АПК Целевого Казахстана на междисциплинарной, комплексной основе, с современной инфраструктурой;</w:t>
      </w:r>
    </w:p>
    <w:bookmarkEnd w:id="674"/>
    <w:bookmarkStart w:name="z728" w:id="675"/>
    <w:p>
      <w:pPr>
        <w:spacing w:after="0"/>
        <w:ind w:left="0"/>
        <w:jc w:val="both"/>
      </w:pPr>
      <w:r>
        <w:rPr>
          <w:rFonts w:ascii="Times New Roman"/>
          <w:b w:val="false"/>
          <w:i w:val="false"/>
          <w:color w:val="000000"/>
          <w:sz w:val="28"/>
        </w:rPr>
        <w:t>
      2) интегрировать научные исследования КАТУ и передаваемых организаций в крупные, междисциплинарные проекты и программы;</w:t>
      </w:r>
    </w:p>
    <w:bookmarkEnd w:id="675"/>
    <w:bookmarkStart w:name="z729" w:id="676"/>
    <w:p>
      <w:pPr>
        <w:spacing w:after="0"/>
        <w:ind w:left="0"/>
        <w:jc w:val="both"/>
      </w:pPr>
      <w:r>
        <w:rPr>
          <w:rFonts w:ascii="Times New Roman"/>
          <w:b w:val="false"/>
          <w:i w:val="false"/>
          <w:color w:val="000000"/>
          <w:sz w:val="28"/>
        </w:rPr>
        <w:t>
      3) вовлечь ученых из передаваемых организаций в образовательный процесс КАТУ и обеспечить передачу научных результатов новому поколению специалистов;</w:t>
      </w:r>
    </w:p>
    <w:bookmarkEnd w:id="676"/>
    <w:bookmarkStart w:name="z730" w:id="677"/>
    <w:p>
      <w:pPr>
        <w:spacing w:after="0"/>
        <w:ind w:left="0"/>
        <w:jc w:val="both"/>
      </w:pPr>
      <w:r>
        <w:rPr>
          <w:rFonts w:ascii="Times New Roman"/>
          <w:b w:val="false"/>
          <w:i w:val="false"/>
          <w:color w:val="000000"/>
          <w:sz w:val="28"/>
        </w:rPr>
        <w:t>
      4) привлечь талантливых выпускников в научные исследования на базе передаваемых организаций и обеспечить омоложение их кадрового состава;</w:t>
      </w:r>
    </w:p>
    <w:bookmarkEnd w:id="677"/>
    <w:bookmarkStart w:name="z731" w:id="678"/>
    <w:p>
      <w:pPr>
        <w:spacing w:after="0"/>
        <w:ind w:left="0"/>
        <w:jc w:val="both"/>
      </w:pPr>
      <w:r>
        <w:rPr>
          <w:rFonts w:ascii="Times New Roman"/>
          <w:b w:val="false"/>
          <w:i w:val="false"/>
          <w:color w:val="000000"/>
          <w:sz w:val="28"/>
        </w:rPr>
        <w:t xml:space="preserve">
      5) расширить возможности для профессионального развития ученых присоединяемых организаций за счет доступа к экосистеме КАТУ, участия в программах реформирования и междисциплинарности. </w:t>
      </w:r>
    </w:p>
    <w:bookmarkEnd w:id="678"/>
    <w:bookmarkStart w:name="z732" w:id="679"/>
    <w:p>
      <w:pPr>
        <w:spacing w:after="0"/>
        <w:ind w:left="0"/>
        <w:jc w:val="both"/>
      </w:pPr>
      <w:r>
        <w:rPr>
          <w:rFonts w:ascii="Times New Roman"/>
          <w:b w:val="false"/>
          <w:i w:val="false"/>
          <w:color w:val="000000"/>
          <w:sz w:val="28"/>
        </w:rPr>
        <w:t xml:space="preserve">
      Как отмечалось в разделе 3.2, концентрация потенциала на базе исследовательских университетов путем передачи в их состав научных организаций и опытных хозяйств широко применяется в мире и положительно влияет на качество научных и академических результатов. Поэтому такой подход уже применялся в Республике Казахстан. В частности, с целью усиления научного потенциала АОО "Назарбаев Университет", в 2010 – 2011 годы в его состав были переданы 6 научных медицинских центров и Национальный аналитический центр, до этого находившийся в ведении Канцелярии Премьер-Министра Республики Казахстан. </w:t>
      </w:r>
    </w:p>
    <w:bookmarkEnd w:id="6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19 декабря 2014 года № 1330 Казахский национальный технический университет имени К.И. Сатпаева был преобразован в исследовательский, а в его состав вошли Центр наук о Земле, металлургии и обогащения, Международный научно-производственный холдинг "Фитохимия", Физико-технический институт и еще 4 научно-исследовательских организации.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5 апреля 2018 года № 166 в состав Казахского национального медицинского университета имени С. Асфендиярова были переданы 5 научно-исследовательских организаций Министерства здравоохранения Республики Казахстан. Позже,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27 июня 2019 года № 453 указанному университету бал присвоен статус исследовательского и утверждена его программа развития на 5 лет.</w:t>
      </w:r>
    </w:p>
    <w:bookmarkStart w:name="z735" w:id="680"/>
    <w:p>
      <w:pPr>
        <w:spacing w:after="0"/>
        <w:ind w:left="0"/>
        <w:jc w:val="both"/>
      </w:pPr>
      <w:r>
        <w:rPr>
          <w:rFonts w:ascii="Times New Roman"/>
          <w:b w:val="false"/>
          <w:i w:val="false"/>
          <w:color w:val="000000"/>
          <w:sz w:val="28"/>
        </w:rPr>
        <w:t>
      Для обеспечения системного подхода к развитию, будет разработана программа развития для каждой из переданных КАТУ организаций, нацеленная на их поэтапную интеграцию в структуру КАТУ.</w:t>
      </w:r>
    </w:p>
    <w:bookmarkEnd w:id="680"/>
    <w:bookmarkStart w:name="z736" w:id="681"/>
    <w:p>
      <w:pPr>
        <w:spacing w:after="0"/>
        <w:ind w:left="0"/>
        <w:jc w:val="both"/>
      </w:pPr>
      <w:r>
        <w:rPr>
          <w:rFonts w:ascii="Times New Roman"/>
          <w:b w:val="false"/>
          <w:i w:val="false"/>
          <w:color w:val="000000"/>
          <w:sz w:val="28"/>
        </w:rPr>
        <w:t>
      Целевыми индикаторами по развитию кампусной сети будут являться:</w:t>
      </w:r>
    </w:p>
    <w:bookmarkEnd w:id="681"/>
    <w:bookmarkStart w:name="z737" w:id="682"/>
    <w:p>
      <w:pPr>
        <w:spacing w:after="0"/>
        <w:ind w:left="0"/>
        <w:jc w:val="both"/>
      </w:pPr>
      <w:r>
        <w:rPr>
          <w:rFonts w:ascii="Times New Roman"/>
          <w:b w:val="false"/>
          <w:i w:val="false"/>
          <w:color w:val="000000"/>
          <w:sz w:val="28"/>
        </w:rPr>
        <w:t>
      1) передача организаций для создания новых кампусов в состав КАТУ– до окончания 2020 года;</w:t>
      </w:r>
    </w:p>
    <w:bookmarkEnd w:id="682"/>
    <w:bookmarkStart w:name="z738" w:id="683"/>
    <w:p>
      <w:pPr>
        <w:spacing w:after="0"/>
        <w:ind w:left="0"/>
        <w:jc w:val="both"/>
      </w:pPr>
      <w:r>
        <w:rPr>
          <w:rFonts w:ascii="Times New Roman"/>
          <w:b w:val="false"/>
          <w:i w:val="false"/>
          <w:color w:val="000000"/>
          <w:sz w:val="28"/>
        </w:rPr>
        <w:t>
      2) разработка и утверждение положений о кампусах КАТУ – до окончания 2020 года;</w:t>
      </w:r>
    </w:p>
    <w:bookmarkEnd w:id="683"/>
    <w:bookmarkStart w:name="z739" w:id="684"/>
    <w:p>
      <w:pPr>
        <w:spacing w:after="0"/>
        <w:ind w:left="0"/>
        <w:jc w:val="both"/>
      </w:pPr>
      <w:r>
        <w:rPr>
          <w:rFonts w:ascii="Times New Roman"/>
          <w:b w:val="false"/>
          <w:i w:val="false"/>
          <w:color w:val="000000"/>
          <w:sz w:val="28"/>
        </w:rPr>
        <w:t>
      3) утверждение программ развития каждого из кампусов – до окончания 2021 года;</w:t>
      </w:r>
    </w:p>
    <w:bookmarkEnd w:id="684"/>
    <w:bookmarkStart w:name="z740" w:id="685"/>
    <w:p>
      <w:pPr>
        <w:spacing w:after="0"/>
        <w:ind w:left="0"/>
        <w:jc w:val="both"/>
      </w:pPr>
      <w:r>
        <w:rPr>
          <w:rFonts w:ascii="Times New Roman"/>
          <w:b w:val="false"/>
          <w:i w:val="false"/>
          <w:color w:val="000000"/>
          <w:sz w:val="28"/>
        </w:rPr>
        <w:t>
      4) оформление права собственности КАТУ на земельный участок Научно-экспериментального кампуса полевых работ – до окончания 2023 года.</w:t>
      </w:r>
    </w:p>
    <w:bookmarkEnd w:id="685"/>
    <w:p>
      <w:pPr>
        <w:spacing w:after="0"/>
        <w:ind w:left="0"/>
        <w:jc w:val="both"/>
      </w:pPr>
      <w:r>
        <w:rPr>
          <w:rFonts w:ascii="Times New Roman"/>
          <w:b/>
          <w:i w:val="false"/>
          <w:color w:val="000000"/>
          <w:sz w:val="28"/>
        </w:rPr>
        <w:t>8.6.2. Модернизация имеющейся инфраструктуры</w:t>
      </w:r>
    </w:p>
    <w:bookmarkStart w:name="z742" w:id="686"/>
    <w:p>
      <w:pPr>
        <w:spacing w:after="0"/>
        <w:ind w:left="0"/>
        <w:jc w:val="both"/>
      </w:pPr>
      <w:r>
        <w:rPr>
          <w:rFonts w:ascii="Times New Roman"/>
          <w:b w:val="false"/>
          <w:i w:val="false"/>
          <w:color w:val="000000"/>
          <w:sz w:val="28"/>
        </w:rPr>
        <w:t>
      В рамках Программы, с целью создания благоприятных условий для научных исследований, образовательного процесса и инновационной деятельности, будут проработаны следующие проекты:</w:t>
      </w:r>
    </w:p>
    <w:bookmarkEnd w:id="686"/>
    <w:bookmarkStart w:name="z743" w:id="687"/>
    <w:p>
      <w:pPr>
        <w:spacing w:after="0"/>
        <w:ind w:left="0"/>
        <w:jc w:val="both"/>
      </w:pPr>
      <w:r>
        <w:rPr>
          <w:rFonts w:ascii="Times New Roman"/>
          <w:b w:val="false"/>
          <w:i w:val="false"/>
          <w:color w:val="000000"/>
          <w:sz w:val="28"/>
        </w:rPr>
        <w:t xml:space="preserve">
      1. Реконструкция и оснащение существующего главного корпуса КАТУ (г. Нур-Султан, пр. Победы, 62): завершение замены оконных блоков, ремонт фасада, реконструкция интерьера, капитальный ремонт инженерных сетей. </w:t>
      </w:r>
    </w:p>
    <w:bookmarkEnd w:id="687"/>
    <w:bookmarkStart w:name="z744" w:id="688"/>
    <w:p>
      <w:pPr>
        <w:spacing w:after="0"/>
        <w:ind w:left="0"/>
        <w:jc w:val="both"/>
      </w:pPr>
      <w:r>
        <w:rPr>
          <w:rFonts w:ascii="Times New Roman"/>
          <w:b w:val="false"/>
          <w:i w:val="false"/>
          <w:color w:val="000000"/>
          <w:sz w:val="28"/>
        </w:rPr>
        <w:t>
      2. Реконструкция корпуса ТОО "Казахский НИИ лесного хозяйства и агролесомелиорации": ремонт фасада и интерьера здания, адаптация к образовательному процессу и расширению специализации кампуса, благоустройство прилегающей территории. Объем финансирования будет определен по результатам разработки проектно-сметной документации, получения всех необходимых разрешений и экспертиз.</w:t>
      </w:r>
    </w:p>
    <w:bookmarkEnd w:id="688"/>
    <w:bookmarkStart w:name="z745" w:id="689"/>
    <w:p>
      <w:pPr>
        <w:spacing w:after="0"/>
        <w:ind w:left="0"/>
        <w:jc w:val="both"/>
      </w:pPr>
      <w:r>
        <w:rPr>
          <w:rFonts w:ascii="Times New Roman"/>
          <w:b w:val="false"/>
          <w:i w:val="false"/>
          <w:color w:val="000000"/>
          <w:sz w:val="28"/>
        </w:rPr>
        <w:t>
      3. Реконструкция интерьера и оснащение корпуса ТОО "Научно-производственный центр зернового хозяйства имени А.И. Бараева" (пос. Научный, Шортандинский район Акмолинской области): адаптация к переносу образовательного процесса, благоустройство прилегающей территории. Объем финансирования будет определен по результатам разработки проектно-сметной документации, получения всех необходимых разрешений и экспертиз.</w:t>
      </w:r>
    </w:p>
    <w:bookmarkEnd w:id="689"/>
    <w:bookmarkStart w:name="z746" w:id="690"/>
    <w:p>
      <w:pPr>
        <w:spacing w:after="0"/>
        <w:ind w:left="0"/>
        <w:jc w:val="both"/>
      </w:pPr>
      <w:r>
        <w:rPr>
          <w:rFonts w:ascii="Times New Roman"/>
          <w:b w:val="false"/>
          <w:i w:val="false"/>
          <w:color w:val="000000"/>
          <w:sz w:val="28"/>
        </w:rPr>
        <w:t>
      4. Реконструкция здания Филиала ТОО "Казахский НИИ пищевой и перерабатывающей промышленности" в г. Нур-Султан (г. Нур-Султан, пр. Акжол, 26) и перенос объектов КАТУ в области пищевой промышленности на его базу: ремонт фасада и интерьера, адаптация к потребностям образовательного процесса, обустройство территории для размещения производственно-экспериментальных цехов и других объектов. Объем финансирования будет определен по результатам разработки проектно-сметной документации, получения всех необходимых разрешений и экспертиз.</w:t>
      </w:r>
    </w:p>
    <w:bookmarkEnd w:id="690"/>
    <w:bookmarkStart w:name="z747" w:id="691"/>
    <w:p>
      <w:pPr>
        <w:spacing w:after="0"/>
        <w:ind w:left="0"/>
        <w:jc w:val="both"/>
      </w:pPr>
      <w:r>
        <w:rPr>
          <w:rFonts w:ascii="Times New Roman"/>
          <w:b w:val="false"/>
          <w:i w:val="false"/>
          <w:color w:val="000000"/>
          <w:sz w:val="28"/>
        </w:rPr>
        <w:t xml:space="preserve">
      5. Завершение реконструкции здания Факультета управления земельными ресурсами, архитектуры и дизайна (г. Нур-Султан, пр. Бейбитшилик, 73): реконструкция фасада и завершение реконструкции интерьера, перенос главного входа, обустройство прилегающей территории в качестве сквера, пристройка помещения под столовую со стороны внутреннего двора. Источник финансирования – собственные средства КАТУ. Разработка проектной документации по всем указанным объектам будет осуществляться за счет собственных средств КАТУ. </w:t>
      </w:r>
    </w:p>
    <w:bookmarkEnd w:id="691"/>
    <w:bookmarkStart w:name="z748" w:id="692"/>
    <w:p>
      <w:pPr>
        <w:spacing w:after="0"/>
        <w:ind w:left="0"/>
        <w:jc w:val="both"/>
      </w:pPr>
      <w:r>
        <w:rPr>
          <w:rFonts w:ascii="Times New Roman"/>
          <w:b w:val="false"/>
          <w:i w:val="false"/>
          <w:color w:val="000000"/>
          <w:sz w:val="28"/>
        </w:rPr>
        <w:t>
      Дополнительно, в 2020 году будет разработан проект "Комфортный университет". В рамках проекта, начиная с 2021 года за счет собственных средств КАТУ будет производиться реконструкция существующих учебных корпусов с целью их адаптации к новым требованиям создаваемой академической среды. Ежегодно в каждом корпусе будут реконструированы по одному этажу, с созданием условий для эффективного, комфортного размещения ППС, офисов для переговоров и совещаний, учебных аудиторий, оснащенных согласно требованиям отдельных дисциплин.</w:t>
      </w:r>
    </w:p>
    <w:bookmarkEnd w:id="692"/>
    <w:bookmarkStart w:name="z749" w:id="693"/>
    <w:p>
      <w:pPr>
        <w:spacing w:after="0"/>
        <w:ind w:left="0"/>
        <w:jc w:val="both"/>
      </w:pPr>
      <w:r>
        <w:rPr>
          <w:rFonts w:ascii="Times New Roman"/>
          <w:b w:val="false"/>
          <w:i w:val="false"/>
          <w:color w:val="000000"/>
          <w:sz w:val="28"/>
        </w:rPr>
        <w:t>
      Целевым индикатором по данному направлению будет своевременное завершение работ.</w:t>
      </w:r>
    </w:p>
    <w:bookmarkEnd w:id="693"/>
    <w:p>
      <w:pPr>
        <w:spacing w:after="0"/>
        <w:ind w:left="0"/>
        <w:jc w:val="both"/>
      </w:pPr>
      <w:r>
        <w:rPr>
          <w:rFonts w:ascii="Times New Roman"/>
          <w:b/>
          <w:i w:val="false"/>
          <w:color w:val="000000"/>
          <w:sz w:val="28"/>
        </w:rPr>
        <w:t>8.6.3. Создание недостающей инфраструктуры</w:t>
      </w:r>
    </w:p>
    <w:bookmarkStart w:name="z751" w:id="694"/>
    <w:p>
      <w:pPr>
        <w:spacing w:after="0"/>
        <w:ind w:left="0"/>
        <w:jc w:val="both"/>
      </w:pPr>
      <w:r>
        <w:rPr>
          <w:rFonts w:ascii="Times New Roman"/>
          <w:b w:val="false"/>
          <w:i w:val="false"/>
          <w:color w:val="000000"/>
          <w:sz w:val="28"/>
        </w:rPr>
        <w:t>
      С целью обеспечения потребностей образовательного процесса, научных исследований и инновационной деятельности инфраструктурными условиями будут проработаны следующие проекты:</w:t>
      </w:r>
    </w:p>
    <w:bookmarkEnd w:id="694"/>
    <w:bookmarkStart w:name="z752" w:id="695"/>
    <w:p>
      <w:pPr>
        <w:spacing w:after="0"/>
        <w:ind w:left="0"/>
        <w:jc w:val="both"/>
      </w:pPr>
      <w:r>
        <w:rPr>
          <w:rFonts w:ascii="Times New Roman"/>
          <w:b w:val="false"/>
          <w:i w:val="false"/>
          <w:color w:val="000000"/>
          <w:sz w:val="28"/>
        </w:rPr>
        <w:t>
      1. Завершение строительства общежития в пос. Научный Шортандинского района Акмолинской области (двухподъездный, пятиэтажный жилой дом) – для организации проживания ППС и обучающихся в кампусе, создаваемом на базе НПЦ зернового хозяйства им. А.И. Бараева. Разработана проектно-сметная документация, однако требуется ее корректировка в связи с истечением срока действия заключения. Объем финансирования будет определен по результатам разработки проектно-сметной документации, получения всех необходимых разрешений и экспертиз.</w:t>
      </w:r>
    </w:p>
    <w:bookmarkEnd w:id="695"/>
    <w:bookmarkStart w:name="z753" w:id="696"/>
    <w:p>
      <w:pPr>
        <w:spacing w:after="0"/>
        <w:ind w:left="0"/>
        <w:jc w:val="both"/>
      </w:pPr>
      <w:r>
        <w:rPr>
          <w:rFonts w:ascii="Times New Roman"/>
          <w:b w:val="false"/>
          <w:i w:val="false"/>
          <w:color w:val="000000"/>
          <w:sz w:val="28"/>
        </w:rPr>
        <w:t>
      2. Обустройство кампуса "Дударай". В целях расширения специализации, переноса образовательного процесса, научных исследований и мероприятий по распространению знаний, из блочно-модульных зданий будет построен комплекс сооружений, включающий комнаты для временного проживания, столовую, аудиторию, офисные и лабораторные помещения. По аналогии с ранее выполненными работами, общая стоимость оценивается в 90,0 млн тенге, планируемый источник финансирования – собственные средства.</w:t>
      </w:r>
    </w:p>
    <w:bookmarkEnd w:id="696"/>
    <w:bookmarkStart w:name="z754" w:id="697"/>
    <w:p>
      <w:pPr>
        <w:spacing w:after="0"/>
        <w:ind w:left="0"/>
        <w:jc w:val="both"/>
      </w:pPr>
      <w:r>
        <w:rPr>
          <w:rFonts w:ascii="Times New Roman"/>
          <w:b w:val="false"/>
          <w:i w:val="false"/>
          <w:color w:val="000000"/>
          <w:sz w:val="28"/>
        </w:rPr>
        <w:t>
      3. Строительство нового, отвечающего международным стандартам Учебно-лабораторного комплекса в городе Нур-Султане, на месте существующих гаражей Главного кампуса. Учебно-лабораторный комплекс будет включать:</w:t>
      </w:r>
    </w:p>
    <w:bookmarkEnd w:id="697"/>
    <w:bookmarkStart w:name="z755" w:id="698"/>
    <w:p>
      <w:pPr>
        <w:spacing w:after="0"/>
        <w:ind w:left="0"/>
        <w:jc w:val="both"/>
      </w:pPr>
      <w:r>
        <w:rPr>
          <w:rFonts w:ascii="Times New Roman"/>
          <w:b w:val="false"/>
          <w:i w:val="false"/>
          <w:color w:val="000000"/>
          <w:sz w:val="28"/>
        </w:rPr>
        <w:t xml:space="preserve">
      а) учебный корпус высотой до 12 этажей, в котором будут размещаться гараж на цокольном этаже, библиотека и читальные залы, конференц-зал, зал заседаний Сената на 2 и 3 этажах, аудитории, места для самостоятельной работы студентов, кабинеты и вспомогательные помещения, вегетарий на последнем этаже, со смотровой площадкой на территорию Главного кампуса: </w:t>
      </w:r>
    </w:p>
    <w:bookmarkEnd w:id="698"/>
    <w:bookmarkStart w:name="z756" w:id="699"/>
    <w:p>
      <w:pPr>
        <w:spacing w:after="0"/>
        <w:ind w:left="0"/>
        <w:jc w:val="both"/>
      </w:pPr>
      <w:r>
        <w:rPr>
          <w:rFonts w:ascii="Times New Roman"/>
          <w:b w:val="false"/>
          <w:i w:val="false"/>
          <w:color w:val="000000"/>
          <w:sz w:val="28"/>
        </w:rPr>
        <w:t>
      б) лабораторный корпус, совмещенный с Учебным корпусом, для размещения производственно-экспериментальных цехов на 1 этаже и научно-исследовательских лабораторий на 2, 3, 4 этажах. Лабораторные помещения будут оборудованы в соответствии со стандартами GLP и BSL.</w:t>
      </w:r>
    </w:p>
    <w:bookmarkEnd w:id="699"/>
    <w:bookmarkStart w:name="z757" w:id="700"/>
    <w:p>
      <w:pPr>
        <w:spacing w:after="0"/>
        <w:ind w:left="0"/>
        <w:jc w:val="both"/>
      </w:pPr>
      <w:r>
        <w:rPr>
          <w:rFonts w:ascii="Times New Roman"/>
          <w:b w:val="false"/>
          <w:i w:val="false"/>
          <w:color w:val="000000"/>
          <w:sz w:val="28"/>
        </w:rPr>
        <w:t xml:space="preserve">
      Комплекс будет соединен теплыми переходами с главным корпусом, корпусами Технического и Агрономического факультетов, общежитиями и корпусом военной кафедры. Освободившиеся в результате переноса образовательного процесса и научных подразделений помещения в существующих зданиях будут использованы для размещения ППС, инженерно-технического и вспомогательного персонала, докторантов и магистрантов, учебных лабораторий и специализированных аудиторий. </w:t>
      </w:r>
    </w:p>
    <w:bookmarkEnd w:id="700"/>
    <w:bookmarkStart w:name="z758" w:id="701"/>
    <w:p>
      <w:pPr>
        <w:spacing w:after="0"/>
        <w:ind w:left="0"/>
        <w:jc w:val="both"/>
      </w:pPr>
      <w:r>
        <w:rPr>
          <w:rFonts w:ascii="Times New Roman"/>
          <w:b w:val="false"/>
          <w:i w:val="false"/>
          <w:color w:val="000000"/>
          <w:sz w:val="28"/>
        </w:rPr>
        <w:t>
      Объем финансирования будет определен по результатам разработки проектно-сметной документации, получения всех необходимых разрешений и экспертиз.</w:t>
      </w:r>
    </w:p>
    <w:bookmarkEnd w:id="701"/>
    <w:bookmarkStart w:name="z759" w:id="702"/>
    <w:p>
      <w:pPr>
        <w:spacing w:after="0"/>
        <w:ind w:left="0"/>
        <w:jc w:val="both"/>
      </w:pPr>
      <w:r>
        <w:rPr>
          <w:rFonts w:ascii="Times New Roman"/>
          <w:b w:val="false"/>
          <w:i w:val="false"/>
          <w:color w:val="000000"/>
          <w:sz w:val="28"/>
        </w:rPr>
        <w:t>
      4. Строительство и оснащение Учебно-научного животноводческого комплекса на базе НПЦ зернового хозяйства имени А.И. Бараева, в составе:</w:t>
      </w:r>
    </w:p>
    <w:bookmarkEnd w:id="702"/>
    <w:bookmarkStart w:name="z760" w:id="703"/>
    <w:p>
      <w:pPr>
        <w:spacing w:after="0"/>
        <w:ind w:left="0"/>
        <w:jc w:val="both"/>
      </w:pPr>
      <w:r>
        <w:rPr>
          <w:rFonts w:ascii="Times New Roman"/>
          <w:b w:val="false"/>
          <w:i w:val="false"/>
          <w:color w:val="000000"/>
          <w:sz w:val="28"/>
        </w:rPr>
        <w:t>
      а) помещений для содержания сельскохозяйственной птицы, лошадей, крупного рогатого скота, овец и кроликов;</w:t>
      </w:r>
    </w:p>
    <w:bookmarkEnd w:id="703"/>
    <w:bookmarkStart w:name="z761" w:id="704"/>
    <w:p>
      <w:pPr>
        <w:spacing w:after="0"/>
        <w:ind w:left="0"/>
        <w:jc w:val="both"/>
      </w:pPr>
      <w:r>
        <w:rPr>
          <w:rFonts w:ascii="Times New Roman"/>
          <w:b w:val="false"/>
          <w:i w:val="false"/>
          <w:color w:val="000000"/>
          <w:sz w:val="28"/>
        </w:rPr>
        <w:t>
      б) откормочных площадок;</w:t>
      </w:r>
    </w:p>
    <w:bookmarkEnd w:id="704"/>
    <w:bookmarkStart w:name="z762" w:id="705"/>
    <w:p>
      <w:pPr>
        <w:spacing w:after="0"/>
        <w:ind w:left="0"/>
        <w:jc w:val="both"/>
      </w:pPr>
      <w:r>
        <w:rPr>
          <w:rFonts w:ascii="Times New Roman"/>
          <w:b w:val="false"/>
          <w:i w:val="false"/>
          <w:color w:val="000000"/>
          <w:sz w:val="28"/>
        </w:rPr>
        <w:t>
      в) кормоцеха с помещениями для приготовления кормов;</w:t>
      </w:r>
    </w:p>
    <w:bookmarkEnd w:id="705"/>
    <w:bookmarkStart w:name="z763" w:id="706"/>
    <w:p>
      <w:pPr>
        <w:spacing w:after="0"/>
        <w:ind w:left="0"/>
        <w:jc w:val="both"/>
      </w:pPr>
      <w:r>
        <w:rPr>
          <w:rFonts w:ascii="Times New Roman"/>
          <w:b w:val="false"/>
          <w:i w:val="false"/>
          <w:color w:val="000000"/>
          <w:sz w:val="28"/>
        </w:rPr>
        <w:t>
      г) инфраструктуры для хранения и утилизации навоза;</w:t>
      </w:r>
    </w:p>
    <w:bookmarkEnd w:id="706"/>
    <w:bookmarkStart w:name="z764" w:id="707"/>
    <w:p>
      <w:pPr>
        <w:spacing w:after="0"/>
        <w:ind w:left="0"/>
        <w:jc w:val="both"/>
      </w:pPr>
      <w:r>
        <w:rPr>
          <w:rFonts w:ascii="Times New Roman"/>
          <w:b w:val="false"/>
          <w:i w:val="false"/>
          <w:color w:val="000000"/>
          <w:sz w:val="28"/>
        </w:rPr>
        <w:t>
      д) убойного пункта;</w:t>
      </w:r>
    </w:p>
    <w:bookmarkEnd w:id="707"/>
    <w:bookmarkStart w:name="z765" w:id="708"/>
    <w:p>
      <w:pPr>
        <w:spacing w:after="0"/>
        <w:ind w:left="0"/>
        <w:jc w:val="both"/>
      </w:pPr>
      <w:r>
        <w:rPr>
          <w:rFonts w:ascii="Times New Roman"/>
          <w:b w:val="false"/>
          <w:i w:val="false"/>
          <w:color w:val="000000"/>
          <w:sz w:val="28"/>
        </w:rPr>
        <w:t>
      е) вспомогательных помещений.</w:t>
      </w:r>
    </w:p>
    <w:bookmarkEnd w:id="708"/>
    <w:bookmarkStart w:name="z766" w:id="709"/>
    <w:p>
      <w:pPr>
        <w:spacing w:after="0"/>
        <w:ind w:left="0"/>
        <w:jc w:val="both"/>
      </w:pPr>
      <w:r>
        <w:rPr>
          <w:rFonts w:ascii="Times New Roman"/>
          <w:b w:val="false"/>
          <w:i w:val="false"/>
          <w:color w:val="000000"/>
          <w:sz w:val="28"/>
        </w:rPr>
        <w:t>
      Объем финансирования будет определен по результатам разработки проектно-сметной документации, получения всех необходимых разрешений и экспертиз.</w:t>
      </w:r>
    </w:p>
    <w:bookmarkEnd w:id="709"/>
    <w:bookmarkStart w:name="z767" w:id="710"/>
    <w:p>
      <w:pPr>
        <w:spacing w:after="0"/>
        <w:ind w:left="0"/>
        <w:jc w:val="both"/>
      </w:pPr>
      <w:r>
        <w:rPr>
          <w:rFonts w:ascii="Times New Roman"/>
          <w:b w:val="false"/>
          <w:i w:val="false"/>
          <w:color w:val="000000"/>
          <w:sz w:val="28"/>
        </w:rPr>
        <w:t>
      5. Строительство спортивного комплекса на территории существующего стадиона КАТУ с плавательным бассейном, тренажерным залом, боксерским и борцовским залами, помещениями для игровых видов спорта. Цель проекта – создание условий для всестороннего развития ППС и обучающихся. Объем финансирования будет определен по результатам разработки проектно-сметной документации, получения всех необходимых разрешений и экспертиз.</w:t>
      </w:r>
    </w:p>
    <w:bookmarkEnd w:id="710"/>
    <w:bookmarkStart w:name="z768" w:id="711"/>
    <w:p>
      <w:pPr>
        <w:spacing w:after="0"/>
        <w:ind w:left="0"/>
        <w:jc w:val="both"/>
      </w:pPr>
      <w:r>
        <w:rPr>
          <w:rFonts w:ascii="Times New Roman"/>
          <w:b w:val="false"/>
          <w:i w:val="false"/>
          <w:color w:val="000000"/>
          <w:sz w:val="28"/>
        </w:rPr>
        <w:t>
      Проектная документация по всем указанным объектам будет разработана за счет собственных средств КАТУ, путем включения соответствующих затрат в планы развития на соответствующие годы.</w:t>
      </w:r>
    </w:p>
    <w:bookmarkEnd w:id="711"/>
    <w:bookmarkStart w:name="z769" w:id="712"/>
    <w:p>
      <w:pPr>
        <w:spacing w:after="0"/>
        <w:ind w:left="0"/>
        <w:jc w:val="both"/>
      </w:pPr>
      <w:r>
        <w:rPr>
          <w:rFonts w:ascii="Times New Roman"/>
          <w:b w:val="false"/>
          <w:i w:val="false"/>
          <w:color w:val="000000"/>
          <w:sz w:val="28"/>
        </w:rPr>
        <w:t>
      Целевым индикатором по данному направлению будет своевременное завершение работ.</w:t>
      </w:r>
    </w:p>
    <w:bookmarkEnd w:id="712"/>
    <w:p>
      <w:pPr>
        <w:spacing w:after="0"/>
        <w:ind w:left="0"/>
        <w:jc w:val="both"/>
      </w:pPr>
      <w:r>
        <w:rPr>
          <w:rFonts w:ascii="Times New Roman"/>
          <w:b/>
          <w:i w:val="false"/>
          <w:color w:val="000000"/>
          <w:sz w:val="28"/>
        </w:rPr>
        <w:t>8.6.4. Развитие технологических платформ</w:t>
      </w:r>
    </w:p>
    <w:bookmarkStart w:name="z771" w:id="713"/>
    <w:p>
      <w:pPr>
        <w:spacing w:after="0"/>
        <w:ind w:left="0"/>
        <w:jc w:val="both"/>
      </w:pPr>
      <w:r>
        <w:rPr>
          <w:rFonts w:ascii="Times New Roman"/>
          <w:b w:val="false"/>
          <w:i w:val="false"/>
          <w:color w:val="000000"/>
          <w:sz w:val="28"/>
        </w:rPr>
        <w:t>
      С целью завершения охвата основных направлений академического профиля КАТУ инфраструктурой для научных исследований, обучения, распространения знаний и инновационной деятельности, будут доукомплектованы существующие и созданы новые технологические платформы. В частности, в рамках Программы запланированы:</w:t>
      </w:r>
    </w:p>
    <w:bookmarkEnd w:id="713"/>
    <w:bookmarkStart w:name="z772" w:id="714"/>
    <w:p>
      <w:pPr>
        <w:spacing w:after="0"/>
        <w:ind w:left="0"/>
        <w:jc w:val="both"/>
      </w:pPr>
      <w:r>
        <w:rPr>
          <w:rFonts w:ascii="Times New Roman"/>
          <w:b w:val="false"/>
          <w:i w:val="false"/>
          <w:color w:val="000000"/>
          <w:sz w:val="28"/>
        </w:rPr>
        <w:t xml:space="preserve">
      1. Развитие ТП "Переработка сельскохозяйственной продукции", путем переноса на базу передаваемого в КАТУ филиала ТОО "Казахский НИИ пищевой и перерабатывающей промышленности" в городе Нур-Султане и создания: </w:t>
      </w:r>
    </w:p>
    <w:bookmarkEnd w:id="714"/>
    <w:bookmarkStart w:name="z773" w:id="715"/>
    <w:p>
      <w:pPr>
        <w:spacing w:after="0"/>
        <w:ind w:left="0"/>
        <w:jc w:val="both"/>
      </w:pPr>
      <w:r>
        <w:rPr>
          <w:rFonts w:ascii="Times New Roman"/>
          <w:b w:val="false"/>
          <w:i w:val="false"/>
          <w:color w:val="000000"/>
          <w:sz w:val="28"/>
        </w:rPr>
        <w:t>
      производственно-экспериментального цеха переработки зерновых и бобовых культур;</w:t>
      </w:r>
    </w:p>
    <w:bookmarkEnd w:id="715"/>
    <w:bookmarkStart w:name="z774" w:id="716"/>
    <w:p>
      <w:pPr>
        <w:spacing w:after="0"/>
        <w:ind w:left="0"/>
        <w:jc w:val="both"/>
      </w:pPr>
      <w:r>
        <w:rPr>
          <w:rFonts w:ascii="Times New Roman"/>
          <w:b w:val="false"/>
          <w:i w:val="false"/>
          <w:color w:val="000000"/>
          <w:sz w:val="28"/>
        </w:rPr>
        <w:t>
      лаборатории хранения пищевой продукции;</w:t>
      </w:r>
    </w:p>
    <w:bookmarkEnd w:id="716"/>
    <w:bookmarkStart w:name="z775" w:id="717"/>
    <w:p>
      <w:pPr>
        <w:spacing w:after="0"/>
        <w:ind w:left="0"/>
        <w:jc w:val="both"/>
      </w:pPr>
      <w:r>
        <w:rPr>
          <w:rFonts w:ascii="Times New Roman"/>
          <w:b w:val="false"/>
          <w:i w:val="false"/>
          <w:color w:val="000000"/>
          <w:sz w:val="28"/>
        </w:rPr>
        <w:t>
      лаборатории безопасности и качества пищевой продукции.</w:t>
      </w:r>
    </w:p>
    <w:bookmarkEnd w:id="717"/>
    <w:bookmarkStart w:name="z776" w:id="718"/>
    <w:p>
      <w:pPr>
        <w:spacing w:after="0"/>
        <w:ind w:left="0"/>
        <w:jc w:val="both"/>
      </w:pPr>
      <w:r>
        <w:rPr>
          <w:rFonts w:ascii="Times New Roman"/>
          <w:b w:val="false"/>
          <w:i w:val="false"/>
          <w:color w:val="000000"/>
          <w:sz w:val="28"/>
        </w:rPr>
        <w:t xml:space="preserve">
      2. Развитие ТП "Производство продукции растениеводства", путем создания: </w:t>
      </w:r>
    </w:p>
    <w:bookmarkEnd w:id="718"/>
    <w:bookmarkStart w:name="z777" w:id="719"/>
    <w:p>
      <w:pPr>
        <w:spacing w:after="0"/>
        <w:ind w:left="0"/>
        <w:jc w:val="both"/>
      </w:pPr>
      <w:r>
        <w:rPr>
          <w:rFonts w:ascii="Times New Roman"/>
          <w:b w:val="false"/>
          <w:i w:val="false"/>
          <w:color w:val="000000"/>
          <w:sz w:val="28"/>
        </w:rPr>
        <w:t xml:space="preserve">
      лаборатории "Защита и карантин растений"; </w:t>
      </w:r>
    </w:p>
    <w:bookmarkEnd w:id="719"/>
    <w:bookmarkStart w:name="z778" w:id="720"/>
    <w:p>
      <w:pPr>
        <w:spacing w:after="0"/>
        <w:ind w:left="0"/>
        <w:jc w:val="both"/>
      </w:pPr>
      <w:r>
        <w:rPr>
          <w:rFonts w:ascii="Times New Roman"/>
          <w:b w:val="false"/>
          <w:i w:val="false"/>
          <w:color w:val="000000"/>
          <w:sz w:val="28"/>
        </w:rPr>
        <w:t>
      строительства научно-экспериментальной теплицы для проведения научных исследований, подготовки специалистов по эксплуатации тепличного хозяйства и проведения мероприятий по распространению знаний.</w:t>
      </w:r>
    </w:p>
    <w:bookmarkEnd w:id="720"/>
    <w:bookmarkStart w:name="z779" w:id="721"/>
    <w:p>
      <w:pPr>
        <w:spacing w:after="0"/>
        <w:ind w:left="0"/>
        <w:jc w:val="both"/>
      </w:pPr>
      <w:r>
        <w:rPr>
          <w:rFonts w:ascii="Times New Roman"/>
          <w:b w:val="false"/>
          <w:i w:val="false"/>
          <w:color w:val="000000"/>
          <w:sz w:val="28"/>
        </w:rPr>
        <w:t>
      3. Развитие ТП "Производство продукции животноводства", путем оснащения учебно-научного животноводческого комплекса на территории Научно-экспериментального кампуса полевых работ и переноса части оборудования на его базу. Кроме того, на базе кампуса "Дударай" будет проработана закладка стационара по озерно-товарному рыбоводству.</w:t>
      </w:r>
    </w:p>
    <w:bookmarkEnd w:id="721"/>
    <w:bookmarkStart w:name="z780" w:id="722"/>
    <w:p>
      <w:pPr>
        <w:spacing w:after="0"/>
        <w:ind w:left="0"/>
        <w:jc w:val="both"/>
      </w:pPr>
      <w:r>
        <w:rPr>
          <w:rFonts w:ascii="Times New Roman"/>
          <w:b w:val="false"/>
          <w:i w:val="false"/>
          <w:color w:val="000000"/>
          <w:sz w:val="28"/>
        </w:rPr>
        <w:t>
      4. ТП "Прикладные информационные системы"</w:t>
      </w:r>
      <w:r>
        <w:rPr>
          <w:rFonts w:ascii="Times New Roman"/>
          <w:b w:val="false"/>
          <w:i w:val="false"/>
          <w:color w:val="000000"/>
          <w:vertAlign w:val="superscript"/>
        </w:rPr>
        <w:t>32</w:t>
      </w:r>
      <w:r>
        <w:rPr>
          <w:rFonts w:ascii="Times New Roman"/>
          <w:b w:val="false"/>
          <w:i w:val="false"/>
          <w:color w:val="000000"/>
          <w:sz w:val="28"/>
        </w:rPr>
        <w:t>, в составе:</w:t>
      </w:r>
    </w:p>
    <w:bookmarkEnd w:id="722"/>
    <w:bookmarkStart w:name="z781" w:id="723"/>
    <w:p>
      <w:pPr>
        <w:spacing w:after="0"/>
        <w:ind w:left="0"/>
        <w:jc w:val="both"/>
      </w:pPr>
      <w:r>
        <w:rPr>
          <w:rFonts w:ascii="Times New Roman"/>
          <w:b w:val="false"/>
          <w:i w:val="false"/>
          <w:color w:val="000000"/>
          <w:sz w:val="28"/>
        </w:rPr>
        <w:t>
      лаборатории статистики и прогнозирования;</w:t>
      </w:r>
    </w:p>
    <w:bookmarkEnd w:id="723"/>
    <w:bookmarkStart w:name="z782" w:id="724"/>
    <w:p>
      <w:pPr>
        <w:spacing w:after="0"/>
        <w:ind w:left="0"/>
        <w:jc w:val="both"/>
      </w:pPr>
      <w:r>
        <w:rPr>
          <w:rFonts w:ascii="Times New Roman"/>
          <w:b w:val="false"/>
          <w:i w:val="false"/>
          <w:color w:val="000000"/>
          <w:sz w:val="28"/>
        </w:rPr>
        <w:t>
      лаборатории математического моделирования и биоматематики.</w:t>
      </w:r>
    </w:p>
    <w:bookmarkEnd w:id="724"/>
    <w:bookmarkStart w:name="z783" w:id="725"/>
    <w:p>
      <w:pPr>
        <w:spacing w:after="0"/>
        <w:ind w:left="0"/>
        <w:jc w:val="both"/>
      </w:pPr>
      <w:r>
        <w:rPr>
          <w:rFonts w:ascii="Times New Roman"/>
          <w:b w:val="false"/>
          <w:i w:val="false"/>
          <w:color w:val="000000"/>
          <w:sz w:val="28"/>
        </w:rPr>
        <w:t>
      5. Ветеринарный клинико-диагностический центр, в составе Казахстанско-Китайской научно-исследовательской ветеринарной лаборатории.</w:t>
      </w:r>
    </w:p>
    <w:bookmarkEnd w:id="725"/>
    <w:bookmarkStart w:name="z784" w:id="726"/>
    <w:p>
      <w:pPr>
        <w:spacing w:after="0"/>
        <w:ind w:left="0"/>
        <w:jc w:val="both"/>
      </w:pPr>
      <w:r>
        <w:rPr>
          <w:rFonts w:ascii="Times New Roman"/>
          <w:b w:val="false"/>
          <w:i w:val="false"/>
          <w:color w:val="000000"/>
          <w:sz w:val="28"/>
        </w:rPr>
        <w:t>
      6. Центральная лаборатория прикладной физики и химии – с целью усиления подготовки обучающихся в области фундаментальных наук при переходе на новые образовательные программы.</w:t>
      </w:r>
    </w:p>
    <w:bookmarkEnd w:id="726"/>
    <w:bookmarkStart w:name="z785" w:id="727"/>
    <w:p>
      <w:pPr>
        <w:spacing w:after="0"/>
        <w:ind w:left="0"/>
        <w:jc w:val="both"/>
      </w:pPr>
      <w:r>
        <w:rPr>
          <w:rFonts w:ascii="Times New Roman"/>
          <w:b w:val="false"/>
          <w:i w:val="false"/>
          <w:color w:val="000000"/>
          <w:sz w:val="28"/>
        </w:rPr>
        <w:t>
      7. ТП "Сельскохозяйственное машиностроение "Цифровая индустрия" и лаборатория материаловедения (новых материалов и конструкций).</w:t>
      </w:r>
    </w:p>
    <w:bookmarkEnd w:id="727"/>
    <w:bookmarkStart w:name="z786" w:id="728"/>
    <w:p>
      <w:pPr>
        <w:spacing w:after="0"/>
        <w:ind w:left="0"/>
        <w:jc w:val="both"/>
      </w:pPr>
      <w:r>
        <w:rPr>
          <w:rFonts w:ascii="Times New Roman"/>
          <w:b w:val="false"/>
          <w:i w:val="false"/>
          <w:color w:val="000000"/>
          <w:sz w:val="28"/>
        </w:rPr>
        <w:t>
      Развитие Научно-исследовательской платформы сельскохозяйственной биотехнологии будет осуществляться путем модернизации оборудования и расширения функционала. В 2021 году в его составе будет создана Лаборатория генетики. Также, будет проработан вопрос дооснащения Центра ГИС-технологий для обеспечения обработки и хранения больших объемов данных, с организацией ситуационного центра.</w:t>
      </w:r>
    </w:p>
    <w:bookmarkEnd w:id="728"/>
    <w:bookmarkStart w:name="z787" w:id="729"/>
    <w:p>
      <w:pPr>
        <w:spacing w:after="0"/>
        <w:ind w:left="0"/>
        <w:jc w:val="both"/>
      </w:pPr>
      <w:r>
        <w:rPr>
          <w:rFonts w:ascii="Times New Roman"/>
          <w:b w:val="false"/>
          <w:i w:val="false"/>
          <w:color w:val="000000"/>
          <w:sz w:val="28"/>
        </w:rPr>
        <w:t>
      ______________________________</w:t>
      </w:r>
    </w:p>
    <w:bookmarkEnd w:id="729"/>
    <w:bookmarkStart w:name="z788" w:id="73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32</w:t>
      </w:r>
      <w:r>
        <w:rPr>
          <w:rFonts w:ascii="Times New Roman"/>
          <w:b w:val="false"/>
          <w:i w:val="false"/>
          <w:color w:val="000000"/>
          <w:sz w:val="28"/>
        </w:rPr>
        <w:t>В состав ТП "Прикладные информационные системы" будет передана лаборатория программирования, созданная в 2015 году</w:t>
      </w:r>
    </w:p>
    <w:bookmarkEnd w:id="7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89" w:id="731"/>
    <w:p>
      <w:pPr>
        <w:spacing w:after="0"/>
        <w:ind w:left="0"/>
        <w:jc w:val="both"/>
      </w:pPr>
      <w:r>
        <w:rPr>
          <w:rFonts w:ascii="Times New Roman"/>
          <w:b w:val="false"/>
          <w:i w:val="false"/>
          <w:color w:val="000000"/>
          <w:sz w:val="28"/>
        </w:rPr>
        <w:t xml:space="preserve">
      При подборе оборудования для оснащения ТП будут учитываться: </w:t>
      </w:r>
    </w:p>
    <w:bookmarkEnd w:id="731"/>
    <w:bookmarkStart w:name="z790" w:id="732"/>
    <w:p>
      <w:pPr>
        <w:spacing w:after="0"/>
        <w:ind w:left="0"/>
        <w:jc w:val="both"/>
      </w:pPr>
      <w:r>
        <w:rPr>
          <w:rFonts w:ascii="Times New Roman"/>
          <w:b w:val="false"/>
          <w:i w:val="false"/>
          <w:color w:val="000000"/>
          <w:sz w:val="28"/>
        </w:rPr>
        <w:t>
      1) универсальность оборудования и его применимость с позиции комплексности и междисциплинарности;</w:t>
      </w:r>
    </w:p>
    <w:bookmarkEnd w:id="732"/>
    <w:bookmarkStart w:name="z791" w:id="733"/>
    <w:p>
      <w:pPr>
        <w:spacing w:after="0"/>
        <w:ind w:left="0"/>
        <w:jc w:val="both"/>
      </w:pPr>
      <w:r>
        <w:rPr>
          <w:rFonts w:ascii="Times New Roman"/>
          <w:b w:val="false"/>
          <w:i w:val="false"/>
          <w:color w:val="000000"/>
          <w:sz w:val="28"/>
        </w:rPr>
        <w:t>
      2) возможность совмещения с имеющимся в КАТУ оборудованием и с другим оборудованием, приобретаемым для оснащения ТП;</w:t>
      </w:r>
    </w:p>
    <w:bookmarkEnd w:id="733"/>
    <w:bookmarkStart w:name="z792" w:id="734"/>
    <w:p>
      <w:pPr>
        <w:spacing w:after="0"/>
        <w:ind w:left="0"/>
        <w:jc w:val="both"/>
      </w:pPr>
      <w:r>
        <w:rPr>
          <w:rFonts w:ascii="Times New Roman"/>
          <w:b w:val="false"/>
          <w:i w:val="false"/>
          <w:color w:val="000000"/>
          <w:sz w:val="28"/>
        </w:rPr>
        <w:t>
      3) оптимальность оборудования в соотношении "производительность – цена – стоимость эксплуатации – загруженность".</w:t>
      </w:r>
    </w:p>
    <w:bookmarkEnd w:id="734"/>
    <w:bookmarkStart w:name="z793" w:id="735"/>
    <w:p>
      <w:pPr>
        <w:spacing w:after="0"/>
        <w:ind w:left="0"/>
        <w:jc w:val="both"/>
      </w:pPr>
      <w:r>
        <w:rPr>
          <w:rFonts w:ascii="Times New Roman"/>
          <w:b w:val="false"/>
          <w:i w:val="false"/>
          <w:color w:val="000000"/>
          <w:sz w:val="28"/>
        </w:rPr>
        <w:t xml:space="preserve">
      Таким образом, по завершении реализации Программы в КАТУ будут действовать 7 ТП. Перечень подразделений, входящих в состав ТП, будет корректироваться в процессе разработки соответствующих финансово-экономических обоснований в зависимости от проводимых научных исследований и содержания образовательных программ. </w:t>
      </w:r>
    </w:p>
    <w:bookmarkEnd w:id="735"/>
    <w:bookmarkStart w:name="z794" w:id="736"/>
    <w:p>
      <w:pPr>
        <w:spacing w:after="0"/>
        <w:ind w:left="0"/>
        <w:jc w:val="both"/>
      </w:pPr>
      <w:r>
        <w:rPr>
          <w:rFonts w:ascii="Times New Roman"/>
          <w:b w:val="false"/>
          <w:i w:val="false"/>
          <w:color w:val="000000"/>
          <w:sz w:val="28"/>
        </w:rPr>
        <w:t>
      В случае необходимости, в рамках реализации отдельных научно-исследовательских и инновационных проектов, в том числе международных, будут создаваться другие специализированные лаборатории и цеха, которые будут функционировать на основе тех же принципов, что и ТП.</w:t>
      </w:r>
    </w:p>
    <w:bookmarkEnd w:id="736"/>
    <w:bookmarkStart w:name="z795" w:id="737"/>
    <w:p>
      <w:pPr>
        <w:spacing w:after="0"/>
        <w:ind w:left="0"/>
        <w:jc w:val="both"/>
      </w:pPr>
      <w:r>
        <w:rPr>
          <w:rFonts w:ascii="Times New Roman"/>
          <w:b w:val="false"/>
          <w:i w:val="false"/>
          <w:color w:val="000000"/>
          <w:sz w:val="28"/>
        </w:rPr>
        <w:t>
      Конкретный перечень оборудования, организационная структура и штатное расписание для каждой из ТП будут определяться в процессе их проектирования и создания, в том числе с привлечением экспертов из университетов-партнеров. Для каждой из ТП будет утверждаться план развития на 5 лет.</w:t>
      </w:r>
    </w:p>
    <w:bookmarkEnd w:id="737"/>
    <w:bookmarkStart w:name="z796" w:id="738"/>
    <w:p>
      <w:pPr>
        <w:spacing w:after="0"/>
        <w:ind w:left="0"/>
        <w:jc w:val="both"/>
      </w:pPr>
      <w:r>
        <w:rPr>
          <w:rFonts w:ascii="Times New Roman"/>
          <w:b w:val="false"/>
          <w:i w:val="false"/>
          <w:color w:val="000000"/>
          <w:sz w:val="28"/>
        </w:rPr>
        <w:t>
      Целевым индикатором по данному направлению является качественное выполнение и своевременное завершение соответствующих мероприятий.</w:t>
      </w:r>
    </w:p>
    <w:bookmarkEnd w:id="738"/>
    <w:p>
      <w:pPr>
        <w:spacing w:after="0"/>
        <w:ind w:left="0"/>
        <w:jc w:val="both"/>
      </w:pPr>
      <w:r>
        <w:rPr>
          <w:rFonts w:ascii="Times New Roman"/>
          <w:b/>
          <w:i w:val="false"/>
          <w:color w:val="000000"/>
          <w:sz w:val="28"/>
        </w:rPr>
        <w:t>8.7. Обеспечение необходимого финансирования для реализации Программы</w:t>
      </w:r>
    </w:p>
    <w:bookmarkStart w:name="z798" w:id="739"/>
    <w:p>
      <w:pPr>
        <w:spacing w:after="0"/>
        <w:ind w:left="0"/>
        <w:jc w:val="both"/>
      </w:pPr>
      <w:r>
        <w:rPr>
          <w:rFonts w:ascii="Times New Roman"/>
          <w:b w:val="false"/>
          <w:i w:val="false"/>
          <w:color w:val="000000"/>
          <w:sz w:val="28"/>
        </w:rPr>
        <w:t xml:space="preserve">
      Как отмечалось, дефицит ресурсов является основной проблемой для реализации большинства стратегических инициатив, связанных с трансформацией КАТУ в исследовательский аграрный университет. </w:t>
      </w:r>
    </w:p>
    <w:bookmarkEnd w:id="739"/>
    <w:bookmarkStart w:name="z799" w:id="740"/>
    <w:p>
      <w:pPr>
        <w:spacing w:after="0"/>
        <w:ind w:left="0"/>
        <w:jc w:val="both"/>
      </w:pPr>
      <w:r>
        <w:rPr>
          <w:rFonts w:ascii="Times New Roman"/>
          <w:b w:val="false"/>
          <w:i w:val="false"/>
          <w:color w:val="000000"/>
          <w:sz w:val="28"/>
        </w:rPr>
        <w:t xml:space="preserve">
      Реализация ИНТП будет осуществляться в рамках программно-целевого финансирования научных исследований (Министерство образования и науки, Министерство сельского хозяйства, другие администраторы бюджетных программ) путем участия в конкурсах в соответствии с установленным законодательством порядке. Кроме того, с целью расширения научных исследований будут привлекаться грантовое финансирование Министерства образования и науки, гранты из других государственных и негосударственных источников. </w:t>
      </w:r>
    </w:p>
    <w:bookmarkEnd w:id="740"/>
    <w:bookmarkStart w:name="z800" w:id="741"/>
    <w:p>
      <w:pPr>
        <w:spacing w:after="0"/>
        <w:ind w:left="0"/>
        <w:jc w:val="both"/>
      </w:pPr>
      <w:r>
        <w:rPr>
          <w:rFonts w:ascii="Times New Roman"/>
          <w:b w:val="false"/>
          <w:i w:val="false"/>
          <w:color w:val="000000"/>
          <w:sz w:val="28"/>
        </w:rPr>
        <w:t>
      Затраты на продвижение результатов деятельности КАТУ в практику будут финансироваться за счет соответствующих программ Министерства сельского хозяйства (система распространения знаний) и Министерства образования и науки (проект Всемирного Банка "Стимулирование продуктивных инноваций", гранты на коммерциализацию результатов научно-технической деятельности), проектов международных фондов и организаций, средств субъектов предпринимательства и других источников.</w:t>
      </w:r>
    </w:p>
    <w:bookmarkEnd w:id="741"/>
    <w:bookmarkStart w:name="z801" w:id="742"/>
    <w:p>
      <w:pPr>
        <w:spacing w:after="0"/>
        <w:ind w:left="0"/>
        <w:jc w:val="both"/>
      </w:pPr>
      <w:r>
        <w:rPr>
          <w:rFonts w:ascii="Times New Roman"/>
          <w:b w:val="false"/>
          <w:i w:val="false"/>
          <w:color w:val="000000"/>
          <w:sz w:val="28"/>
        </w:rPr>
        <w:t>
      Для инвестиций, связанных с модернизацией существующей и созданием недостающей инфраструктуры, источники, объем, и направления финансирования будут определяться в соответствии с бюджетным законодательством, в процессе разработки и утверждения соответствующих инвестиционных предложений, проектной документации и финансово-экономических обоснований.</w:t>
      </w:r>
    </w:p>
    <w:bookmarkEnd w:id="742"/>
    <w:bookmarkStart w:name="z802" w:id="743"/>
    <w:p>
      <w:pPr>
        <w:spacing w:after="0"/>
        <w:ind w:left="0"/>
        <w:jc w:val="both"/>
      </w:pPr>
      <w:r>
        <w:rPr>
          <w:rFonts w:ascii="Times New Roman"/>
          <w:b w:val="false"/>
          <w:i w:val="false"/>
          <w:color w:val="000000"/>
          <w:sz w:val="28"/>
        </w:rPr>
        <w:t>
      Остальные расходы будут профинансированы из собственных средств КАТУ, в том числе привлеченных в качестве спонсорской или партнерской помощи. По предварительным расчетам, размер софинансирования реализации Программы из собственных средств КАТУ составит 3 332,3 млн тенге</w:t>
      </w:r>
      <w:r>
        <w:rPr>
          <w:rFonts w:ascii="Times New Roman"/>
          <w:b w:val="false"/>
          <w:i w:val="false"/>
          <w:color w:val="000000"/>
          <w:vertAlign w:val="superscript"/>
        </w:rPr>
        <w:t>33</w:t>
      </w:r>
      <w:r>
        <w:rPr>
          <w:rFonts w:ascii="Times New Roman"/>
          <w:b w:val="false"/>
          <w:i w:val="false"/>
          <w:color w:val="000000"/>
          <w:sz w:val="28"/>
        </w:rPr>
        <w:t xml:space="preserve">. Кроме собственных средств КАТУ, для их финансирования будут использоваться спонсорские средства, гранты зарубежных и международных организаций и другие источники, не запрещенные законодательством Республики Казахстан. </w:t>
      </w:r>
    </w:p>
    <w:bookmarkEnd w:id="743"/>
    <w:bookmarkStart w:name="z803" w:id="744"/>
    <w:p>
      <w:pPr>
        <w:spacing w:after="0"/>
        <w:ind w:left="0"/>
        <w:jc w:val="both"/>
      </w:pPr>
      <w:r>
        <w:rPr>
          <w:rFonts w:ascii="Times New Roman"/>
          <w:b w:val="false"/>
          <w:i w:val="false"/>
          <w:color w:val="000000"/>
          <w:sz w:val="28"/>
        </w:rPr>
        <w:t>
      Планируется, что финансирование Программы из государственных источников обеспечит становление КАТУ в качестве исследовательского аграрного университета и повысит возможности для привлечения ресурсов из негосударственных источников. Как результат реализации Программы, к 2030 году ожидается увеличение доли финансирования КАТУ из негосударственных источников. Однако, в соответствии с мировой практикой, финансирование из государственных источников сохранит основную долю в совокупном доходе КАТУ.</w:t>
      </w:r>
    </w:p>
    <w:bookmarkEnd w:id="744"/>
    <w:bookmarkStart w:name="z804" w:id="745"/>
    <w:p>
      <w:pPr>
        <w:spacing w:after="0"/>
        <w:ind w:left="0"/>
        <w:jc w:val="both"/>
      </w:pPr>
      <w:r>
        <w:rPr>
          <w:rFonts w:ascii="Times New Roman"/>
          <w:b w:val="false"/>
          <w:i w:val="false"/>
          <w:color w:val="000000"/>
          <w:sz w:val="28"/>
        </w:rPr>
        <w:t>
      С целью диверсификации источников финансирования, будет проработан вопрос создания Фонда поддержки развития КАТУ (endowment fond) по аналогии с фондами, действующими при всех ведущих в мире исследовательских университетах. Функцией фонда будет аккумулирование денежных средств из различных источников с целью их инвестирования в другие, не связанные с КАТУ, виды деятельности, с последующим использованием полученного инвестиционного дохода на развитие КАТУ. В 2020 году будет утверждена концепция создания Фонда поддержки развития КАТУ. Планируется, что к завершению 2024 года в Фонде будут аккумулированы не менее 300 млн тенге.</w:t>
      </w:r>
    </w:p>
    <w:bookmarkEnd w:id="745"/>
    <w:p>
      <w:pPr>
        <w:spacing w:after="0"/>
        <w:ind w:left="0"/>
        <w:jc w:val="both"/>
      </w:pPr>
      <w:r>
        <w:rPr>
          <w:rFonts w:ascii="Times New Roman"/>
          <w:b/>
          <w:i w:val="false"/>
          <w:color w:val="000000"/>
          <w:sz w:val="28"/>
        </w:rPr>
        <w:t>9. Ожидаемые результаты реализации Программы</w:t>
      </w:r>
    </w:p>
    <w:bookmarkStart w:name="z806" w:id="746"/>
    <w:p>
      <w:pPr>
        <w:spacing w:after="0"/>
        <w:ind w:left="0"/>
        <w:jc w:val="both"/>
      </w:pPr>
      <w:r>
        <w:rPr>
          <w:rFonts w:ascii="Times New Roman"/>
          <w:b w:val="false"/>
          <w:i w:val="false"/>
          <w:color w:val="000000"/>
          <w:sz w:val="28"/>
        </w:rPr>
        <w:t>
      В результате реализации Программы, на базе КАТУ будет создан первый в Казахстане исследовательский аграрный университет западного типа – не уступающий ведущим в мире аналогам модель организации научных исследований и подготовки кадров для АПК, основанная на сочетании научных исследований с образовательной деятельностью, распространением знаний и коммерциализацией технологий.</w:t>
      </w:r>
    </w:p>
    <w:bookmarkEnd w:id="746"/>
    <w:bookmarkStart w:name="z807" w:id="747"/>
    <w:p>
      <w:pPr>
        <w:spacing w:after="0"/>
        <w:ind w:left="0"/>
        <w:jc w:val="both"/>
      </w:pPr>
      <w:r>
        <w:rPr>
          <w:rFonts w:ascii="Times New Roman"/>
          <w:b w:val="false"/>
          <w:i w:val="false"/>
          <w:color w:val="000000"/>
          <w:sz w:val="28"/>
        </w:rPr>
        <w:t>
      К 2024 году будут достигнуты существенные положительные изменения качества результатов деятельности КАТУ, в том числе:</w:t>
      </w:r>
    </w:p>
    <w:bookmarkEnd w:id="747"/>
    <w:bookmarkStart w:name="z808" w:id="748"/>
    <w:p>
      <w:pPr>
        <w:spacing w:after="0"/>
        <w:ind w:left="0"/>
        <w:jc w:val="both"/>
      </w:pPr>
      <w:r>
        <w:rPr>
          <w:rFonts w:ascii="Times New Roman"/>
          <w:b w:val="false"/>
          <w:i w:val="false"/>
          <w:color w:val="000000"/>
          <w:sz w:val="28"/>
        </w:rPr>
        <w:t>
      1) кардинально возрастет качество научных результатов КАТУ – будет начата реализация 8 интегрированных научно-технических программ, ежегодно в наиболее престижных научных изданиях будут выходить не менее 30 публикаций ППС и обучающихся КАТУ;</w:t>
      </w:r>
    </w:p>
    <w:bookmarkEnd w:id="748"/>
    <w:bookmarkStart w:name="z809" w:id="749"/>
    <w:p>
      <w:pPr>
        <w:spacing w:after="0"/>
        <w:ind w:left="0"/>
        <w:jc w:val="both"/>
      </w:pPr>
      <w:r>
        <w:rPr>
          <w:rFonts w:ascii="Times New Roman"/>
          <w:b w:val="false"/>
          <w:i w:val="false"/>
          <w:color w:val="000000"/>
          <w:sz w:val="28"/>
        </w:rPr>
        <w:t>
      2) полностью обновится содержание образовательного процесса по направлениям, связанным с АПК – 3 двухдипломные программы с AgroParisTech и 34 новые образовательные программы по модели UC Davis и других ведущих в мире исследовательских аграрных университетов;</w:t>
      </w:r>
    </w:p>
    <w:bookmarkEnd w:id="749"/>
    <w:bookmarkStart w:name="z810" w:id="750"/>
    <w:p>
      <w:pPr>
        <w:spacing w:after="0"/>
        <w:ind w:left="0"/>
        <w:jc w:val="both"/>
      </w:pPr>
      <w:r>
        <w:rPr>
          <w:rFonts w:ascii="Times New Roman"/>
          <w:b w:val="false"/>
          <w:i w:val="false"/>
          <w:color w:val="000000"/>
          <w:sz w:val="28"/>
        </w:rPr>
        <w:t>
      3) существенно расширится академический профиль и компетенция ППС КАТУ – не менее 96 долгосрочных стажировок на базе ведущих в мире университетов и научных центров (в основном, UC Davisи AgroParisTech), не менее 30 преподавателей в докторантуре ведущих зарубежных вузов,и не менее 110 стажировок в рамках научных исследований;</w:t>
      </w:r>
    </w:p>
    <w:bookmarkEnd w:id="750"/>
    <w:bookmarkStart w:name="z811" w:id="751"/>
    <w:p>
      <w:pPr>
        <w:spacing w:after="0"/>
        <w:ind w:left="0"/>
        <w:jc w:val="both"/>
      </w:pPr>
      <w:r>
        <w:rPr>
          <w:rFonts w:ascii="Times New Roman"/>
          <w:b w:val="false"/>
          <w:i w:val="false"/>
          <w:color w:val="000000"/>
          <w:sz w:val="28"/>
        </w:rPr>
        <w:t>
      4) по обновленным образовательным программам будут обучаться не менее 1 000 студентов бакалавриата, не менее 440 магистрантов, и не менее 60 докторантов PhD;</w:t>
      </w:r>
    </w:p>
    <w:bookmarkEnd w:id="751"/>
    <w:bookmarkStart w:name="z812" w:id="752"/>
    <w:p>
      <w:pPr>
        <w:spacing w:after="0"/>
        <w:ind w:left="0"/>
        <w:jc w:val="both"/>
      </w:pPr>
      <w:r>
        <w:rPr>
          <w:rFonts w:ascii="Times New Roman"/>
          <w:b w:val="false"/>
          <w:i w:val="false"/>
          <w:color w:val="000000"/>
          <w:sz w:val="28"/>
        </w:rPr>
        <w:t>
      5) в партнерстве с технологическими лидерами будут разработаны не менее 15 программ распространения знаний, охватывающих все основные направления АПК Целевого региона, обучение на которых пройдут не менее 2 160 специалистов агроформирований;</w:t>
      </w:r>
    </w:p>
    <w:bookmarkEnd w:id="752"/>
    <w:bookmarkStart w:name="z813" w:id="753"/>
    <w:p>
      <w:pPr>
        <w:spacing w:after="0"/>
        <w:ind w:left="0"/>
        <w:jc w:val="both"/>
      </w:pPr>
      <w:r>
        <w:rPr>
          <w:rFonts w:ascii="Times New Roman"/>
          <w:b w:val="false"/>
          <w:i w:val="false"/>
          <w:color w:val="000000"/>
          <w:sz w:val="28"/>
        </w:rPr>
        <w:t>
      6) будут действовать не менее 6 инновационных компаний на основе научных разработок КАТУ.</w:t>
      </w:r>
    </w:p>
    <w:bookmarkEnd w:id="753"/>
    <w:bookmarkStart w:name="z814" w:id="754"/>
    <w:p>
      <w:pPr>
        <w:spacing w:after="0"/>
        <w:ind w:left="0"/>
        <w:jc w:val="both"/>
      </w:pPr>
      <w:r>
        <w:rPr>
          <w:rFonts w:ascii="Times New Roman"/>
          <w:b w:val="false"/>
          <w:i w:val="false"/>
          <w:color w:val="000000"/>
          <w:sz w:val="28"/>
        </w:rPr>
        <w:t>
      Основные целевые индикаторы Программы приведены в приложении.</w:t>
      </w:r>
    </w:p>
    <w:bookmarkEnd w:id="754"/>
    <w:bookmarkStart w:name="z815" w:id="755"/>
    <w:p>
      <w:pPr>
        <w:spacing w:after="0"/>
        <w:ind w:left="0"/>
        <w:jc w:val="both"/>
      </w:pPr>
      <w:r>
        <w:rPr>
          <w:rFonts w:ascii="Times New Roman"/>
          <w:b w:val="false"/>
          <w:i w:val="false"/>
          <w:color w:val="000000"/>
          <w:sz w:val="28"/>
        </w:rPr>
        <w:t>
      __________________________</w:t>
      </w:r>
    </w:p>
    <w:bookmarkEnd w:id="755"/>
    <w:bookmarkStart w:name="z816" w:id="75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33</w:t>
      </w:r>
      <w:r>
        <w:rPr>
          <w:rFonts w:ascii="Times New Roman"/>
          <w:b w:val="false"/>
          <w:i w:val="false"/>
          <w:color w:val="000000"/>
          <w:sz w:val="28"/>
        </w:rPr>
        <w:t>Предварительные расчеты, объем финансирования каждого мероприятия будет определяться при формировании планов развития КАТУ</w:t>
      </w:r>
    </w:p>
    <w:bookmarkEnd w:id="7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Программе развития</w:t>
            </w:r>
            <w:r>
              <w:br/>
            </w:r>
            <w:r>
              <w:rPr>
                <w:rFonts w:ascii="Times New Roman"/>
                <w:b w:val="false"/>
                <w:i w:val="false"/>
                <w:color w:val="000000"/>
                <w:sz w:val="20"/>
              </w:rPr>
              <w:t>КАТУ на 2020 – 2024 годы</w:t>
            </w:r>
          </w:p>
        </w:tc>
      </w:tr>
    </w:tbl>
    <w:bookmarkStart w:name="z818" w:id="757"/>
    <w:p>
      <w:pPr>
        <w:spacing w:after="0"/>
        <w:ind w:left="0"/>
        <w:jc w:val="left"/>
      </w:pPr>
      <w:r>
        <w:rPr>
          <w:rFonts w:ascii="Times New Roman"/>
          <w:b/>
          <w:i w:val="false"/>
          <w:color w:val="000000"/>
        </w:rPr>
        <w:t xml:space="preserve"> Целевые индикаторы Программы*</w:t>
      </w:r>
    </w:p>
    <w:bookmarkEnd w:id="7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5"/>
        <w:gridCol w:w="6561"/>
        <w:gridCol w:w="419"/>
        <w:gridCol w:w="901"/>
        <w:gridCol w:w="901"/>
        <w:gridCol w:w="901"/>
        <w:gridCol w:w="901"/>
        <w:gridCol w:w="901"/>
      </w:tblGrid>
      <w:tr>
        <w:trPr>
          <w:trHeight w:val="30" w:hRule="atLeast"/>
        </w:trPr>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индикаторы</w:t>
            </w:r>
          </w:p>
        </w:tc>
        <w:tc>
          <w:tcPr>
            <w:tcW w:w="4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плановом периоде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1. Создание организационных условий для реформирования КАТУ в исследовательский аграрный университет</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зарубежных экспертов в составе Проектной группы по реформированию КАТУ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Запуск пилотной двухдипломной программы магистратуры совместно с AgroParisTech</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активных международных соглашений о сотрудничестве</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научных проектов и программ, реализуемых совместно с отечественными НИИ и вузами</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обучающихся в КАТУ из других вузов Казахстана в рамках академической мобильности</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субъектов предпринимательства, привелеченных к партнерству в рамках научных исследований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ППС КАТУ, прошедших стажировки на базе предприятий соответствующих отраслей</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2. Расширение направлений исследований и улучшение качества научных результатов</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публикаций в изданиях, имеющих ненулевой индекс цитирования в соответствии с международными наукометрическими базами, в том числе:</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изданиях не ниже квартиля Q2 базы Webof Science или процентиля 65 по Cite Score базы Scopus</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ППС, поступивших на обучение в докторантуру зарубежных вузов</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кандидатов наук, PhD и докторов наук с международным опытом, приглашенных на работу в КАТУ</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ППС, прошедших зарубежные стажировки в рамках научных проектов и программ</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выпускников бакалавриата, принятых на работу с целью дальнейшего развития научной карьеры в КАТУ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научных проектов в рамках грантового финансирования, не менее</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ППС, участвующих в финансируемых исследованиях (от общей численности ППС)</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проектов, реализуемых в рамках собственной системы научных грантов КАТУ</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Задача 3. Улучшение качества образовательных услуг </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новых образовательных программ по модели и при участии ведущих в мире исследовательских университетов аграрного профиля (с нарастающим итогом)</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совместных и/или двудипломных образовательных программ с зарубежными университетами из ТОП-20 секторальных рейтингов QS (с нарастающим итогом)</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новых образовательных программ, аккредитованных международным агентством (с нарастающим итогом)</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Среднемесячный размер заработной платы ППС</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тыс. тенге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выпускников, трудоустроенных в течение 6 месяцев после окончания обучения</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абитуриентов, принятых на обучение по заказу предприятий и организаций</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ППС, прошедших стажировки на базе зарубежных университетов и научных организаций-партнеров КАТУ</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ППС, преподающих дисциплины на английском языке</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зарубежных преподавателей, приглашенных для преподавания в КАТУ из университетов-партнеров (с нарастающим итогом)</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обучающихся в КАТУ, направленных по академической мобильности в университеты-партнеры КАТУ</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обучающихся в КАТУ из зарубежных вузов с русским языком обучения</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обучающихся в КАТУ из зарубежных вузов с английским языком обучения</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4. Расширение системы продвижения результатов деятельности КАТУ в практику</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Совокупный доход КАТУ от инновационной деятельности</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программ по распространению знаний, реализуемых Офисом распространения знаний "Extension – KATU"</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специалистов, обучившихся по программам распространения знаний "Extension – KATU"</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договоров на консультационную поддержку субъектов АПК со стороны ППС и ученых КАТУ</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заключенных лицензионных договоров на использование ОИС КАТУ</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старт-ап компаний, созданных на основе результатов научно-технической деятельности КАТУ (с нарастающим итогом)</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проектов на базе студенческого бизнес-инкубатора КАТУ (с нарастающим итогом)</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договоров на проведение контрактных исследований (с нарастающим итогом)</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специализаций для подготовки преподавателей колледжей в рамках образовательной программы "Профессиональное обучение"</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программ повышения квалификации для преподавателей колледжей</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программ дистанционного и дополнительного образования</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Позиция сайта КАТУ в национальном рейтинге сайтов вузов</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50</w:t>
            </w: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40</w:t>
            </w: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открытых международных центров компетенции (при необходимости, с нарастающим итогом)</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5. Модернизация существующей и создание недостающей инфраструктуры</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КАТУ НПЦ зернового хозяйства имени А.И. Бараева, Северо-Казахстанской СХОС, КазНИИ лесного хозяйства и агролесомелиорации, и филиала КазНИИ пищевой и перерабатывающей промышленности в городе Нур-Султане</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СД НАНОЦ</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инвестиционного предложения и ФЭО/ПСД (при необходимости) на реконструкцию и оснащение существующих объектов инфраструктуры КАТУ</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инвестиционного предложения документации ФЭО/ПСД (при необходимости) на строительство новых объектов КАТУ</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инвестиционного предложения ФЭО/ПСД (при необходимости) на создание новых и дооснащение существующих технологических платформ</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19" w:id="758"/>
    <w:p>
      <w:pPr>
        <w:spacing w:after="0"/>
        <w:ind w:left="0"/>
        <w:jc w:val="both"/>
      </w:pPr>
      <w:r>
        <w:rPr>
          <w:rFonts w:ascii="Times New Roman"/>
          <w:b w:val="false"/>
          <w:i w:val="false"/>
          <w:color w:val="000000"/>
          <w:sz w:val="28"/>
        </w:rPr>
        <w:t>
      *Целевые индикоторы будут достигнуты при стабильной финансовой поддержке</w:t>
      </w:r>
    </w:p>
    <w:bookmarkEnd w:id="758"/>
    <w:bookmarkStart w:name="z820" w:id="759"/>
    <w:p>
      <w:pPr>
        <w:spacing w:after="0"/>
        <w:ind w:left="0"/>
        <w:jc w:val="both"/>
      </w:pPr>
      <w:r>
        <w:rPr>
          <w:rFonts w:ascii="Times New Roman"/>
          <w:b w:val="false"/>
          <w:i w:val="false"/>
          <w:color w:val="000000"/>
          <w:sz w:val="28"/>
        </w:rPr>
        <w:t>
      Примечание: расшифровка аббревиатур:</w:t>
      </w:r>
    </w:p>
    <w:bookmarkEnd w:id="759"/>
    <w:bookmarkStart w:name="z821" w:id="760"/>
    <w:p>
      <w:pPr>
        <w:spacing w:after="0"/>
        <w:ind w:left="0"/>
        <w:jc w:val="both"/>
      </w:pPr>
      <w:r>
        <w:rPr>
          <w:rFonts w:ascii="Times New Roman"/>
          <w:b w:val="false"/>
          <w:i w:val="false"/>
          <w:color w:val="000000"/>
          <w:sz w:val="28"/>
        </w:rPr>
        <w:t>
      ФЭО – финансово-экономическое обоснование</w:t>
      </w:r>
    </w:p>
    <w:bookmarkEnd w:id="760"/>
    <w:bookmarkStart w:name="z822" w:id="761"/>
    <w:p>
      <w:pPr>
        <w:spacing w:after="0"/>
        <w:ind w:left="0"/>
        <w:jc w:val="both"/>
      </w:pPr>
      <w:r>
        <w:rPr>
          <w:rFonts w:ascii="Times New Roman"/>
          <w:b w:val="false"/>
          <w:i w:val="false"/>
          <w:color w:val="000000"/>
          <w:sz w:val="28"/>
        </w:rPr>
        <w:t>
      НИИ – научно-исследовательские институты</w:t>
      </w:r>
    </w:p>
    <w:bookmarkEnd w:id="761"/>
    <w:bookmarkStart w:name="z823" w:id="762"/>
    <w:p>
      <w:pPr>
        <w:spacing w:after="0"/>
        <w:ind w:left="0"/>
        <w:jc w:val="both"/>
      </w:pPr>
      <w:r>
        <w:rPr>
          <w:rFonts w:ascii="Times New Roman"/>
          <w:b w:val="false"/>
          <w:i w:val="false"/>
          <w:color w:val="000000"/>
          <w:sz w:val="28"/>
        </w:rPr>
        <w:t>
      ОИС – объекты интелектуальной собственности</w:t>
      </w:r>
    </w:p>
    <w:bookmarkEnd w:id="762"/>
    <w:bookmarkStart w:name="z824" w:id="763"/>
    <w:p>
      <w:pPr>
        <w:spacing w:after="0"/>
        <w:ind w:left="0"/>
        <w:jc w:val="both"/>
      </w:pPr>
      <w:r>
        <w:rPr>
          <w:rFonts w:ascii="Times New Roman"/>
          <w:b w:val="false"/>
          <w:i w:val="false"/>
          <w:color w:val="000000"/>
          <w:sz w:val="28"/>
        </w:rPr>
        <w:t>
      СХОС – сельскохозяйственные опытные станции</w:t>
      </w:r>
    </w:p>
    <w:bookmarkEnd w:id="763"/>
    <w:bookmarkStart w:name="z825" w:id="764"/>
    <w:p>
      <w:pPr>
        <w:spacing w:after="0"/>
        <w:ind w:left="0"/>
        <w:jc w:val="both"/>
      </w:pPr>
      <w:r>
        <w:rPr>
          <w:rFonts w:ascii="Times New Roman"/>
          <w:b w:val="false"/>
          <w:i w:val="false"/>
          <w:color w:val="000000"/>
          <w:sz w:val="28"/>
        </w:rPr>
        <w:t>
      НПЦ – научно-производственный центр</w:t>
      </w:r>
    </w:p>
    <w:bookmarkEnd w:id="764"/>
    <w:bookmarkStart w:name="z826" w:id="765"/>
    <w:p>
      <w:pPr>
        <w:spacing w:after="0"/>
        <w:ind w:left="0"/>
        <w:jc w:val="both"/>
      </w:pPr>
      <w:r>
        <w:rPr>
          <w:rFonts w:ascii="Times New Roman"/>
          <w:b w:val="false"/>
          <w:i w:val="false"/>
          <w:color w:val="000000"/>
          <w:sz w:val="28"/>
        </w:rPr>
        <w:t>
      ПСД – проектно-сметная документация.</w:t>
      </w:r>
    </w:p>
    <w:bookmarkEnd w:id="76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