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00e3" w14:textId="1130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0 года № 868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Лимит правительственного долга может быть превышен в случаях изменения рыночного курса обмена валют по отношению к расчетному курсу тенге к доллару США, предусмотренному в ходе разработки республиканского бюджета на планируемый финансовый год, выпуска государственных ценных бумаг с дисконтом, а также на сумму правительственных внешних займов, поступивших на счет в иностранной валюте центрального уполномоченного органа по исполнению бюдже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